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F02" w:rsidRDefault="00AE4F02" w:rsidP="00D5394A">
      <w:pPr>
        <w:ind w:left="-1418"/>
      </w:pPr>
    </w:p>
    <w:p w:rsidR="00D5394A" w:rsidRDefault="00AF751A" w:rsidP="00AF751A">
      <w:pPr>
        <w:jc w:val="center"/>
        <w:sectPr w:rsidR="00D5394A" w:rsidSect="00D5394A">
          <w:footerReference w:type="default" r:id="rId8"/>
          <w:pgSz w:w="11906" w:h="16838"/>
          <w:pgMar w:top="22" w:right="1440" w:bottom="1440" w:left="1440" w:header="0" w:footer="0" w:gutter="0"/>
          <w:cols w:space="708"/>
          <w:docGrid w:linePitch="360"/>
        </w:sectPr>
      </w:pPr>
      <w:r w:rsidRPr="003C6433">
        <w:rPr>
          <w:noProof/>
          <w:lang w:bidi="hi-IN"/>
        </w:rPr>
        <w:drawing>
          <wp:inline distT="0" distB="0" distL="0" distR="0" wp14:anchorId="1C245416" wp14:editId="38BA8F15">
            <wp:extent cx="1879600" cy="1301750"/>
            <wp:effectExtent l="0" t="0" r="6350" b="0"/>
            <wp:docPr id="1" name="Picture 12" descr="Logo: Australian Government, Classification Board.&#10;&#10;Locked Bag 3, Haymarket NSW 1240&#10;Telephone 02 92897100&#10;www.classification.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79600" cy="1301750"/>
                    </a:xfrm>
                    <a:prstGeom prst="rect">
                      <a:avLst/>
                    </a:prstGeom>
                    <a:noFill/>
                    <a:ln>
                      <a:noFill/>
                    </a:ln>
                  </pic:spPr>
                </pic:pic>
              </a:graphicData>
            </a:graphic>
          </wp:inline>
        </w:drawing>
      </w:r>
    </w:p>
    <w:p w:rsidR="00D5394A" w:rsidRPr="00D5394A" w:rsidRDefault="00AF751A" w:rsidP="0090556C">
      <w:pPr>
        <w:pStyle w:val="Heading1"/>
      </w:pPr>
      <w:r w:rsidRPr="007C53FF">
        <w:t xml:space="preserve">Media </w:t>
      </w:r>
      <w:r w:rsidR="00392BB1">
        <w:t>r</w:t>
      </w:r>
      <w:r w:rsidRPr="007C53FF">
        <w:t>elease—</w:t>
      </w:r>
      <w:proofErr w:type="spellStart"/>
      <w:r w:rsidR="00604BCF" w:rsidRPr="00604BCF">
        <w:rPr>
          <w:i/>
          <w:iCs/>
        </w:rPr>
        <w:t>Vaxxed</w:t>
      </w:r>
      <w:proofErr w:type="spellEnd"/>
      <w:r w:rsidR="00604BCF" w:rsidRPr="00604BCF">
        <w:rPr>
          <w:i/>
          <w:iCs/>
        </w:rPr>
        <w:t xml:space="preserve">: </w:t>
      </w:r>
      <w:r w:rsidR="00604BCF" w:rsidRPr="00604BCF">
        <w:rPr>
          <w:i/>
          <w:iCs/>
        </w:rPr>
        <w:t>f</w:t>
      </w:r>
      <w:r w:rsidR="00604BCF" w:rsidRPr="00604BCF">
        <w:rPr>
          <w:i/>
          <w:iCs/>
        </w:rPr>
        <w:t xml:space="preserve">rom </w:t>
      </w:r>
      <w:r w:rsidR="00604BCF" w:rsidRPr="00604BCF">
        <w:rPr>
          <w:i/>
          <w:iCs/>
        </w:rPr>
        <w:t>c</w:t>
      </w:r>
      <w:r w:rsidR="00604BCF" w:rsidRPr="00604BCF">
        <w:rPr>
          <w:i/>
          <w:iCs/>
        </w:rPr>
        <w:t>over-</w:t>
      </w:r>
      <w:r w:rsidR="00604BCF" w:rsidRPr="00604BCF">
        <w:rPr>
          <w:i/>
          <w:iCs/>
        </w:rPr>
        <w:t>u</w:t>
      </w:r>
      <w:r w:rsidR="00604BCF" w:rsidRPr="00604BCF">
        <w:rPr>
          <w:i/>
          <w:iCs/>
        </w:rPr>
        <w:t xml:space="preserve">p to </w:t>
      </w:r>
      <w:r w:rsidR="00604BCF" w:rsidRPr="00604BCF">
        <w:rPr>
          <w:i/>
          <w:iCs/>
        </w:rPr>
        <w:t>c</w:t>
      </w:r>
      <w:r w:rsidR="00604BCF" w:rsidRPr="00604BCF">
        <w:rPr>
          <w:i/>
          <w:iCs/>
        </w:rPr>
        <w:t>atastrophe</w:t>
      </w:r>
    </w:p>
    <w:p w:rsidR="00604BCF" w:rsidRPr="00D46B0D" w:rsidRDefault="00604BCF" w:rsidP="00604BCF">
      <w:r w:rsidRPr="00D46B0D">
        <w:t xml:space="preserve">The article Cinema Chain lets anti-vax film show on page 6 of The Australian, 4 August 2017, implies that the film </w:t>
      </w:r>
      <w:proofErr w:type="spellStart"/>
      <w:r w:rsidRPr="00604BCF">
        <w:rPr>
          <w:i/>
          <w:iCs/>
        </w:rPr>
        <w:t>Vaxxed</w:t>
      </w:r>
      <w:proofErr w:type="spellEnd"/>
      <w:r w:rsidRPr="00604BCF">
        <w:rPr>
          <w:i/>
          <w:iCs/>
        </w:rPr>
        <w:t xml:space="preserve">: </w:t>
      </w:r>
      <w:r w:rsidRPr="00604BCF">
        <w:rPr>
          <w:i/>
          <w:iCs/>
        </w:rPr>
        <w:t>from cover-up to catastrophe</w:t>
      </w:r>
      <w:r w:rsidRPr="00D46B0D">
        <w:t xml:space="preserve"> has been banned by the Australian Classification Board. The Board classified </w:t>
      </w:r>
      <w:proofErr w:type="spellStart"/>
      <w:r w:rsidRPr="00604BCF">
        <w:rPr>
          <w:i/>
          <w:iCs/>
        </w:rPr>
        <w:t>Vaxxed</w:t>
      </w:r>
      <w:proofErr w:type="spellEnd"/>
      <w:r w:rsidRPr="00604BCF">
        <w:rPr>
          <w:i/>
          <w:iCs/>
        </w:rPr>
        <w:t xml:space="preserve">: </w:t>
      </w:r>
      <w:r w:rsidRPr="00604BCF">
        <w:rPr>
          <w:i/>
          <w:iCs/>
        </w:rPr>
        <w:t>from cover-up to catastrophe</w:t>
      </w:r>
      <w:r w:rsidRPr="00D46B0D">
        <w:t xml:space="preserve"> PG with consumer advice of ‘mild themes and infrequent coarse language’ on 18 July 2017. A film classified PG can be exhibited in Australia without any restrictions on who is admitted to the screening, however, films classified PG are not recommended for children under 15 years without supervision from a parent or guardian.</w:t>
      </w:r>
    </w:p>
    <w:p w:rsidR="00604BCF" w:rsidRPr="00D46B0D" w:rsidRDefault="00604BCF" w:rsidP="00604BCF">
      <w:r w:rsidRPr="00D46B0D">
        <w:t xml:space="preserve">When classifying films, the Board applies the </w:t>
      </w:r>
      <w:r w:rsidRPr="00604BCF">
        <w:rPr>
          <w:i/>
          <w:iCs/>
        </w:rPr>
        <w:t>Classification (Publications, Films and Computer Games) Act 1995</w:t>
      </w:r>
      <w:r w:rsidRPr="00D46B0D">
        <w:t xml:space="preserve"> (the Act), the National Classification Code (the Code), and the Guidelines for the Classification of Films (the Guidelines), and classifies films as submitted. The consideration of impact and context are essential principles in the use of the Guidelines. The Act, the Code and the Guidelines are available at </w:t>
      </w:r>
      <w:hyperlink r:id="rId10" w:history="1">
        <w:r w:rsidRPr="00D46B0D">
          <w:rPr>
            <w:rStyle w:val="Hyperlink"/>
          </w:rPr>
          <w:t>www.classification.gov.au</w:t>
        </w:r>
      </w:hyperlink>
      <w:r w:rsidRPr="00D46B0D">
        <w:t>.</w:t>
      </w:r>
    </w:p>
    <w:p w:rsidR="00AF751A" w:rsidRDefault="00AF751A" w:rsidP="00AF751A">
      <w:pPr>
        <w:spacing w:before="960"/>
      </w:pPr>
      <w:r>
        <w:t>Margaret Anderson</w:t>
      </w:r>
      <w:r>
        <w:br/>
        <w:t xml:space="preserve">Acting </w:t>
      </w:r>
      <w:r w:rsidRPr="00740062">
        <w:t>Director</w:t>
      </w:r>
      <w:r>
        <w:br/>
        <w:t>Classification Board</w:t>
      </w:r>
    </w:p>
    <w:p w:rsidR="00AF751A" w:rsidRDefault="00604BCF" w:rsidP="00AF751A">
      <w:r>
        <w:t xml:space="preserve">Media Contact: Kathryn Reidy </w:t>
      </w:r>
      <w:r w:rsidR="00AF751A">
        <w:t>02 9289 7100</w:t>
      </w:r>
    </w:p>
    <w:p w:rsidR="00604BCF" w:rsidRDefault="00604BCF" w:rsidP="00AF751A">
      <w:bookmarkStart w:id="0" w:name="_GoBack"/>
      <w:bookmarkEnd w:id="0"/>
    </w:p>
    <w:sectPr w:rsidR="00604BCF" w:rsidSect="00D5394A">
      <w:headerReference w:type="default" r:id="rId11"/>
      <w:footerReference w:type="default" r:id="rId12"/>
      <w:type w:val="continuous"/>
      <w:pgSz w:w="11906" w:h="16838"/>
      <w:pgMar w:top="1440" w:right="1440" w:bottom="1440" w:left="1440"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220" w:rsidRDefault="004A3220" w:rsidP="00D5394A">
      <w:pPr>
        <w:spacing w:after="0"/>
      </w:pPr>
      <w:r>
        <w:separator/>
      </w:r>
    </w:p>
  </w:endnote>
  <w:endnote w:type="continuationSeparator" w:id="0">
    <w:p w:rsidR="004A3220" w:rsidRDefault="004A3220"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20" w:rsidRPr="009257FA" w:rsidRDefault="004A3220" w:rsidP="00AF751A">
    <w:pPr>
      <w:pStyle w:val="Footer"/>
      <w:tabs>
        <w:tab w:val="left" w:pos="3119"/>
        <w:tab w:val="left" w:pos="5670"/>
      </w:tabs>
      <w:jc w:val="center"/>
      <w:rPr>
        <w:sz w:val="18"/>
      </w:rP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p w:rsidR="004A3220" w:rsidRDefault="004A3220" w:rsidP="00D5394A">
    <w:pPr>
      <w:pStyle w:val="Footer"/>
      <w:ind w:left="-14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20" w:rsidRPr="0037566A" w:rsidRDefault="004A3220" w:rsidP="00D5394A">
    <w:pPr>
      <w:pStyle w:val="Footer"/>
      <w:tabs>
        <w:tab w:val="clear" w:pos="9026"/>
        <w:tab w:val="right" w:pos="9333"/>
      </w:tabs>
      <w:rPr>
        <w:sz w:val="18"/>
        <w:szCs w:val="18"/>
      </w:rPr>
    </w:pPr>
    <w:r>
      <w:rPr>
        <w:sz w:val="18"/>
        <w:szCs w:val="18"/>
      </w:rPr>
      <w:tab/>
    </w:r>
    <w:hyperlink r:id="rId1" w:history="1">
      <w:r w:rsidRPr="0037566A">
        <w:rPr>
          <w:rStyle w:val="Hyperlink"/>
          <w:sz w:val="18"/>
          <w:szCs w:val="18"/>
        </w:rPr>
        <w:t>www.communications.gov.au</w:t>
      </w:r>
    </w:hyperlink>
  </w:p>
  <w:p w:rsidR="004A3220" w:rsidRPr="000D3D9D" w:rsidRDefault="004A3220" w:rsidP="00D5394A">
    <w:pPr>
      <w:pStyle w:val="Footer"/>
      <w:tabs>
        <w:tab w:val="clear" w:pos="9026"/>
        <w:tab w:val="right" w:pos="9333"/>
      </w:tabs>
      <w:rPr>
        <w:rStyle w:val="Hyperlink"/>
        <w:color w:val="auto"/>
        <w:sz w:val="18"/>
        <w:szCs w:val="18"/>
      </w:rPr>
    </w:pPr>
    <w:r>
      <w:rPr>
        <w:sz w:val="18"/>
        <w:szCs w:val="18"/>
      </w:rPr>
      <w:t>&lt;</w:t>
    </w:r>
    <w:proofErr w:type="gramStart"/>
    <w:r>
      <w:rPr>
        <w:sz w:val="18"/>
        <w:szCs w:val="18"/>
      </w:rPr>
      <w:t>add</w:t>
    </w:r>
    <w:proofErr w:type="gramEnd"/>
    <w:r>
      <w:rPr>
        <w:sz w:val="18"/>
        <w:szCs w:val="18"/>
      </w:rPr>
      <w:t xml:space="preserve"> document title here&gt;</w:t>
    </w:r>
    <w:r w:rsidRPr="0037566A">
      <w:rPr>
        <w:sz w:val="18"/>
        <w:szCs w:val="18"/>
      </w:rPr>
      <w:tab/>
    </w:r>
    <w:hyperlink r:id="rId2" w:history="1">
      <w:r w:rsidRPr="0037566A">
        <w:rPr>
          <w:rStyle w:val="Hyperlink"/>
          <w:sz w:val="18"/>
          <w:szCs w:val="18"/>
        </w:rPr>
        <w:t>www.arts.gov.au</w:t>
      </w:r>
    </w:hyperlink>
    <w:r w:rsidRPr="0037566A">
      <w:rPr>
        <w:sz w:val="18"/>
        <w:szCs w:val="18"/>
      </w:rPr>
      <w:tab/>
    </w:r>
    <w:sdt>
      <w:sdtPr>
        <w:rPr>
          <w:sz w:val="18"/>
          <w:szCs w:val="18"/>
        </w:rPr>
        <w:id w:val="-984167973"/>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Pr>
            <w:bCs/>
            <w:noProof/>
            <w:sz w:val="18"/>
            <w:szCs w:val="18"/>
          </w:rPr>
          <w:t>3</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Pr>
            <w:bCs/>
            <w:noProof/>
            <w:sz w:val="18"/>
            <w:szCs w:val="18"/>
          </w:rPr>
          <w:t>1</w:t>
        </w:r>
        <w:r w:rsidRPr="0037566A">
          <w:rPr>
            <w:bCs/>
            <w:sz w:val="18"/>
            <w:szCs w:val="18"/>
          </w:rPr>
          <w:fldChar w:fldCharType="end"/>
        </w:r>
      </w:sdtContent>
    </w:sdt>
  </w:p>
  <w:p w:rsidR="004A3220" w:rsidRPr="000D3D9D" w:rsidRDefault="004A3220" w:rsidP="00D5394A">
    <w:pPr>
      <w:pStyle w:val="Footer"/>
      <w:tabs>
        <w:tab w:val="clear" w:pos="9026"/>
        <w:tab w:val="right" w:pos="9333"/>
      </w:tabs>
      <w:rPr>
        <w:rStyle w:val="Hyperlink"/>
        <w:color w:val="auto"/>
        <w:sz w:val="18"/>
        <w:szCs w:val="18"/>
      </w:rPr>
    </w:pPr>
    <w:r w:rsidRPr="0037566A">
      <w:rPr>
        <w:sz w:val="18"/>
        <w:szCs w:val="18"/>
      </w:rPr>
      <w:tab/>
    </w:r>
    <w:hyperlink r:id="rId3" w:history="1">
      <w:r w:rsidRPr="0037566A">
        <w:rPr>
          <w:rStyle w:val="Hyperlink"/>
          <w:sz w:val="18"/>
          <w:szCs w:val="18"/>
        </w:rPr>
        <w:t>www.classification.gov.au</w:t>
      </w:r>
    </w:hyperlink>
    <w:r w:rsidRPr="00BB0E59">
      <w:rPr>
        <w:sz w:val="18"/>
        <w:szCs w:val="18"/>
      </w:rPr>
      <w:t xml:space="preserve"> </w:t>
    </w:r>
    <w:r>
      <w:rPr>
        <w:sz w:val="18"/>
        <w:szCs w:val="18"/>
      </w:rPr>
      <w:tab/>
    </w:r>
    <w:r w:rsidRPr="00BB0E59">
      <w:rPr>
        <w:sz w:val="14"/>
        <w:szCs w:val="14"/>
      </w:rPr>
      <w:t>template updated 14 July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220" w:rsidRDefault="004A3220" w:rsidP="00D5394A">
      <w:pPr>
        <w:spacing w:after="0"/>
      </w:pPr>
      <w:r>
        <w:separator/>
      </w:r>
    </w:p>
  </w:footnote>
  <w:footnote w:type="continuationSeparator" w:id="0">
    <w:p w:rsidR="004A3220" w:rsidRDefault="004A3220" w:rsidP="00D539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20" w:rsidRDefault="004A3220" w:rsidP="00D5394A">
    <w:pPr>
      <w:pStyle w:val="Header"/>
      <w:ind w:left="-1418"/>
    </w:pPr>
    <w:r>
      <w:rPr>
        <w:noProof/>
        <w:lang w:bidi="hi-IN"/>
      </w:rPr>
      <w:drawing>
        <wp:inline distT="0" distB="0" distL="0" distR="0" wp14:anchorId="653CF1EB" wp14:editId="6E19A3E7">
          <wp:extent cx="7549815" cy="367665"/>
          <wp:effectExtent l="0" t="0" r="0" b="0"/>
          <wp:docPr id="4" name="Picture 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rsidR="004A3220" w:rsidRPr="00A96536" w:rsidRDefault="004A3220" w:rsidP="00D5394A">
    <w:pPr>
      <w:pStyle w:val="Header"/>
      <w:tabs>
        <w:tab w:val="clear" w:pos="9026"/>
        <w:tab w:val="right" w:pos="9333"/>
      </w:tabs>
    </w:pPr>
    <w:r>
      <w:t>Classification Board</w:t>
    </w:r>
    <w:r w:rsidRPr="00A96536">
      <w:tab/>
    </w:r>
    <w:r w:rsidRPr="00A96536">
      <w:tab/>
      <w:t>&lt;month year&gt;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A"/>
    <w:rsid w:val="001472FC"/>
    <w:rsid w:val="00392BB1"/>
    <w:rsid w:val="003E6E7C"/>
    <w:rsid w:val="004A3220"/>
    <w:rsid w:val="00604BCF"/>
    <w:rsid w:val="0065451C"/>
    <w:rsid w:val="0090556C"/>
    <w:rsid w:val="00A369E0"/>
    <w:rsid w:val="00AC6498"/>
    <w:rsid w:val="00AE4F02"/>
    <w:rsid w:val="00AF751A"/>
    <w:rsid w:val="00BB0E59"/>
    <w:rsid w:val="00CB07B4"/>
    <w:rsid w:val="00D5394A"/>
    <w:rsid w:val="00DD5D52"/>
    <w:rsid w:val="00E81D12"/>
    <w:rsid w:val="00EA6D34"/>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334BEDE-99CD-4836-B7F5-0337A1DF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6C"/>
    <w:pPr>
      <w:spacing w:after="240" w:line="240" w:lineRule="auto"/>
    </w:pPr>
  </w:style>
  <w:style w:type="paragraph" w:styleId="Heading1">
    <w:name w:val="heading 1"/>
    <w:basedOn w:val="Normal"/>
    <w:next w:val="Normal"/>
    <w:link w:val="Heading1Char"/>
    <w:uiPriority w:val="9"/>
    <w:qFormat/>
    <w:rsid w:val="0090556C"/>
    <w:pPr>
      <w:keepNext/>
      <w:spacing w:before="400"/>
      <w:outlineLvl w:val="0"/>
    </w:pPr>
    <w:rPr>
      <w:rFonts w:asciiTheme="majorHAnsi" w:eastAsiaTheme="majorEastAsia" w:hAnsiTheme="majorHAnsi" w:cstheme="majorBidi"/>
      <w:b/>
      <w:color w:val="0F293A"/>
      <w:sz w:val="48"/>
      <w:szCs w:val="32"/>
      <w:lang w:eastAsia="en-US"/>
    </w:rPr>
  </w:style>
  <w:style w:type="paragraph" w:styleId="Heading2">
    <w:name w:val="heading 2"/>
    <w:basedOn w:val="Normal"/>
    <w:next w:val="Normal"/>
    <w:link w:val="Heading2Char"/>
    <w:uiPriority w:val="9"/>
    <w:unhideWhenUsed/>
    <w:qFormat/>
    <w:rsid w:val="0090556C"/>
    <w:pPr>
      <w:keepNext/>
      <w:spacing w:before="120"/>
      <w:outlineLvl w:val="1"/>
    </w:pPr>
    <w:rPr>
      <w:rFonts w:asciiTheme="majorHAnsi" w:eastAsiaTheme="majorEastAsia" w:hAnsiTheme="majorHAnsi" w:cstheme="majorBidi"/>
      <w:b/>
      <w:color w:val="07478C"/>
      <w:sz w:val="36"/>
      <w:szCs w:val="26"/>
      <w:lang w:eastAsia="en-US"/>
    </w:rPr>
  </w:style>
  <w:style w:type="paragraph" w:styleId="Heading3">
    <w:name w:val="heading 3"/>
    <w:basedOn w:val="Normal"/>
    <w:next w:val="Normal"/>
    <w:link w:val="Heading3Char"/>
    <w:uiPriority w:val="9"/>
    <w:unhideWhenUsed/>
    <w:qFormat/>
    <w:rsid w:val="0090556C"/>
    <w:pPr>
      <w:keepNext/>
      <w:spacing w:before="120" w:after="120"/>
      <w:outlineLvl w:val="2"/>
    </w:pPr>
    <w:rPr>
      <w:rFonts w:asciiTheme="majorHAnsi" w:eastAsiaTheme="majorEastAsia" w:hAnsiTheme="majorHAnsi" w:cstheme="majorBidi"/>
      <w:b/>
      <w:color w:val="07478C"/>
      <w:sz w:val="30"/>
      <w:szCs w:val="24"/>
      <w:lang w:eastAsia="en-US"/>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56C"/>
    <w:rPr>
      <w:rFonts w:asciiTheme="majorHAnsi" w:eastAsiaTheme="majorEastAsia" w:hAnsiTheme="majorHAnsi" w:cstheme="majorBidi"/>
      <w:b/>
      <w:color w:val="07478C"/>
      <w:sz w:val="36"/>
      <w:szCs w:val="26"/>
      <w:lang w:eastAsia="en-US"/>
    </w:rPr>
  </w:style>
  <w:style w:type="character" w:customStyle="1" w:styleId="Heading3Char">
    <w:name w:val="Heading 3 Char"/>
    <w:basedOn w:val="DefaultParagraphFont"/>
    <w:link w:val="Heading3"/>
    <w:uiPriority w:val="9"/>
    <w:rsid w:val="0090556C"/>
    <w:rPr>
      <w:rFonts w:asciiTheme="majorHAnsi" w:eastAsiaTheme="majorEastAsia" w:hAnsiTheme="majorHAnsi" w:cstheme="majorBidi"/>
      <w:b/>
      <w:color w:val="07478C"/>
      <w:sz w:val="30"/>
      <w:szCs w:val="24"/>
      <w:lang w:eastAsia="en-US"/>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90556C"/>
    <w:rPr>
      <w:rFonts w:asciiTheme="majorHAnsi" w:eastAsiaTheme="majorEastAsia" w:hAnsiTheme="majorHAnsi" w:cstheme="majorBidi"/>
      <w:b/>
      <w:color w:val="0F293A"/>
      <w:sz w:val="48"/>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90556C"/>
    <w:pPr>
      <w:keepNext/>
      <w:spacing w:before="40" w:after="0"/>
    </w:pPr>
    <w:rPr>
      <w:rFonts w:asciiTheme="majorHAnsi" w:eastAsiaTheme="minorHAnsi" w:hAnsiTheme="majorHAnsi"/>
      <w:b/>
      <w:color w:val="07478C"/>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classification.gov.a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lassification.gov.au" TargetMode="External"/><Relationship Id="rId2" Type="http://schemas.openxmlformats.org/officeDocument/2006/relationships/hyperlink" Target="http://www.arts.gov.au" TargetMode="External"/><Relationship Id="rId1" Type="http://schemas.openxmlformats.org/officeDocument/2006/relationships/hyperlink" Target="http://www.communication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11E984-1A64-4D69-9369-E9B5E7C4140E}"/>
</file>

<file path=customXml/itemProps2.xml><?xml version="1.0" encoding="utf-8"?>
<ds:datastoreItem xmlns:ds="http://schemas.openxmlformats.org/officeDocument/2006/customXml" ds:itemID="{FFEBC012-3CBC-4430-B401-71380153EFBA}"/>
</file>

<file path=customXml/itemProps3.xml><?xml version="1.0" encoding="utf-8"?>
<ds:datastoreItem xmlns:ds="http://schemas.openxmlformats.org/officeDocument/2006/customXml" ds:itemID="{08326020-8732-45FA-AB18-9A95C7337F8E}"/>
</file>

<file path=customXml/itemProps4.xml><?xml version="1.0" encoding="utf-8"?>
<ds:datastoreItem xmlns:ds="http://schemas.openxmlformats.org/officeDocument/2006/customXml" ds:itemID="{440A6850-9D85-48FC-9D84-85D04483F9F0}"/>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Media release—Vaxxed: from cover-up to catastrophe</vt:lpstr>
    </vt:vector>
  </TitlesOfParts>
  <Company>Department of Communications</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release—Vaxxed: from cover-up to catastrophe</dc:title>
  <dc:subject/>
  <dc:creator>Department of Communications and the Arts</dc:creator>
  <cp:keywords/>
  <dc:description/>
  <cp:lastModifiedBy>Department of Communications and the Arts</cp:lastModifiedBy>
  <cp:revision>2</cp:revision>
  <cp:lastPrinted>2017-07-14T08:52:00Z</cp:lastPrinted>
  <dcterms:created xsi:type="dcterms:W3CDTF">2017-08-04T06:57:00Z</dcterms:created>
  <dcterms:modified xsi:type="dcterms:W3CDTF">2017-08-04T06:57:00Z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ies>
</file>