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5F" w:rsidRPr="00EF18DC" w:rsidRDefault="00B03E5F">
      <w:pPr>
        <w:pStyle w:val="Pa12"/>
        <w:jc w:val="center"/>
        <w:rPr>
          <w:rFonts w:ascii="Times New Roman" w:hAnsi="Times New Roman" w:cs="Times New Roman"/>
          <w:b/>
          <w:bCs/>
          <w:sz w:val="28"/>
          <w:szCs w:val="28"/>
        </w:rPr>
      </w:pPr>
      <w:bookmarkStart w:id="0" w:name="_GoBack"/>
      <w:bookmarkEnd w:id="0"/>
    </w:p>
    <w:p w:rsidR="00B03E5F" w:rsidRPr="00EF18DC" w:rsidRDefault="00B03E5F">
      <w:pPr>
        <w:pStyle w:val="Pa12"/>
        <w:jc w:val="center"/>
        <w:rPr>
          <w:rFonts w:ascii="Times New Roman" w:hAnsi="Times New Roman" w:cs="Times New Roman"/>
          <w:b/>
          <w:bCs/>
          <w:sz w:val="28"/>
          <w:szCs w:val="28"/>
        </w:rPr>
      </w:pPr>
    </w:p>
    <w:p w:rsidR="00B03E5F" w:rsidRPr="00EF18DC" w:rsidRDefault="00B03E5F">
      <w:pPr>
        <w:pStyle w:val="Pa12"/>
        <w:jc w:val="center"/>
        <w:rPr>
          <w:rFonts w:ascii="Times New Roman" w:hAnsi="Times New Roman" w:cs="Times New Roman"/>
          <w:b/>
          <w:bCs/>
          <w:sz w:val="32"/>
          <w:szCs w:val="32"/>
        </w:rPr>
      </w:pPr>
    </w:p>
    <w:p w:rsidR="00B03E5F" w:rsidRPr="00EF18DC" w:rsidRDefault="00B03E5F">
      <w:pPr>
        <w:pStyle w:val="Pa12"/>
        <w:jc w:val="center"/>
        <w:rPr>
          <w:rFonts w:ascii="Times New Roman" w:hAnsi="Times New Roman" w:cs="Times New Roman"/>
          <w:b/>
          <w:bCs/>
          <w:sz w:val="32"/>
          <w:szCs w:val="32"/>
        </w:rPr>
      </w:pPr>
    </w:p>
    <w:p w:rsidR="00437572" w:rsidRPr="00EF18DC" w:rsidRDefault="00437572">
      <w:pPr>
        <w:pStyle w:val="Pa12"/>
        <w:jc w:val="center"/>
        <w:rPr>
          <w:rFonts w:ascii="Times New Roman" w:hAnsi="Times New Roman" w:cs="Times New Roman"/>
          <w:b/>
          <w:bCs/>
          <w:sz w:val="32"/>
          <w:szCs w:val="32"/>
        </w:rPr>
      </w:pPr>
    </w:p>
    <w:p w:rsidR="00B03E5F" w:rsidRPr="00EF18DC" w:rsidRDefault="007543E4">
      <w:pPr>
        <w:pStyle w:val="Pa12"/>
        <w:jc w:val="center"/>
        <w:rPr>
          <w:rFonts w:ascii="Times New Roman" w:hAnsi="Times New Roman" w:cs="Times New Roman"/>
          <w:b/>
          <w:bCs/>
          <w:color w:val="000000"/>
          <w:sz w:val="32"/>
          <w:szCs w:val="32"/>
        </w:rPr>
      </w:pPr>
      <w:r w:rsidRPr="00EF18DC">
        <w:rPr>
          <w:rFonts w:ascii="Times New Roman" w:hAnsi="Times New Roman" w:cs="Times New Roman"/>
          <w:b/>
          <w:bCs/>
          <w:color w:val="000000"/>
          <w:sz w:val="32"/>
          <w:szCs w:val="32"/>
        </w:rPr>
        <w:t>Attorney General’s Department</w:t>
      </w:r>
    </w:p>
    <w:p w:rsidR="00B03E5F" w:rsidRPr="00EF18DC" w:rsidRDefault="00926D74" w:rsidP="000B376A">
      <w:pPr>
        <w:jc w:val="center"/>
        <w:rPr>
          <w:rFonts w:eastAsia="SimSun"/>
          <w:b/>
          <w:bCs/>
          <w:color w:val="000000"/>
          <w:sz w:val="32"/>
          <w:szCs w:val="32"/>
          <w:lang w:val="en-US"/>
        </w:rPr>
      </w:pPr>
      <w:r>
        <w:rPr>
          <w:rFonts w:eastAsia="SimSun"/>
          <w:b/>
          <w:bCs/>
          <w:color w:val="000000"/>
          <w:sz w:val="32"/>
          <w:szCs w:val="32"/>
          <w:lang w:val="en-US"/>
        </w:rPr>
        <w:t>Territories and Information Law Division</w:t>
      </w:r>
    </w:p>
    <w:p w:rsidR="00B03E5F" w:rsidRPr="00EF18DC" w:rsidRDefault="00B03E5F">
      <w:pPr>
        <w:rPr>
          <w:lang w:val="en-US"/>
        </w:rPr>
      </w:pPr>
    </w:p>
    <w:p w:rsidR="00B03E5F" w:rsidRPr="00EF18DC" w:rsidRDefault="00B03E5F">
      <w:pPr>
        <w:rPr>
          <w:lang w:val="en-US"/>
        </w:rPr>
      </w:pPr>
    </w:p>
    <w:p w:rsidR="00B03E5F" w:rsidRPr="00EF18DC" w:rsidRDefault="00B03E5F">
      <w:pPr>
        <w:rPr>
          <w:lang w:val="en-US"/>
        </w:rPr>
      </w:pPr>
    </w:p>
    <w:p w:rsidR="00B03E5F" w:rsidRPr="00EF18DC" w:rsidRDefault="00B03E5F">
      <w:pPr>
        <w:rPr>
          <w:lang w:val="en-US"/>
        </w:rPr>
      </w:pPr>
    </w:p>
    <w:p w:rsidR="00B03E5F" w:rsidRPr="00EF18DC" w:rsidRDefault="00B03E5F">
      <w:pPr>
        <w:rPr>
          <w:lang w:val="en-US"/>
        </w:rPr>
      </w:pPr>
    </w:p>
    <w:p w:rsidR="00B03E5F" w:rsidRPr="00EF18DC" w:rsidRDefault="00BD29AC">
      <w:pPr>
        <w:pStyle w:val="Pa12"/>
        <w:jc w:val="center"/>
        <w:rPr>
          <w:rFonts w:ascii="Times New Roman" w:hAnsi="Times New Roman" w:cs="Times New Roman"/>
          <w:b/>
          <w:bCs/>
          <w:sz w:val="32"/>
          <w:szCs w:val="32"/>
        </w:rPr>
      </w:pPr>
      <w:r>
        <w:rPr>
          <w:rFonts w:ascii="Times New Roman" w:hAnsi="Times New Roman" w:cs="Times New Roman"/>
          <w:b/>
          <w:bCs/>
          <w:sz w:val="32"/>
          <w:szCs w:val="32"/>
        </w:rPr>
        <w:t xml:space="preserve">INTERIM </w:t>
      </w:r>
      <w:r w:rsidR="00B03E5F" w:rsidRPr="00EF18DC">
        <w:rPr>
          <w:rFonts w:ascii="Times New Roman" w:hAnsi="Times New Roman" w:cs="Times New Roman"/>
          <w:b/>
          <w:bCs/>
          <w:sz w:val="32"/>
          <w:szCs w:val="32"/>
        </w:rPr>
        <w:t>COST RECOVERY IMPACT STATEMENT</w:t>
      </w:r>
    </w:p>
    <w:p w:rsidR="00DC28DB" w:rsidRPr="00EF18DC" w:rsidRDefault="00B64257" w:rsidP="00DC28DB">
      <w:pPr>
        <w:jc w:val="center"/>
        <w:rPr>
          <w:b/>
          <w:sz w:val="32"/>
          <w:szCs w:val="32"/>
        </w:rPr>
      </w:pPr>
      <w:r>
        <w:rPr>
          <w:b/>
          <w:sz w:val="32"/>
          <w:szCs w:val="32"/>
        </w:rPr>
        <w:t>Classification Training Fees</w:t>
      </w:r>
    </w:p>
    <w:p w:rsidR="00DC28DB" w:rsidRPr="00EF18DC" w:rsidRDefault="00DC28DB" w:rsidP="00DC28DB">
      <w:pPr>
        <w:rPr>
          <w:lang w:val="en-US"/>
        </w:rPr>
      </w:pPr>
    </w:p>
    <w:p w:rsidR="00B03E5F" w:rsidRPr="00EF18DC" w:rsidRDefault="00B03E5F">
      <w:pPr>
        <w:rPr>
          <w:lang w:val="en-US"/>
        </w:rPr>
      </w:pPr>
    </w:p>
    <w:p w:rsidR="00B03E5F" w:rsidRPr="00EF18DC" w:rsidRDefault="00B03E5F">
      <w:pPr>
        <w:rPr>
          <w:lang w:val="en-US"/>
        </w:rPr>
      </w:pPr>
    </w:p>
    <w:p w:rsidR="00B03E5F" w:rsidRPr="00EF18DC" w:rsidRDefault="00B03E5F">
      <w:pPr>
        <w:rPr>
          <w:lang w:val="en-US"/>
        </w:rPr>
      </w:pPr>
    </w:p>
    <w:p w:rsidR="00B03E5F" w:rsidRPr="00262134" w:rsidRDefault="006C11CB">
      <w:pPr>
        <w:jc w:val="center"/>
        <w:rPr>
          <w:iCs/>
          <w:lang w:val="en-US"/>
        </w:rPr>
      </w:pPr>
      <w:r>
        <w:rPr>
          <w:iCs/>
          <w:lang w:val="en-US"/>
        </w:rPr>
        <w:t>June</w:t>
      </w:r>
      <w:r w:rsidR="007543E4" w:rsidRPr="00262134">
        <w:rPr>
          <w:iCs/>
          <w:lang w:val="en-US"/>
        </w:rPr>
        <w:t xml:space="preserve"> 200</w:t>
      </w:r>
      <w:r w:rsidR="00926D74">
        <w:rPr>
          <w:iCs/>
          <w:lang w:val="en-US"/>
        </w:rPr>
        <w:t>9</w:t>
      </w:r>
    </w:p>
    <w:p w:rsidR="00B03E5F" w:rsidRPr="00EF18DC" w:rsidRDefault="00B03E5F">
      <w:pPr>
        <w:jc w:val="center"/>
        <w:rPr>
          <w:lang w:val="en-US"/>
        </w:rPr>
      </w:pPr>
    </w:p>
    <w:p w:rsidR="00B03E5F" w:rsidRPr="00EF18DC" w:rsidRDefault="00B03E5F">
      <w:pPr>
        <w:pStyle w:val="Heading1"/>
        <w:numPr>
          <w:ilvl w:val="0"/>
          <w:numId w:val="0"/>
        </w:numPr>
        <w:jc w:val="left"/>
        <w:rPr>
          <w:i w:val="0"/>
          <w:iCs w:val="0"/>
        </w:rPr>
      </w:pPr>
    </w:p>
    <w:p w:rsidR="00B03E5F" w:rsidRPr="00EF18DC" w:rsidRDefault="00B03E5F">
      <w:pPr>
        <w:pStyle w:val="Pa4"/>
        <w:widowControl/>
        <w:autoSpaceDE/>
        <w:autoSpaceDN/>
        <w:adjustRightInd/>
        <w:spacing w:after="0" w:line="240" w:lineRule="auto"/>
        <w:rPr>
          <w:rFonts w:ascii="Times New Roman" w:eastAsia="Times New Roman" w:hAnsi="Times New Roman" w:cs="Times New Roman"/>
        </w:rPr>
      </w:pPr>
    </w:p>
    <w:p w:rsidR="008C3C2F" w:rsidRPr="00EF18DC" w:rsidRDefault="008C3C2F">
      <w:pPr>
        <w:pStyle w:val="Pa12"/>
        <w:rPr>
          <w:rFonts w:ascii="Times New Roman" w:hAnsi="Times New Roman" w:cs="Times New Roman"/>
          <w:b/>
          <w:bCs/>
        </w:rPr>
      </w:pPr>
    </w:p>
    <w:p w:rsidR="008C3C2F" w:rsidRPr="00EF18DC" w:rsidRDefault="008C3C2F">
      <w:pPr>
        <w:pStyle w:val="Pa12"/>
        <w:rPr>
          <w:rFonts w:ascii="Times New Roman" w:hAnsi="Times New Roman" w:cs="Times New Roman"/>
          <w:b/>
          <w:bCs/>
        </w:rPr>
      </w:pPr>
    </w:p>
    <w:p w:rsidR="008C3C2F" w:rsidRPr="00EF18DC" w:rsidRDefault="008C3C2F">
      <w:pPr>
        <w:pStyle w:val="Pa12"/>
        <w:rPr>
          <w:rFonts w:ascii="Times New Roman" w:hAnsi="Times New Roman" w:cs="Times New Roman"/>
          <w:b/>
          <w:bCs/>
        </w:rPr>
      </w:pPr>
    </w:p>
    <w:p w:rsidR="008C3C2F" w:rsidRPr="00EF18DC" w:rsidRDefault="008C3C2F">
      <w:pPr>
        <w:pStyle w:val="Pa12"/>
        <w:rPr>
          <w:rFonts w:ascii="Times New Roman" w:hAnsi="Times New Roman" w:cs="Times New Roman"/>
          <w:b/>
          <w:bCs/>
        </w:rPr>
      </w:pPr>
    </w:p>
    <w:p w:rsidR="008C3C2F" w:rsidRPr="00EF18DC" w:rsidRDefault="008C3C2F">
      <w:pPr>
        <w:pStyle w:val="Pa12"/>
        <w:rPr>
          <w:rFonts w:ascii="Times New Roman" w:hAnsi="Times New Roman" w:cs="Times New Roman"/>
          <w:b/>
          <w:bCs/>
        </w:rPr>
      </w:pPr>
    </w:p>
    <w:p w:rsidR="005269B6" w:rsidRPr="00F53613" w:rsidRDefault="00B4760C" w:rsidP="00C22EF7">
      <w:pPr>
        <w:pStyle w:val="Pa12"/>
        <w:rPr>
          <w:rFonts w:ascii="Times New Roman" w:hAnsi="Times New Roman" w:cs="Times New Roman"/>
          <w:b/>
          <w:bCs/>
          <w:sz w:val="32"/>
          <w:szCs w:val="32"/>
          <w:u w:val="double"/>
        </w:rPr>
      </w:pPr>
      <w:r w:rsidRPr="00EF18DC">
        <w:rPr>
          <w:rFonts w:ascii="Times New Roman" w:hAnsi="Times New Roman" w:cs="Times New Roman"/>
          <w:b/>
          <w:bCs/>
        </w:rPr>
        <w:br w:type="page"/>
      </w:r>
      <w:r w:rsidR="005269B6" w:rsidRPr="00F53613">
        <w:rPr>
          <w:rFonts w:ascii="Times New Roman" w:hAnsi="Times New Roman" w:cs="Times New Roman"/>
          <w:b/>
          <w:bCs/>
          <w:sz w:val="32"/>
          <w:szCs w:val="32"/>
          <w:u w:val="double"/>
        </w:rPr>
        <w:lastRenderedPageBreak/>
        <w:t>Table of Contents</w:t>
      </w:r>
    </w:p>
    <w:p w:rsidR="00EE4547" w:rsidRDefault="00EE4547" w:rsidP="00EE4547">
      <w:pPr>
        <w:pStyle w:val="Pa12"/>
        <w:spacing w:line="360" w:lineRule="auto"/>
        <w:rPr>
          <w:rFonts w:ascii="Times New Roman" w:hAnsi="Times New Roman" w:cs="Times New Roman"/>
          <w:b/>
          <w:bCs/>
        </w:rPr>
      </w:pPr>
    </w:p>
    <w:p w:rsidR="00B03E5F" w:rsidRPr="00C20C42" w:rsidRDefault="00B03E5F" w:rsidP="007D3762">
      <w:pPr>
        <w:pStyle w:val="Pa12"/>
        <w:spacing w:line="480" w:lineRule="auto"/>
        <w:rPr>
          <w:rFonts w:ascii="Times New Roman" w:hAnsi="Times New Roman" w:cs="Times New Roman"/>
          <w:b/>
          <w:bCs/>
        </w:rPr>
      </w:pPr>
      <w:r w:rsidRPr="00C20C42">
        <w:rPr>
          <w:rFonts w:ascii="Times New Roman" w:hAnsi="Times New Roman" w:cs="Times New Roman"/>
          <w:b/>
          <w:bCs/>
        </w:rPr>
        <w:t>1.</w:t>
      </w:r>
      <w:r w:rsidRPr="00C20C42">
        <w:rPr>
          <w:rFonts w:ascii="Times New Roman" w:hAnsi="Times New Roman" w:cs="Times New Roman"/>
          <w:b/>
          <w:bCs/>
        </w:rPr>
        <w:tab/>
      </w:r>
      <w:hyperlink w:anchor="Overview" w:history="1">
        <w:r w:rsidRPr="00C20C42">
          <w:rPr>
            <w:rStyle w:val="Hyperlink"/>
            <w:rFonts w:ascii="Times New Roman" w:hAnsi="Times New Roman"/>
            <w:b/>
            <w:bCs/>
          </w:rPr>
          <w:t>OVERVIEW</w:t>
        </w:r>
      </w:hyperlink>
    </w:p>
    <w:p w:rsidR="00B03E5F" w:rsidRPr="00C20C42" w:rsidRDefault="00747311" w:rsidP="00C22EF7">
      <w:pPr>
        <w:spacing w:line="360" w:lineRule="auto"/>
        <w:ind w:left="720"/>
        <w:rPr>
          <w:lang w:val="en-US"/>
        </w:rPr>
      </w:pPr>
      <w:hyperlink w:anchor="purpose" w:history="1">
        <w:r w:rsidR="00B03E5F" w:rsidRPr="00C20C42">
          <w:rPr>
            <w:rStyle w:val="Hyperlink"/>
            <w:lang w:val="en-US"/>
          </w:rPr>
          <w:t>1.1</w:t>
        </w:r>
        <w:r w:rsidR="00B03E5F" w:rsidRPr="00C20C42">
          <w:rPr>
            <w:rStyle w:val="Hyperlink"/>
            <w:lang w:val="en-US"/>
          </w:rPr>
          <w:tab/>
          <w:t>Purpose</w:t>
        </w:r>
      </w:hyperlink>
    </w:p>
    <w:p w:rsidR="00B03E5F" w:rsidRPr="00C20C42" w:rsidRDefault="00701DCD" w:rsidP="00C22EF7">
      <w:pPr>
        <w:numPr>
          <w:ilvl w:val="1"/>
          <w:numId w:val="2"/>
        </w:numPr>
        <w:spacing w:line="360" w:lineRule="auto"/>
        <w:rPr>
          <w:lang w:val="en-US"/>
        </w:rPr>
      </w:pPr>
      <w:hyperlink w:anchor="background" w:history="1">
        <w:r w:rsidR="00B03E5F" w:rsidRPr="00C20C42">
          <w:rPr>
            <w:rStyle w:val="Hyperlink"/>
            <w:lang w:val="en-US"/>
          </w:rPr>
          <w:t>Background</w:t>
        </w:r>
      </w:hyperlink>
    </w:p>
    <w:p w:rsidR="00B03E5F" w:rsidRPr="00C20C42" w:rsidRDefault="00701DCD" w:rsidP="00C22EF7">
      <w:pPr>
        <w:numPr>
          <w:ilvl w:val="1"/>
          <w:numId w:val="2"/>
        </w:numPr>
        <w:spacing w:line="360" w:lineRule="auto"/>
        <w:rPr>
          <w:lang w:val="en-US"/>
        </w:rPr>
      </w:pPr>
      <w:hyperlink w:anchor="austrcrpolicy" w:history="1">
        <w:r w:rsidR="00B03E5F" w:rsidRPr="00C20C42">
          <w:rPr>
            <w:rStyle w:val="Hyperlink"/>
            <w:lang w:val="en-US"/>
          </w:rPr>
          <w:t>Australian Government Cost Recovery Policy</w:t>
        </w:r>
      </w:hyperlink>
    </w:p>
    <w:p w:rsidR="00C22EF7" w:rsidRPr="00F53613" w:rsidRDefault="00C22EF7" w:rsidP="00C22EF7">
      <w:pPr>
        <w:spacing w:line="360" w:lineRule="auto"/>
        <w:ind w:left="720"/>
        <w:rPr>
          <w:lang w:val="en-US"/>
        </w:rPr>
      </w:pPr>
    </w:p>
    <w:p w:rsidR="00B03E5F" w:rsidRPr="00C20C42" w:rsidRDefault="00B03E5F" w:rsidP="007D3762">
      <w:pPr>
        <w:spacing w:line="480" w:lineRule="auto"/>
        <w:rPr>
          <w:b/>
          <w:bCs/>
          <w:u w:val="single"/>
        </w:rPr>
      </w:pPr>
      <w:r w:rsidRPr="00C20C42">
        <w:rPr>
          <w:b/>
        </w:rPr>
        <w:t>2</w:t>
      </w:r>
      <w:r w:rsidRPr="00C20C42">
        <w:rPr>
          <w:sz w:val="28"/>
          <w:szCs w:val="28"/>
        </w:rPr>
        <w:t xml:space="preserve">. </w:t>
      </w:r>
      <w:r w:rsidRPr="00C20C42">
        <w:rPr>
          <w:sz w:val="28"/>
          <w:szCs w:val="28"/>
        </w:rPr>
        <w:tab/>
      </w:r>
      <w:hyperlink w:anchor="policyreview" w:history="1">
        <w:r w:rsidRPr="00C20C42">
          <w:rPr>
            <w:rStyle w:val="Hyperlink"/>
            <w:b/>
            <w:bCs/>
          </w:rPr>
          <w:t xml:space="preserve">POLICY REVIEW </w:t>
        </w:r>
      </w:hyperlink>
    </w:p>
    <w:p w:rsidR="00C22EF7" w:rsidRPr="00C20C42" w:rsidRDefault="00C22EF7" w:rsidP="00C22EF7">
      <w:pPr>
        <w:spacing w:line="360" w:lineRule="auto"/>
        <w:ind w:left="720"/>
        <w:rPr>
          <w:bCs/>
        </w:rPr>
      </w:pPr>
      <w:r w:rsidRPr="00C20C42">
        <w:rPr>
          <w:bCs/>
        </w:rPr>
        <w:t xml:space="preserve">2.1 </w:t>
      </w:r>
      <w:r w:rsidRPr="00C20C42">
        <w:rPr>
          <w:bCs/>
        </w:rPr>
        <w:tab/>
        <w:t>National Classification Scheme</w:t>
      </w:r>
    </w:p>
    <w:p w:rsidR="00C22EF7" w:rsidRPr="00C20C42" w:rsidRDefault="00C22EF7" w:rsidP="00C22EF7">
      <w:pPr>
        <w:spacing w:line="360" w:lineRule="auto"/>
        <w:ind w:left="720"/>
        <w:rPr>
          <w:bCs/>
        </w:rPr>
      </w:pPr>
      <w:r w:rsidRPr="00C20C42">
        <w:rPr>
          <w:bCs/>
        </w:rPr>
        <w:t>2.2</w:t>
      </w:r>
      <w:r w:rsidRPr="00C20C42">
        <w:rPr>
          <w:bCs/>
        </w:rPr>
        <w:tab/>
      </w:r>
      <w:r w:rsidR="005A367A" w:rsidRPr="00C20C42">
        <w:rPr>
          <w:bCs/>
        </w:rPr>
        <w:t>Classification Training</w:t>
      </w:r>
    </w:p>
    <w:p w:rsidR="00C22EF7" w:rsidRPr="00C20C42" w:rsidRDefault="00C22EF7" w:rsidP="00C22EF7">
      <w:pPr>
        <w:spacing w:line="360" w:lineRule="auto"/>
        <w:ind w:left="720"/>
        <w:rPr>
          <w:bCs/>
        </w:rPr>
      </w:pPr>
      <w:r w:rsidRPr="00C20C42">
        <w:rPr>
          <w:bCs/>
        </w:rPr>
        <w:t xml:space="preserve">2.3 </w:t>
      </w:r>
      <w:r w:rsidRPr="00C20C42">
        <w:rPr>
          <w:bCs/>
        </w:rPr>
        <w:tab/>
        <w:t>Participation in the Scheme</w:t>
      </w:r>
    </w:p>
    <w:p w:rsidR="00C22EF7" w:rsidRPr="00C20C42" w:rsidRDefault="00C22EF7" w:rsidP="00C22EF7">
      <w:pPr>
        <w:spacing w:line="360" w:lineRule="auto"/>
        <w:ind w:left="720"/>
        <w:rPr>
          <w:bCs/>
        </w:rPr>
      </w:pPr>
      <w:r w:rsidRPr="00C20C42">
        <w:rPr>
          <w:bCs/>
        </w:rPr>
        <w:t xml:space="preserve">2.4 </w:t>
      </w:r>
      <w:r w:rsidRPr="00C20C42">
        <w:rPr>
          <w:bCs/>
        </w:rPr>
        <w:tab/>
        <w:t>Stakeholders</w:t>
      </w:r>
    </w:p>
    <w:p w:rsidR="00C22EF7" w:rsidRPr="00C20C42" w:rsidRDefault="00C22EF7" w:rsidP="00C22EF7">
      <w:pPr>
        <w:spacing w:line="360" w:lineRule="auto"/>
        <w:ind w:left="720"/>
        <w:rPr>
          <w:bCs/>
        </w:rPr>
      </w:pPr>
      <w:r w:rsidRPr="00C20C42">
        <w:rPr>
          <w:bCs/>
        </w:rPr>
        <w:t>2.5</w:t>
      </w:r>
      <w:r w:rsidRPr="00C20C42">
        <w:rPr>
          <w:bCs/>
        </w:rPr>
        <w:tab/>
        <w:t>Conclusion</w:t>
      </w:r>
    </w:p>
    <w:p w:rsidR="00C22EF7" w:rsidRPr="00C20C42" w:rsidRDefault="00C22EF7" w:rsidP="00C22EF7">
      <w:pPr>
        <w:spacing w:line="360" w:lineRule="auto"/>
        <w:ind w:left="720"/>
        <w:rPr>
          <w:bCs/>
          <w:sz w:val="28"/>
          <w:szCs w:val="28"/>
          <w:lang w:val="en-US"/>
        </w:rPr>
      </w:pPr>
    </w:p>
    <w:p w:rsidR="00B03E5F" w:rsidRPr="00C20C42" w:rsidRDefault="00B03E5F" w:rsidP="007D3762">
      <w:pPr>
        <w:spacing w:line="480" w:lineRule="auto"/>
        <w:rPr>
          <w:b/>
          <w:bCs/>
          <w:lang w:val="en-US"/>
        </w:rPr>
      </w:pPr>
      <w:r w:rsidRPr="00C20C42">
        <w:rPr>
          <w:b/>
          <w:bCs/>
          <w:lang w:val="en-US"/>
        </w:rPr>
        <w:t>3.</w:t>
      </w:r>
      <w:r w:rsidRPr="00C20C42">
        <w:rPr>
          <w:b/>
          <w:bCs/>
          <w:lang w:val="en-US"/>
        </w:rPr>
        <w:tab/>
      </w:r>
      <w:hyperlink w:anchor="designandimplementation" w:history="1">
        <w:r w:rsidRPr="00C20C42">
          <w:rPr>
            <w:rStyle w:val="Hyperlink"/>
            <w:b/>
            <w:bCs/>
            <w:lang w:val="en-US"/>
          </w:rPr>
          <w:t>DESIGN AND IMPLEMENTATION</w:t>
        </w:r>
      </w:hyperlink>
    </w:p>
    <w:p w:rsidR="00B03E5F" w:rsidRPr="00C20C42" w:rsidRDefault="00B03E5F" w:rsidP="00C22EF7">
      <w:pPr>
        <w:spacing w:line="360" w:lineRule="auto"/>
        <w:ind w:firstLine="720"/>
        <w:rPr>
          <w:lang w:val="en-US"/>
        </w:rPr>
      </w:pPr>
      <w:r w:rsidRPr="00C20C42">
        <w:rPr>
          <w:lang w:val="en-US"/>
        </w:rPr>
        <w:t>3.1</w:t>
      </w:r>
      <w:r w:rsidRPr="00C20C42">
        <w:rPr>
          <w:lang w:val="en-US"/>
        </w:rPr>
        <w:tab/>
      </w:r>
      <w:hyperlink w:anchor="basisorcharging" w:history="1">
        <w:r w:rsidRPr="00C20C42">
          <w:rPr>
            <w:rStyle w:val="Hyperlink"/>
            <w:lang w:val="en-US"/>
          </w:rPr>
          <w:t>Basis of Charging – Fee or Levy</w:t>
        </w:r>
      </w:hyperlink>
    </w:p>
    <w:p w:rsidR="00B03E5F" w:rsidRDefault="00B03E5F" w:rsidP="00C22EF7">
      <w:pPr>
        <w:spacing w:line="360" w:lineRule="auto"/>
        <w:ind w:firstLine="720"/>
        <w:rPr>
          <w:lang w:val="en-US"/>
        </w:rPr>
      </w:pPr>
      <w:r w:rsidRPr="00C20C42">
        <w:rPr>
          <w:lang w:val="en-US"/>
        </w:rPr>
        <w:t>3.2</w:t>
      </w:r>
      <w:r w:rsidRPr="00C20C42">
        <w:rPr>
          <w:lang w:val="en-US"/>
        </w:rPr>
        <w:tab/>
      </w:r>
      <w:hyperlink w:anchor="legalrequirements" w:history="1">
        <w:r w:rsidRPr="00C20C42">
          <w:rPr>
            <w:rStyle w:val="Hyperlink"/>
            <w:lang w:val="en-US"/>
          </w:rPr>
          <w:t>Legal requirements for the imposition of charges</w:t>
        </w:r>
      </w:hyperlink>
    </w:p>
    <w:p w:rsidR="00120841" w:rsidRPr="00120841" w:rsidRDefault="00120841" w:rsidP="00C22EF7">
      <w:pPr>
        <w:spacing w:line="360" w:lineRule="auto"/>
        <w:ind w:firstLine="720"/>
        <w:rPr>
          <w:lang w:val="en-US"/>
        </w:rPr>
      </w:pPr>
      <w:r w:rsidRPr="00120841">
        <w:rPr>
          <w:lang w:val="en-US"/>
        </w:rPr>
        <w:t>3.3</w:t>
      </w:r>
      <w:r w:rsidRPr="00120841">
        <w:t xml:space="preserve"> </w:t>
      </w:r>
      <w:r w:rsidRPr="00120841">
        <w:tab/>
        <w:t>Fees For Classification Training</w:t>
      </w:r>
    </w:p>
    <w:p w:rsidR="00C22EF7" w:rsidRPr="00C20C42" w:rsidRDefault="00120841" w:rsidP="00C22EF7">
      <w:pPr>
        <w:spacing w:line="360" w:lineRule="auto"/>
        <w:ind w:firstLine="720"/>
        <w:rPr>
          <w:lang w:val="en-US"/>
        </w:rPr>
      </w:pPr>
      <w:r>
        <w:rPr>
          <w:lang w:val="en-US"/>
        </w:rPr>
        <w:t>3.4</w:t>
      </w:r>
      <w:r w:rsidR="00C22EF7" w:rsidRPr="00C20C42">
        <w:rPr>
          <w:lang w:val="en-US"/>
        </w:rPr>
        <w:t xml:space="preserve"> </w:t>
      </w:r>
      <w:r w:rsidR="00C22EF7" w:rsidRPr="00C20C42">
        <w:rPr>
          <w:lang w:val="en-US"/>
        </w:rPr>
        <w:tab/>
        <w:t>Demand Estimates</w:t>
      </w:r>
    </w:p>
    <w:p w:rsidR="00C22EF7" w:rsidRPr="00C20C42" w:rsidRDefault="00C22EF7" w:rsidP="00C22EF7">
      <w:pPr>
        <w:spacing w:line="360" w:lineRule="auto"/>
        <w:ind w:firstLine="720"/>
        <w:rPr>
          <w:lang w:val="en-US"/>
        </w:rPr>
      </w:pPr>
    </w:p>
    <w:p w:rsidR="00B03E5F" w:rsidRPr="00C20C42" w:rsidRDefault="000B2BF0" w:rsidP="007D3762">
      <w:pPr>
        <w:pStyle w:val="Pa4"/>
        <w:widowControl/>
        <w:autoSpaceDE/>
        <w:autoSpaceDN/>
        <w:adjustRightInd/>
        <w:spacing w:after="0" w:line="480" w:lineRule="auto"/>
        <w:rPr>
          <w:rFonts w:ascii="Times New Roman" w:eastAsia="Times New Roman" w:hAnsi="Times New Roman" w:cs="Times New Roman"/>
          <w:b/>
          <w:bCs/>
        </w:rPr>
      </w:pPr>
      <w:r w:rsidRPr="00C20C42">
        <w:rPr>
          <w:rFonts w:ascii="Times New Roman" w:hAnsi="Times New Roman" w:cs="Times New Roman"/>
          <w:b/>
          <w:bCs/>
        </w:rPr>
        <w:t>4.</w:t>
      </w:r>
      <w:r w:rsidRPr="00C20C42">
        <w:rPr>
          <w:rFonts w:ascii="Times New Roman" w:hAnsi="Times New Roman" w:cs="Times New Roman"/>
          <w:b/>
          <w:bCs/>
        </w:rPr>
        <w:tab/>
      </w:r>
      <w:hyperlink w:anchor="ongoingmonitoring" w:history="1">
        <w:r w:rsidR="00B03E5F" w:rsidRPr="00C20C42">
          <w:rPr>
            <w:rStyle w:val="Hyperlink"/>
            <w:rFonts w:ascii="Times New Roman" w:hAnsi="Times New Roman"/>
            <w:b/>
            <w:bCs/>
          </w:rPr>
          <w:t>ONGOING MONITORING</w:t>
        </w:r>
      </w:hyperlink>
    </w:p>
    <w:p w:rsidR="00B03E5F" w:rsidRPr="00C20C42" w:rsidRDefault="00B03E5F" w:rsidP="00C22EF7">
      <w:pPr>
        <w:spacing w:line="360" w:lineRule="auto"/>
        <w:rPr>
          <w:lang w:val="en-US"/>
        </w:rPr>
      </w:pPr>
      <w:r w:rsidRPr="00C20C42">
        <w:rPr>
          <w:lang w:val="en-US"/>
        </w:rPr>
        <w:tab/>
        <w:t>4.1</w:t>
      </w:r>
      <w:r w:rsidRPr="00C20C42">
        <w:rPr>
          <w:lang w:val="en-US"/>
        </w:rPr>
        <w:tab/>
      </w:r>
      <w:hyperlink w:anchor="monitoring" w:history="1">
        <w:r w:rsidRPr="00C20C42">
          <w:rPr>
            <w:rStyle w:val="Hyperlink"/>
            <w:lang w:val="en-US"/>
          </w:rPr>
          <w:t>Monitoring mechanisms</w:t>
        </w:r>
      </w:hyperlink>
    </w:p>
    <w:p w:rsidR="008E2E70" w:rsidRPr="00C20C42" w:rsidRDefault="008E2E70" w:rsidP="00C22EF7">
      <w:pPr>
        <w:spacing w:line="360" w:lineRule="auto"/>
        <w:rPr>
          <w:lang w:val="en-US"/>
        </w:rPr>
      </w:pPr>
      <w:r w:rsidRPr="00C20C42">
        <w:rPr>
          <w:lang w:val="en-US"/>
        </w:rPr>
        <w:tab/>
        <w:t>4.2</w:t>
      </w:r>
      <w:r w:rsidRPr="00C20C42">
        <w:rPr>
          <w:lang w:val="en-US"/>
        </w:rPr>
        <w:tab/>
      </w:r>
      <w:hyperlink w:anchor="stakeholder" w:history="1">
        <w:r w:rsidRPr="00C20C42">
          <w:rPr>
            <w:rStyle w:val="Hyperlink"/>
            <w:lang w:val="en-US"/>
          </w:rPr>
          <w:t>Stakeholder Consultation</w:t>
        </w:r>
      </w:hyperlink>
    </w:p>
    <w:p w:rsidR="007D3762" w:rsidRDefault="007D3762" w:rsidP="00C22EF7">
      <w:pPr>
        <w:spacing w:line="360" w:lineRule="auto"/>
        <w:rPr>
          <w:lang w:val="en-US"/>
        </w:rPr>
      </w:pPr>
      <w:r w:rsidRPr="00C20C42">
        <w:rPr>
          <w:lang w:val="en-US"/>
        </w:rPr>
        <w:tab/>
        <w:t>4.3</w:t>
      </w:r>
      <w:r w:rsidRPr="00C20C42">
        <w:rPr>
          <w:lang w:val="en-US"/>
        </w:rPr>
        <w:tab/>
      </w:r>
      <w:hyperlink w:anchor="review" w:history="1">
        <w:r w:rsidRPr="00C20C42">
          <w:rPr>
            <w:rStyle w:val="Hyperlink"/>
            <w:lang w:val="en-US"/>
          </w:rPr>
          <w:t>Periodic Review</w:t>
        </w:r>
      </w:hyperlink>
    </w:p>
    <w:p w:rsidR="00C22EF7" w:rsidRPr="00F53613" w:rsidRDefault="00C22EF7" w:rsidP="00C22EF7">
      <w:pPr>
        <w:spacing w:line="360" w:lineRule="auto"/>
        <w:rPr>
          <w:lang w:val="en-US"/>
        </w:rPr>
      </w:pPr>
    </w:p>
    <w:p w:rsidR="00577C63" w:rsidRPr="00C20C42" w:rsidRDefault="00F5174F" w:rsidP="007D3762">
      <w:pPr>
        <w:spacing w:line="480" w:lineRule="auto"/>
        <w:rPr>
          <w:b/>
          <w:bCs/>
          <w:u w:val="single"/>
          <w:lang w:val="en-US"/>
        </w:rPr>
      </w:pPr>
      <w:r w:rsidRPr="00C20C42">
        <w:rPr>
          <w:b/>
          <w:bCs/>
          <w:lang w:val="en-US"/>
        </w:rPr>
        <w:t>5</w:t>
      </w:r>
      <w:r w:rsidR="00B03E5F" w:rsidRPr="00C20C42">
        <w:rPr>
          <w:b/>
          <w:bCs/>
          <w:lang w:val="en-US"/>
        </w:rPr>
        <w:t xml:space="preserve">. </w:t>
      </w:r>
      <w:r w:rsidR="00B03E5F" w:rsidRPr="00C20C42">
        <w:rPr>
          <w:b/>
          <w:bCs/>
          <w:lang w:val="en-US"/>
        </w:rPr>
        <w:tab/>
      </w:r>
      <w:hyperlink w:anchor="certification" w:history="1">
        <w:r w:rsidR="00B03E5F" w:rsidRPr="00C20C42">
          <w:rPr>
            <w:rStyle w:val="Hyperlink"/>
            <w:b/>
            <w:bCs/>
            <w:lang w:val="en-US"/>
          </w:rPr>
          <w:t>CERTIFICATION</w:t>
        </w:r>
      </w:hyperlink>
    </w:p>
    <w:p w:rsidR="005F4239" w:rsidRPr="00EF18DC" w:rsidRDefault="00577C63" w:rsidP="00594FE5">
      <w:pPr>
        <w:spacing w:line="480" w:lineRule="auto"/>
      </w:pPr>
      <w:r w:rsidRPr="00C20C42">
        <w:rPr>
          <w:b/>
          <w:bCs/>
          <w:lang w:val="en-US"/>
        </w:rPr>
        <w:lastRenderedPageBreak/>
        <w:t>6.</w:t>
      </w:r>
      <w:r w:rsidRPr="00C20C42">
        <w:rPr>
          <w:b/>
          <w:bCs/>
          <w:lang w:val="en-US"/>
        </w:rPr>
        <w:tab/>
      </w:r>
      <w:hyperlink w:anchor="CRlinks" w:history="1">
        <w:r w:rsidRPr="00C20C42">
          <w:rPr>
            <w:rStyle w:val="Hyperlink"/>
            <w:b/>
            <w:bCs/>
            <w:lang w:val="en-US"/>
          </w:rPr>
          <w:t>COST RECOVERY LINKS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38CF" w:rsidRPr="003125E0" w:rsidTr="003125E0">
        <w:trPr>
          <w:trHeight w:hRule="exact" w:val="340"/>
        </w:trPr>
        <w:tc>
          <w:tcPr>
            <w:tcW w:w="8522" w:type="dxa"/>
          </w:tcPr>
          <w:p w:rsidR="009F38CF" w:rsidRPr="003125E0" w:rsidRDefault="009F38CF" w:rsidP="003125E0">
            <w:pPr>
              <w:pStyle w:val="Pa12"/>
              <w:spacing w:line="240" w:lineRule="auto"/>
              <w:jc w:val="both"/>
              <w:rPr>
                <w:rFonts w:ascii="Times New Roman" w:hAnsi="Times New Roman" w:cs="Times New Roman"/>
                <w:sz w:val="28"/>
                <w:szCs w:val="28"/>
              </w:rPr>
            </w:pPr>
            <w:r w:rsidRPr="003125E0">
              <w:rPr>
                <w:rFonts w:ascii="Times New Roman" w:hAnsi="Times New Roman" w:cs="Times New Roman"/>
                <w:sz w:val="28"/>
                <w:szCs w:val="28"/>
              </w:rPr>
              <w:t>1. OVERVIEW</w:t>
            </w:r>
          </w:p>
        </w:tc>
      </w:tr>
    </w:tbl>
    <w:p w:rsidR="00B03E5F" w:rsidRPr="00C20C42" w:rsidRDefault="00B03E5F" w:rsidP="00A854BB">
      <w:pPr>
        <w:pStyle w:val="Pa12"/>
        <w:spacing w:before="240"/>
        <w:jc w:val="both"/>
        <w:rPr>
          <w:rFonts w:ascii="Times New Roman" w:hAnsi="Times New Roman" w:cs="Times New Roman"/>
          <w:sz w:val="28"/>
          <w:szCs w:val="28"/>
        </w:rPr>
      </w:pPr>
      <w:bookmarkStart w:id="1" w:name="purpose"/>
      <w:r w:rsidRPr="00C20C42">
        <w:rPr>
          <w:rFonts w:ascii="Times New Roman" w:hAnsi="Times New Roman" w:cs="Times New Roman"/>
          <w:sz w:val="28"/>
          <w:szCs w:val="28"/>
        </w:rPr>
        <w:t xml:space="preserve">1.1 </w:t>
      </w:r>
      <w:r w:rsidRPr="00C20C42">
        <w:rPr>
          <w:rFonts w:ascii="Times New Roman" w:hAnsi="Times New Roman" w:cs="Times New Roman"/>
          <w:sz w:val="28"/>
          <w:szCs w:val="28"/>
        </w:rPr>
        <w:tab/>
        <w:t>Purpose</w:t>
      </w:r>
    </w:p>
    <w:bookmarkEnd w:id="1"/>
    <w:p w:rsidR="00580C30" w:rsidRPr="00C20C42" w:rsidRDefault="00411A42" w:rsidP="00411A42">
      <w:pPr>
        <w:spacing w:before="120" w:after="120"/>
      </w:pPr>
      <w:r w:rsidRPr="00C20C42">
        <w:t xml:space="preserve">The Classification Board and the Classification Review Board make classification decisions under the </w:t>
      </w:r>
      <w:r w:rsidRPr="00C20C42">
        <w:rPr>
          <w:i/>
        </w:rPr>
        <w:t>Classification (Publications, Films and Computer Games) Act 1995</w:t>
      </w:r>
      <w:r w:rsidR="00BA0AC5" w:rsidRPr="00C20C42">
        <w:rPr>
          <w:i/>
        </w:rPr>
        <w:t xml:space="preserve"> </w:t>
      </w:r>
      <w:r w:rsidRPr="00C20C42">
        <w:t xml:space="preserve">(the Classification Act).  The Classification Operations Branch </w:t>
      </w:r>
      <w:r w:rsidR="00A436AC" w:rsidRPr="00C20C42">
        <w:t xml:space="preserve">(COB) </w:t>
      </w:r>
      <w:r w:rsidRPr="00C20C42">
        <w:t xml:space="preserve">of the Attorney-General’s Department </w:t>
      </w:r>
      <w:r w:rsidR="00024E7A" w:rsidRPr="00C20C42">
        <w:t xml:space="preserve">(the Department) </w:t>
      </w:r>
      <w:r w:rsidRPr="00C20C42">
        <w:t xml:space="preserve">provides administrative and secretariat support to the Classification Board and the Classification Review Board.  Prior to </w:t>
      </w:r>
      <w:smartTag w:uri="urn:schemas-microsoft-com:office:smarttags" w:element="date">
        <w:smartTagPr>
          <w:attr w:name="Month" w:val="7"/>
          <w:attr w:name="Day" w:val="1"/>
          <w:attr w:name="Year" w:val="2007"/>
        </w:smartTagPr>
        <w:r w:rsidRPr="00C20C42">
          <w:t>1 July 2007</w:t>
        </w:r>
      </w:smartTag>
      <w:r w:rsidRPr="00C20C42">
        <w:t xml:space="preserve">, these functions were performed by the Office of Film and Literature Classification (OFLC).  </w:t>
      </w:r>
    </w:p>
    <w:p w:rsidR="00411A42" w:rsidRPr="00EF18DC" w:rsidRDefault="00411A42" w:rsidP="00411A42">
      <w:pPr>
        <w:spacing w:before="120" w:after="120"/>
      </w:pPr>
      <w:r w:rsidRPr="00C20C42">
        <w:t>This Cost Recovery Impac</w:t>
      </w:r>
      <w:r w:rsidR="00594FE5" w:rsidRPr="00C20C42">
        <w:t xml:space="preserve">t Statement (CRIS) relates to new </w:t>
      </w:r>
      <w:r w:rsidRPr="00C20C42">
        <w:t>cost recovery fee</w:t>
      </w:r>
      <w:r w:rsidR="00B64257" w:rsidRPr="00C20C42">
        <w:t>s</w:t>
      </w:r>
      <w:r w:rsidRPr="00C20C42">
        <w:t xml:space="preserve"> being introduced for </w:t>
      </w:r>
      <w:r w:rsidR="004F4053" w:rsidRPr="00C20C42">
        <w:t>classification training provided by the Department. The training primarily relates to various authorised assessor schemes under the Classification Act.</w:t>
      </w:r>
      <w:r w:rsidRPr="00C20C42">
        <w:t xml:space="preserve"> </w:t>
      </w:r>
      <w:r w:rsidR="00D62492" w:rsidRPr="00C20C42">
        <w:t>Under Finance Circular 2008/08 and t</w:t>
      </w:r>
      <w:r w:rsidRPr="00C20C42">
        <w:t xml:space="preserve">he </w:t>
      </w:r>
      <w:r w:rsidRPr="00C20C42">
        <w:rPr>
          <w:i/>
        </w:rPr>
        <w:t>Australian Government Cost Recovery Guidelines</w:t>
      </w:r>
      <w:r w:rsidRPr="00C20C42">
        <w:t xml:space="preserve"> 2005</w:t>
      </w:r>
      <w:r w:rsidR="00580C30" w:rsidRPr="00C20C42">
        <w:t>,</w:t>
      </w:r>
      <w:r w:rsidRPr="00C20C42">
        <w:t xml:space="preserve"> </w:t>
      </w:r>
      <w:r w:rsidR="005A367A" w:rsidRPr="00C20C42">
        <w:t>a CRIS is required for these</w:t>
      </w:r>
      <w:r w:rsidR="00D62492" w:rsidRPr="00C20C42">
        <w:t xml:space="preserve"> new fee</w:t>
      </w:r>
      <w:r w:rsidR="005A367A" w:rsidRPr="00C20C42">
        <w:t>s</w:t>
      </w:r>
      <w:r w:rsidR="00D62492" w:rsidRPr="00C20C42">
        <w:t>.</w:t>
      </w:r>
      <w:r w:rsidRPr="00C20C42">
        <w:t xml:space="preserve"> </w:t>
      </w:r>
      <w:r w:rsidR="005342AA" w:rsidRPr="00C20C42">
        <w:t>This CRIS is an interim document pending the completion of the full fee review in late 2009.</w:t>
      </w:r>
    </w:p>
    <w:p w:rsidR="00B03E5F" w:rsidRPr="00C20C42" w:rsidRDefault="00B03E5F" w:rsidP="00FC6080">
      <w:pPr>
        <w:pStyle w:val="Pa12"/>
        <w:numPr>
          <w:ilvl w:val="1"/>
          <w:numId w:val="9"/>
        </w:numPr>
        <w:spacing w:before="240" w:after="120" w:line="240" w:lineRule="auto"/>
        <w:jc w:val="both"/>
        <w:rPr>
          <w:rFonts w:ascii="Times New Roman" w:hAnsi="Times New Roman" w:cs="Times New Roman"/>
          <w:sz w:val="28"/>
          <w:szCs w:val="28"/>
        </w:rPr>
      </w:pPr>
      <w:bookmarkStart w:id="2" w:name="background"/>
      <w:r w:rsidRPr="00C20C42">
        <w:rPr>
          <w:rFonts w:ascii="Times New Roman" w:hAnsi="Times New Roman" w:cs="Times New Roman"/>
          <w:sz w:val="28"/>
          <w:szCs w:val="28"/>
        </w:rPr>
        <w:t>Background</w:t>
      </w:r>
    </w:p>
    <w:p w:rsidR="00FC6080" w:rsidRPr="00C20C42" w:rsidRDefault="00FC6080" w:rsidP="00FC6080">
      <w:pPr>
        <w:spacing w:before="120" w:after="120"/>
        <w:rPr>
          <w:lang w:val="en-US"/>
        </w:rPr>
      </w:pPr>
      <w:r w:rsidRPr="00C20C42">
        <w:rPr>
          <w:color w:val="000000"/>
          <w:lang w:val="en-US"/>
        </w:rPr>
        <w:t>The Department is currently undertaking a comprehensive review of all classification fees</w:t>
      </w:r>
      <w:r w:rsidR="004F4053" w:rsidRPr="00C20C42">
        <w:rPr>
          <w:color w:val="000000"/>
          <w:lang w:val="en-US"/>
        </w:rPr>
        <w:t xml:space="preserve"> and training fees</w:t>
      </w:r>
      <w:r w:rsidRPr="00C20C42">
        <w:rPr>
          <w:color w:val="000000"/>
          <w:lang w:val="en-US"/>
        </w:rPr>
        <w:t xml:space="preserve">, consistent with the </w:t>
      </w:r>
      <w:r w:rsidRPr="00C20C42">
        <w:rPr>
          <w:i/>
          <w:color w:val="000000"/>
          <w:lang w:val="en-US"/>
        </w:rPr>
        <w:t>Australian Government Cost Recovery Guidelines</w:t>
      </w:r>
      <w:r w:rsidRPr="00C20C42">
        <w:rPr>
          <w:color w:val="000000"/>
          <w:lang w:val="en-US"/>
        </w:rPr>
        <w:t xml:space="preserve">. </w:t>
      </w:r>
      <w:r w:rsidRPr="00C20C42">
        <w:rPr>
          <w:lang w:val="en-US"/>
        </w:rPr>
        <w:t xml:space="preserve">However, the </w:t>
      </w:r>
      <w:r w:rsidR="004F4053" w:rsidRPr="00C20C42">
        <w:rPr>
          <w:lang w:val="en-US"/>
        </w:rPr>
        <w:t xml:space="preserve">revised fees for training </w:t>
      </w:r>
      <w:r w:rsidR="008D177D">
        <w:rPr>
          <w:lang w:val="en-US"/>
        </w:rPr>
        <w:t>are</w:t>
      </w:r>
      <w:r w:rsidR="004F4053" w:rsidRPr="00C20C42">
        <w:rPr>
          <w:lang w:val="en-US"/>
        </w:rPr>
        <w:t xml:space="preserve"> required ahead of the completion of the </w:t>
      </w:r>
      <w:r w:rsidRPr="00C20C42">
        <w:rPr>
          <w:lang w:val="en-US"/>
        </w:rPr>
        <w:t>full fee review</w:t>
      </w:r>
      <w:r w:rsidR="00ED06D1" w:rsidRPr="00C20C42">
        <w:rPr>
          <w:lang w:val="en-US"/>
        </w:rPr>
        <w:t xml:space="preserve"> due primarily to introduction of the scheme for the </w:t>
      </w:r>
      <w:r w:rsidR="00ED06D1" w:rsidRPr="00C20C42">
        <w:rPr>
          <w:rFonts w:ascii="Times" w:hAnsi="Times"/>
          <w:szCs w:val="32"/>
        </w:rPr>
        <w:t>Advertising of Unclassified Films and Computer Games</w:t>
      </w:r>
      <w:r w:rsidR="005342AA" w:rsidRPr="00C20C42">
        <w:rPr>
          <w:rFonts w:ascii="Times" w:hAnsi="Times"/>
          <w:szCs w:val="32"/>
        </w:rPr>
        <w:t xml:space="preserve"> on 1 July2009</w:t>
      </w:r>
      <w:r w:rsidR="00ED06D1" w:rsidRPr="00C20C42">
        <w:rPr>
          <w:rFonts w:ascii="Times" w:hAnsi="Times"/>
          <w:szCs w:val="32"/>
        </w:rPr>
        <w:t>.</w:t>
      </w:r>
      <w:r w:rsidRPr="00C20C42">
        <w:rPr>
          <w:lang w:val="en-US"/>
        </w:rPr>
        <w:t xml:space="preserve">  </w:t>
      </w:r>
    </w:p>
    <w:p w:rsidR="00FC6080" w:rsidRPr="00C20C42" w:rsidRDefault="00FC6080" w:rsidP="00FC6080">
      <w:pPr>
        <w:spacing w:before="120" w:after="120"/>
      </w:pPr>
      <w:r w:rsidRPr="00C20C42">
        <w:rPr>
          <w:lang w:val="en-US"/>
        </w:rPr>
        <w:t xml:space="preserve">The </w:t>
      </w:r>
      <w:r w:rsidR="00ED06D1" w:rsidRPr="00C20C42">
        <w:rPr>
          <w:lang w:val="en-US"/>
        </w:rPr>
        <w:t xml:space="preserve">charging of a fee </w:t>
      </w:r>
      <w:r w:rsidR="008D177D">
        <w:rPr>
          <w:lang w:val="en-US"/>
        </w:rPr>
        <w:t xml:space="preserve">for </w:t>
      </w:r>
      <w:r w:rsidR="00ED06D1" w:rsidRPr="00C20C42">
        <w:rPr>
          <w:lang w:val="en-US"/>
        </w:rPr>
        <w:t xml:space="preserve">the provision of training </w:t>
      </w:r>
      <w:r w:rsidRPr="00C20C42">
        <w:rPr>
          <w:lang w:val="en-US"/>
        </w:rPr>
        <w:t>is consistent with the cost recovery policy principles adopted for the provision of all other classification services</w:t>
      </w:r>
      <w:r w:rsidR="00ED06D1" w:rsidRPr="00C20C42">
        <w:rPr>
          <w:lang w:val="en-US"/>
        </w:rPr>
        <w:t>.</w:t>
      </w:r>
      <w:r w:rsidRPr="00C20C42">
        <w:rPr>
          <w:lang w:val="en-US"/>
        </w:rPr>
        <w:t xml:space="preserve">  </w:t>
      </w:r>
      <w:r w:rsidR="00A45DCD" w:rsidRPr="00C20C42">
        <w:t xml:space="preserve"> </w:t>
      </w:r>
    </w:p>
    <w:p w:rsidR="00B03E5F" w:rsidRPr="00C20C42" w:rsidRDefault="00B03E5F" w:rsidP="00A854BB">
      <w:pPr>
        <w:pStyle w:val="Pa12"/>
        <w:tabs>
          <w:tab w:val="left" w:pos="720"/>
        </w:tabs>
        <w:spacing w:before="240" w:after="120" w:line="240" w:lineRule="auto"/>
        <w:jc w:val="both"/>
        <w:rPr>
          <w:rFonts w:ascii="Times New Roman" w:hAnsi="Times New Roman" w:cs="Times New Roman"/>
          <w:sz w:val="28"/>
          <w:szCs w:val="28"/>
        </w:rPr>
      </w:pPr>
      <w:bookmarkStart w:id="3" w:name="austrcrpolicy"/>
      <w:bookmarkEnd w:id="2"/>
      <w:r w:rsidRPr="00C20C42">
        <w:rPr>
          <w:rFonts w:ascii="Times New Roman" w:hAnsi="Times New Roman" w:cs="Times New Roman"/>
          <w:sz w:val="28"/>
          <w:szCs w:val="28"/>
        </w:rPr>
        <w:t>1.3</w:t>
      </w:r>
      <w:r w:rsidRPr="00C20C42">
        <w:rPr>
          <w:rFonts w:ascii="Times New Roman" w:hAnsi="Times New Roman" w:cs="Times New Roman"/>
          <w:sz w:val="28"/>
          <w:szCs w:val="28"/>
        </w:rPr>
        <w:tab/>
        <w:t>Australian Government Cost Recovery Policy</w:t>
      </w:r>
    </w:p>
    <w:bookmarkEnd w:id="3"/>
    <w:p w:rsidR="00B03E5F" w:rsidRPr="00C20C42" w:rsidRDefault="00172EDD" w:rsidP="00BD7824">
      <w:pPr>
        <w:spacing w:before="120" w:after="120"/>
      </w:pPr>
      <w:r w:rsidRPr="00C20C42">
        <w:t>T</w:t>
      </w:r>
      <w:r w:rsidR="00B03E5F" w:rsidRPr="00C20C42">
        <w:t xml:space="preserve">he Australian Government </w:t>
      </w:r>
      <w:r w:rsidRPr="00C20C42">
        <w:t>has</w:t>
      </w:r>
      <w:r w:rsidR="00B03E5F" w:rsidRPr="00C20C42">
        <w:t xml:space="preserve"> a formal cost recovery policy to improve the consistency, transparency and accountability of its cost recovery arrangements</w:t>
      </w:r>
      <w:r w:rsidR="00FC6080" w:rsidRPr="00C20C42">
        <w:t>,</w:t>
      </w:r>
      <w:r w:rsidR="00B03E5F" w:rsidRPr="00C20C42">
        <w:t xml:space="preserve"> and </w:t>
      </w:r>
      <w:r w:rsidR="00FC6080" w:rsidRPr="00C20C42">
        <w:t xml:space="preserve">to </w:t>
      </w:r>
      <w:r w:rsidR="00B03E5F" w:rsidRPr="00C20C42">
        <w:t xml:space="preserve">promote the efficient allocation of resources. </w:t>
      </w:r>
      <w:r w:rsidR="00570E8E" w:rsidRPr="00C20C42">
        <w:t xml:space="preserve"> </w:t>
      </w:r>
      <w:r w:rsidR="009C3A75" w:rsidRPr="00C20C42">
        <w:t>Cost recovery</w:t>
      </w:r>
      <w:r w:rsidR="00B03E5F" w:rsidRPr="00C20C42">
        <w:t xml:space="preserve"> policy is administered by the Department of Finance and </w:t>
      </w:r>
      <w:r w:rsidR="00EC19D4" w:rsidRPr="00C20C42">
        <w:t>Deregulation</w:t>
      </w:r>
      <w:r w:rsidR="00B03E5F" w:rsidRPr="00C20C42">
        <w:t xml:space="preserve"> </w:t>
      </w:r>
      <w:r w:rsidR="00D85B58" w:rsidRPr="00C20C42">
        <w:t xml:space="preserve">(DoFD) </w:t>
      </w:r>
      <w:r w:rsidR="00B03E5F" w:rsidRPr="00C20C42">
        <w:t xml:space="preserve">and outlined in the </w:t>
      </w:r>
      <w:r w:rsidR="00B03E5F" w:rsidRPr="00C20C42">
        <w:rPr>
          <w:i/>
          <w:iCs/>
        </w:rPr>
        <w:t xml:space="preserve">Australian Government Cost Recovery </w:t>
      </w:r>
      <w:r w:rsidR="0073430A" w:rsidRPr="00C20C42">
        <w:rPr>
          <w:i/>
          <w:iCs/>
        </w:rPr>
        <w:t>Guidelines (</w:t>
      </w:r>
      <w:r w:rsidR="004848BD" w:rsidRPr="00C20C42">
        <w:rPr>
          <w:i/>
          <w:iCs/>
        </w:rPr>
        <w:t>the Guidelines)</w:t>
      </w:r>
      <w:r w:rsidR="00D62492" w:rsidRPr="00C20C42">
        <w:t>.</w:t>
      </w:r>
      <w:r w:rsidR="00B03E5F" w:rsidRPr="00C20C42">
        <w:t xml:space="preserve"> </w:t>
      </w:r>
      <w:r w:rsidR="00570E8E" w:rsidRPr="00C20C42">
        <w:t xml:space="preserve"> </w:t>
      </w:r>
      <w:r w:rsidR="00B03E5F" w:rsidRPr="00C20C42">
        <w:t xml:space="preserve">The </w:t>
      </w:r>
      <w:r w:rsidR="00341364" w:rsidRPr="00C20C42">
        <w:t xml:space="preserve">underlying </w:t>
      </w:r>
      <w:r w:rsidR="00B03E5F" w:rsidRPr="00C20C42">
        <w:t xml:space="preserve">principle </w:t>
      </w:r>
      <w:r w:rsidR="00341364" w:rsidRPr="00C20C42">
        <w:t>of the policy is that</w:t>
      </w:r>
      <w:r w:rsidR="00B03E5F" w:rsidRPr="00C20C42">
        <w:t xml:space="preserve"> agencies should set </w:t>
      </w:r>
      <w:r w:rsidR="002A4271" w:rsidRPr="00C20C42">
        <w:t>charges</w:t>
      </w:r>
      <w:r w:rsidR="00B03E5F" w:rsidRPr="00C20C42">
        <w:t xml:space="preserve"> to recover all the costs of products or services </w:t>
      </w:r>
      <w:r w:rsidR="009C2663" w:rsidRPr="00C20C42">
        <w:t>where</w:t>
      </w:r>
      <w:r w:rsidR="00B03E5F" w:rsidRPr="00C20C42">
        <w:t xml:space="preserve"> it is efficient </w:t>
      </w:r>
      <w:r w:rsidR="00EC6A47" w:rsidRPr="00C20C42">
        <w:t xml:space="preserve">and effective </w:t>
      </w:r>
      <w:r w:rsidR="00B03E5F" w:rsidRPr="00C20C42">
        <w:t>to do so</w:t>
      </w:r>
      <w:r w:rsidR="009C2663" w:rsidRPr="00C20C42">
        <w:t>,</w:t>
      </w:r>
      <w:r w:rsidR="00B03E5F" w:rsidRPr="00C20C42">
        <w:t xml:space="preserve"> </w:t>
      </w:r>
      <w:r w:rsidR="009C2663" w:rsidRPr="00C20C42">
        <w:t>where the beneficiaries are a narrow and identifiable group and where charging</w:t>
      </w:r>
      <w:r w:rsidR="00B03E5F" w:rsidRPr="00C20C42">
        <w:t xml:space="preserve"> is consistent with </w:t>
      </w:r>
      <w:r w:rsidR="00341364" w:rsidRPr="00C20C42">
        <w:t>Australian G</w:t>
      </w:r>
      <w:r w:rsidR="00B03E5F" w:rsidRPr="00C20C42">
        <w:t>overnment policy objectives.</w:t>
      </w:r>
      <w:r w:rsidR="00341364" w:rsidRPr="00C20C42">
        <w:t xml:space="preserve"> </w:t>
      </w:r>
    </w:p>
    <w:p w:rsidR="00B03E5F" w:rsidRPr="00C20C42" w:rsidRDefault="00B03E5F" w:rsidP="00BD7824">
      <w:pPr>
        <w:spacing w:before="120" w:after="120"/>
      </w:pPr>
      <w:r w:rsidRPr="00C20C42">
        <w:lastRenderedPageBreak/>
        <w:t xml:space="preserve">The policy applies to all </w:t>
      </w:r>
      <w:r w:rsidRPr="00C20C42">
        <w:rPr>
          <w:i/>
          <w:iCs/>
        </w:rPr>
        <w:t xml:space="preserve">Financial Management and Accountability Act 1997 </w:t>
      </w:r>
      <w:r w:rsidRPr="00C20C42">
        <w:t xml:space="preserve"> agencies and to relevant </w:t>
      </w:r>
      <w:r w:rsidRPr="00C20C42">
        <w:rPr>
          <w:i/>
          <w:iCs/>
        </w:rPr>
        <w:t xml:space="preserve">Commonwealth Authorities and Companies Act 1997 </w:t>
      </w:r>
      <w:r w:rsidRPr="00C20C42">
        <w:t xml:space="preserve">(CAC Act) bodies that have been notified, under sections 28 or 43 of the CAC Act, to apply the cost recovery policy. </w:t>
      </w:r>
      <w:r w:rsidR="00EC19D4" w:rsidRPr="00C20C42">
        <w:t xml:space="preserve"> </w:t>
      </w:r>
      <w:r w:rsidRPr="00C20C42">
        <w:t>In</w:t>
      </w:r>
      <w:r w:rsidRPr="004535CF">
        <w:t xml:space="preserve"> </w:t>
      </w:r>
      <w:r w:rsidRPr="00C20C42">
        <w:t>line with the policy, individual portfolio ministers are ultimately responsible for ensuring agencies</w:t>
      </w:r>
      <w:r w:rsidR="0029309D" w:rsidRPr="00C20C42">
        <w:t>’</w:t>
      </w:r>
      <w:r w:rsidRPr="00C20C42">
        <w:t xml:space="preserve"> implementation and compliance with the cost recovery guidelines</w:t>
      </w:r>
      <w:r w:rsidR="0029309D" w:rsidRPr="00C20C42">
        <w:t>.</w:t>
      </w:r>
    </w:p>
    <w:p w:rsidR="000B30EF" w:rsidRPr="00EF18DC" w:rsidRDefault="000B30EF" w:rsidP="00BD7824">
      <w:pPr>
        <w:spacing w:before="120" w:after="120"/>
      </w:pPr>
      <w:r w:rsidRPr="00C20C42">
        <w:t>This CRIS is issued as interim arrangement for the introduction of training fees pending the completion of the full classification fee review</w:t>
      </w:r>
    </w:p>
    <w:p w:rsidR="009F38CF" w:rsidRPr="00EF18DC" w:rsidRDefault="009F38CF" w:rsidP="00A854BB">
      <w:pPr>
        <w:pStyle w:val="Pa12"/>
        <w:spacing w:after="0"/>
        <w:jc w:val="both"/>
        <w:rPr>
          <w:rFonts w:ascii="Times New Roman" w:hAnsi="Times New Roman" w:cs="Times New Roman"/>
        </w:rPr>
      </w:pPr>
      <w:bookmarkStart w:id="4" w:name="policyreview"/>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2"/>
      </w:tblGrid>
      <w:tr w:rsidR="009F38CF" w:rsidRPr="003125E0" w:rsidTr="003125E0">
        <w:trPr>
          <w:trHeight w:hRule="exact" w:val="340"/>
        </w:trPr>
        <w:tc>
          <w:tcPr>
            <w:tcW w:w="8582" w:type="dxa"/>
          </w:tcPr>
          <w:bookmarkEnd w:id="4"/>
          <w:p w:rsidR="009F38CF" w:rsidRPr="003125E0" w:rsidRDefault="009F38CF" w:rsidP="003125E0">
            <w:pPr>
              <w:pStyle w:val="Pa12"/>
              <w:jc w:val="both"/>
              <w:rPr>
                <w:rFonts w:ascii="Times New Roman" w:hAnsi="Times New Roman" w:cs="Times New Roman"/>
                <w:sz w:val="28"/>
                <w:szCs w:val="28"/>
              </w:rPr>
            </w:pPr>
            <w:r w:rsidRPr="003125E0">
              <w:rPr>
                <w:rFonts w:ascii="Times New Roman" w:hAnsi="Times New Roman" w:cs="Times New Roman"/>
                <w:sz w:val="28"/>
                <w:szCs w:val="28"/>
              </w:rPr>
              <w:t xml:space="preserve">2. </w:t>
            </w:r>
            <w:r w:rsidR="009375CA" w:rsidRPr="003125E0">
              <w:rPr>
                <w:rFonts w:ascii="Times New Roman" w:hAnsi="Times New Roman" w:cs="Times New Roman"/>
                <w:sz w:val="28"/>
                <w:szCs w:val="28"/>
              </w:rPr>
              <w:t xml:space="preserve"> </w:t>
            </w:r>
            <w:r w:rsidRPr="003125E0">
              <w:rPr>
                <w:rFonts w:ascii="Times New Roman" w:hAnsi="Times New Roman" w:cs="Times New Roman"/>
                <w:sz w:val="28"/>
                <w:szCs w:val="28"/>
              </w:rPr>
              <w:t>POLICY REVIEW</w:t>
            </w:r>
            <w:r w:rsidR="002606A1" w:rsidRPr="003125E0">
              <w:rPr>
                <w:rFonts w:ascii="Times New Roman" w:hAnsi="Times New Roman" w:cs="Times New Roman"/>
                <w:sz w:val="28"/>
                <w:szCs w:val="28"/>
              </w:rPr>
              <w:t xml:space="preserve"> – ANALYSIS OF ACTIVITIES</w:t>
            </w:r>
          </w:p>
        </w:tc>
      </w:tr>
    </w:tbl>
    <w:p w:rsidR="00634369" w:rsidRPr="00C20C42" w:rsidRDefault="009375CA" w:rsidP="00A854BB">
      <w:pPr>
        <w:pStyle w:val="Heading2"/>
        <w:numPr>
          <w:ilvl w:val="0"/>
          <w:numId w:val="0"/>
        </w:numPr>
        <w:spacing w:after="120" w:line="320" w:lineRule="exact"/>
        <w:rPr>
          <w:rFonts w:ascii="Times New Roman" w:hAnsi="Times New Roman" w:cs="Times New Roman"/>
          <w:b w:val="0"/>
          <w:bCs w:val="0"/>
          <w:i w:val="0"/>
          <w:iCs w:val="0"/>
          <w:u w:val="single"/>
          <w:lang w:val="en-US"/>
        </w:rPr>
      </w:pPr>
      <w:r w:rsidRPr="00C20C42">
        <w:rPr>
          <w:rFonts w:ascii="Times New Roman" w:hAnsi="Times New Roman" w:cs="Times New Roman"/>
          <w:b w:val="0"/>
          <w:i w:val="0"/>
        </w:rPr>
        <w:t>2.1</w:t>
      </w:r>
      <w:bookmarkStart w:id="5" w:name="_Toc174848387"/>
      <w:r w:rsidR="009E3D91" w:rsidRPr="00C20C42">
        <w:rPr>
          <w:rFonts w:ascii="Times New Roman" w:hAnsi="Times New Roman" w:cs="Times New Roman"/>
          <w:i w:val="0"/>
        </w:rPr>
        <w:tab/>
      </w:r>
      <w:r w:rsidR="00634369" w:rsidRPr="00C20C42">
        <w:rPr>
          <w:rFonts w:ascii="Times New Roman" w:hAnsi="Times New Roman" w:cs="Times New Roman"/>
          <w:b w:val="0"/>
          <w:bCs w:val="0"/>
          <w:i w:val="0"/>
          <w:iCs w:val="0"/>
          <w:lang w:val="en-US"/>
        </w:rPr>
        <w:t>National Classification Scheme</w:t>
      </w:r>
      <w:bookmarkEnd w:id="5"/>
    </w:p>
    <w:p w:rsidR="0022647C" w:rsidRPr="00C20C42" w:rsidRDefault="00634369" w:rsidP="00A854BB">
      <w:pPr>
        <w:pStyle w:val="NormalWeb"/>
        <w:spacing w:before="120" w:beforeAutospacing="0"/>
      </w:pPr>
      <w:r w:rsidRPr="00C20C42">
        <w:t xml:space="preserve">Under the National Classification Scheme, classification is the responsibility of the Classification Board and Classification Review Board.  The Boards make classification decisions in accordance with the Classification Act, the National Classification Code and classification guidelines.  </w:t>
      </w:r>
    </w:p>
    <w:p w:rsidR="00C40F7F" w:rsidRPr="00C20C42" w:rsidRDefault="00C40F7F" w:rsidP="00C40F7F">
      <w:pPr>
        <w:autoSpaceDE w:val="0"/>
        <w:autoSpaceDN w:val="0"/>
        <w:adjustRightInd w:val="0"/>
        <w:rPr>
          <w:lang w:eastAsia="en-AU"/>
        </w:rPr>
      </w:pPr>
      <w:r w:rsidRPr="00C20C42">
        <w:t xml:space="preserve">The National Classification Scheme is a cooperative arrangement under which the Classification Board classifies films (including videos and DVDs), computer games and certain publications. The Scheme commenced on 1 January 1996. The Scheme is based on the following </w:t>
      </w:r>
      <w:r w:rsidRPr="00C20C42">
        <w:rPr>
          <w:lang w:eastAsia="en-AU"/>
        </w:rPr>
        <w:t>principles:</w:t>
      </w:r>
    </w:p>
    <w:p w:rsidR="00C40F7F" w:rsidRPr="00C20C42" w:rsidRDefault="00C40F7F" w:rsidP="00C40F7F">
      <w:pPr>
        <w:autoSpaceDE w:val="0"/>
        <w:autoSpaceDN w:val="0"/>
        <w:adjustRightInd w:val="0"/>
        <w:rPr>
          <w:lang w:eastAsia="en-AU"/>
        </w:rPr>
      </w:pPr>
    </w:p>
    <w:p w:rsidR="00C40F7F" w:rsidRPr="00C20C42" w:rsidRDefault="00C40F7F" w:rsidP="00C40F7F">
      <w:pPr>
        <w:numPr>
          <w:ilvl w:val="0"/>
          <w:numId w:val="10"/>
        </w:numPr>
        <w:autoSpaceDE w:val="0"/>
        <w:autoSpaceDN w:val="0"/>
        <w:adjustRightInd w:val="0"/>
        <w:spacing w:line="360" w:lineRule="auto"/>
        <w:rPr>
          <w:lang w:eastAsia="en-AU"/>
        </w:rPr>
      </w:pPr>
      <w:r w:rsidRPr="00C20C42">
        <w:rPr>
          <w:lang w:eastAsia="en-AU"/>
        </w:rPr>
        <w:t>adults should be able to re</w:t>
      </w:r>
      <w:r w:rsidR="00194F9C" w:rsidRPr="00C20C42">
        <w:rPr>
          <w:lang w:eastAsia="en-AU"/>
        </w:rPr>
        <w:t>ad, hear and see what they want</w:t>
      </w:r>
    </w:p>
    <w:p w:rsidR="00C40F7F" w:rsidRPr="00C20C42" w:rsidRDefault="00C40F7F" w:rsidP="00C40F7F">
      <w:pPr>
        <w:numPr>
          <w:ilvl w:val="0"/>
          <w:numId w:val="10"/>
        </w:numPr>
        <w:autoSpaceDE w:val="0"/>
        <w:autoSpaceDN w:val="0"/>
        <w:adjustRightInd w:val="0"/>
        <w:spacing w:line="360" w:lineRule="auto"/>
        <w:rPr>
          <w:lang w:eastAsia="en-AU"/>
        </w:rPr>
      </w:pPr>
      <w:r w:rsidRPr="00C20C42">
        <w:rPr>
          <w:lang w:eastAsia="en-AU"/>
        </w:rPr>
        <w:t>minors should be protected from material likely to harm or disturb them</w:t>
      </w:r>
    </w:p>
    <w:p w:rsidR="00C40F7F" w:rsidRPr="00C20C42" w:rsidRDefault="00C40F7F" w:rsidP="003A5310">
      <w:pPr>
        <w:numPr>
          <w:ilvl w:val="0"/>
          <w:numId w:val="10"/>
        </w:numPr>
        <w:autoSpaceDE w:val="0"/>
        <w:autoSpaceDN w:val="0"/>
        <w:adjustRightInd w:val="0"/>
        <w:rPr>
          <w:lang w:eastAsia="en-AU"/>
        </w:rPr>
      </w:pPr>
      <w:r w:rsidRPr="00C20C42">
        <w:rPr>
          <w:lang w:eastAsia="en-AU"/>
        </w:rPr>
        <w:t xml:space="preserve">everyone should be protected from exposure to unsolicited material that </w:t>
      </w:r>
      <w:r w:rsidR="00194F9C" w:rsidRPr="00C20C42">
        <w:rPr>
          <w:lang w:eastAsia="en-AU"/>
        </w:rPr>
        <w:t>they find offensive</w:t>
      </w:r>
      <w:r w:rsidR="003A5310" w:rsidRPr="00C20C42">
        <w:rPr>
          <w:lang w:eastAsia="en-AU"/>
        </w:rPr>
        <w:t>, and</w:t>
      </w:r>
    </w:p>
    <w:p w:rsidR="00C40F7F" w:rsidRPr="00C20C42" w:rsidRDefault="00C40F7F" w:rsidP="003A5310">
      <w:pPr>
        <w:numPr>
          <w:ilvl w:val="0"/>
          <w:numId w:val="10"/>
        </w:numPr>
        <w:autoSpaceDE w:val="0"/>
        <w:autoSpaceDN w:val="0"/>
        <w:adjustRightInd w:val="0"/>
      </w:pPr>
      <w:r w:rsidRPr="00C20C42">
        <w:rPr>
          <w:lang w:eastAsia="en-AU"/>
        </w:rPr>
        <w:t>the need to take account of community concerns about</w:t>
      </w:r>
      <w:r w:rsidR="00194F9C" w:rsidRPr="00C20C42">
        <w:rPr>
          <w:lang w:eastAsia="en-AU"/>
        </w:rPr>
        <w:t xml:space="preserve"> </w:t>
      </w:r>
      <w:r w:rsidRPr="00C20C42">
        <w:rPr>
          <w:lang w:eastAsia="en-AU"/>
        </w:rPr>
        <w:t>depictions that condone or incite violence, particularly sexual violence; and the portrayal of persons in a demeaning manner.</w:t>
      </w:r>
    </w:p>
    <w:p w:rsidR="0022647C" w:rsidRPr="00C20C42" w:rsidRDefault="00634369" w:rsidP="0022647C">
      <w:pPr>
        <w:pStyle w:val="NormalWeb"/>
        <w:spacing w:before="120" w:after="120"/>
      </w:pPr>
      <w:r w:rsidRPr="00C20C42">
        <w:t xml:space="preserve">Under the 1995 Intergovernmental Agreement, the enforcement of classification matters is </w:t>
      </w:r>
      <w:r w:rsidR="00580C30" w:rsidRPr="00C20C42">
        <w:t xml:space="preserve">generally </w:t>
      </w:r>
      <w:r w:rsidRPr="00C20C42">
        <w:t xml:space="preserve">the responsibility of the States and Territories. </w:t>
      </w:r>
      <w:r w:rsidR="000E6611" w:rsidRPr="00C20C42">
        <w:t xml:space="preserve"> </w:t>
      </w:r>
      <w:r w:rsidRPr="00C20C42">
        <w:t>These jurisdictions have enacted their own complementary classification enforcement legislation.</w:t>
      </w:r>
      <w:r w:rsidR="0022647C" w:rsidRPr="00C20C42">
        <w:t xml:space="preserve">  State and Territory legislation </w:t>
      </w:r>
      <w:r w:rsidR="005B34BA" w:rsidRPr="00C20C42">
        <w:t>prohibits the sale, hire or public exhibition of unclassified films</w:t>
      </w:r>
      <w:r w:rsidR="00C94BBB" w:rsidRPr="00C20C42">
        <w:t xml:space="preserve"> and unclassified computer games.</w:t>
      </w:r>
    </w:p>
    <w:p w:rsidR="00634369" w:rsidRPr="00C20C42" w:rsidRDefault="003A5310" w:rsidP="00E1633C">
      <w:pPr>
        <w:pStyle w:val="NormalWeb"/>
        <w:spacing w:before="120" w:after="120"/>
        <w:ind w:right="-334"/>
      </w:pPr>
      <w:r w:rsidRPr="00C20C42">
        <w:t>Distributors of films</w:t>
      </w:r>
      <w:r w:rsidR="00C94BBB" w:rsidRPr="00C20C42">
        <w:t xml:space="preserve"> and computer games</w:t>
      </w:r>
      <w:r w:rsidR="00634369" w:rsidRPr="00C20C42">
        <w:t xml:space="preserve"> apply to the Classification Board for classification of their product</w:t>
      </w:r>
      <w:r w:rsidR="00EA5DEA" w:rsidRPr="00C20C42">
        <w:t>s</w:t>
      </w:r>
      <w:r w:rsidR="00634369" w:rsidRPr="00C20C42">
        <w:t xml:space="preserve">.  Applicants are required to apply in an approved form </w:t>
      </w:r>
      <w:r w:rsidR="00455EE2" w:rsidRPr="00C20C42">
        <w:t xml:space="preserve">and pay </w:t>
      </w:r>
      <w:r w:rsidR="00EA5DEA" w:rsidRPr="00C20C42">
        <w:t xml:space="preserve">the relevant fees as </w:t>
      </w:r>
      <w:r w:rsidR="00634369" w:rsidRPr="00C20C42">
        <w:t xml:space="preserve">prescribed in the </w:t>
      </w:r>
      <w:r w:rsidR="00634369" w:rsidRPr="00C20C42">
        <w:rPr>
          <w:i/>
        </w:rPr>
        <w:t>Classification (Publications, Films and Computer Games) Regulations 2005</w:t>
      </w:r>
      <w:r w:rsidR="0065379B" w:rsidRPr="00C20C42">
        <w:t xml:space="preserve"> (the </w:t>
      </w:r>
      <w:r w:rsidR="00E1633C" w:rsidRPr="00C20C42">
        <w:t xml:space="preserve">Classification </w:t>
      </w:r>
      <w:r w:rsidR="0065379B" w:rsidRPr="00C20C42">
        <w:t>Regulations).</w:t>
      </w:r>
    </w:p>
    <w:p w:rsidR="00C77272" w:rsidRPr="00C20C42" w:rsidRDefault="00DB6C6B" w:rsidP="00E1633C">
      <w:pPr>
        <w:pStyle w:val="NormalWeb"/>
        <w:spacing w:before="120" w:after="120"/>
        <w:ind w:right="-334"/>
        <w:rPr>
          <w:szCs w:val="20"/>
        </w:rPr>
      </w:pPr>
      <w:r w:rsidRPr="00C20C42">
        <w:rPr>
          <w:szCs w:val="20"/>
        </w:rPr>
        <w:t>The Classification Act provides that the Director of the Classification Board</w:t>
      </w:r>
      <w:r w:rsidR="00F029FC" w:rsidRPr="00C20C42">
        <w:rPr>
          <w:szCs w:val="20"/>
        </w:rPr>
        <w:t xml:space="preserve"> (the Director)</w:t>
      </w:r>
      <w:r w:rsidRPr="00C20C42">
        <w:rPr>
          <w:szCs w:val="20"/>
        </w:rPr>
        <w:t xml:space="preserve"> may authorise a person to make </w:t>
      </w:r>
      <w:r w:rsidR="005342AA" w:rsidRPr="00C20C42">
        <w:rPr>
          <w:szCs w:val="20"/>
        </w:rPr>
        <w:t xml:space="preserve">classification </w:t>
      </w:r>
      <w:r w:rsidRPr="00C20C42">
        <w:rPr>
          <w:szCs w:val="20"/>
        </w:rPr>
        <w:t xml:space="preserve">recommendations </w:t>
      </w:r>
      <w:r w:rsidR="00C77272" w:rsidRPr="00C20C42">
        <w:rPr>
          <w:szCs w:val="20"/>
        </w:rPr>
        <w:t xml:space="preserve">or </w:t>
      </w:r>
      <w:r w:rsidR="005342AA" w:rsidRPr="00C20C42">
        <w:rPr>
          <w:szCs w:val="20"/>
        </w:rPr>
        <w:t>assess the</w:t>
      </w:r>
      <w:r w:rsidR="00C77272" w:rsidRPr="00C20C42">
        <w:rPr>
          <w:szCs w:val="20"/>
        </w:rPr>
        <w:t xml:space="preserve"> likely </w:t>
      </w:r>
      <w:r w:rsidRPr="00C20C42">
        <w:rPr>
          <w:szCs w:val="20"/>
        </w:rPr>
        <w:t xml:space="preserve">classification of a </w:t>
      </w:r>
      <w:r w:rsidR="009875EA" w:rsidRPr="00C20C42">
        <w:rPr>
          <w:szCs w:val="20"/>
        </w:rPr>
        <w:t>f</w:t>
      </w:r>
      <w:r w:rsidRPr="00C20C42">
        <w:rPr>
          <w:szCs w:val="20"/>
        </w:rPr>
        <w:t xml:space="preserve">ilm or </w:t>
      </w:r>
      <w:r w:rsidR="009875EA" w:rsidRPr="00C20C42">
        <w:rPr>
          <w:szCs w:val="20"/>
        </w:rPr>
        <w:t>c</w:t>
      </w:r>
      <w:r w:rsidRPr="00C20C42">
        <w:rPr>
          <w:szCs w:val="20"/>
        </w:rPr>
        <w:t xml:space="preserve">omputer </w:t>
      </w:r>
      <w:r w:rsidR="009875EA" w:rsidRPr="00C20C42">
        <w:rPr>
          <w:szCs w:val="20"/>
        </w:rPr>
        <w:t>g</w:t>
      </w:r>
      <w:r w:rsidRPr="00C20C42">
        <w:rPr>
          <w:szCs w:val="20"/>
        </w:rPr>
        <w:t>ame in certain circumstances</w:t>
      </w:r>
      <w:r w:rsidR="005342AA" w:rsidRPr="00C20C42">
        <w:rPr>
          <w:szCs w:val="20"/>
        </w:rPr>
        <w:t xml:space="preserve"> under various industry assessor schemes</w:t>
      </w:r>
      <w:r w:rsidR="009875EA" w:rsidRPr="00C20C42">
        <w:rPr>
          <w:szCs w:val="20"/>
        </w:rPr>
        <w:t xml:space="preserve">. </w:t>
      </w:r>
    </w:p>
    <w:p w:rsidR="00373EE8" w:rsidRPr="00C20C42" w:rsidRDefault="00373EE8" w:rsidP="00E1633C">
      <w:pPr>
        <w:pStyle w:val="NormalWeb"/>
        <w:spacing w:before="120" w:after="120"/>
        <w:ind w:right="-334"/>
      </w:pPr>
      <w:r w:rsidRPr="00C20C42">
        <w:t>The specific industry assessor schemes are</w:t>
      </w:r>
      <w:r w:rsidR="00C77272" w:rsidRPr="00C20C42">
        <w:t xml:space="preserve"> </w:t>
      </w:r>
      <w:r w:rsidR="00152498" w:rsidRPr="00C20C42">
        <w:t>summarised as follows</w:t>
      </w:r>
      <w:r w:rsidRPr="00C20C42">
        <w:t>:</w:t>
      </w:r>
    </w:p>
    <w:p w:rsidR="00C77272" w:rsidRPr="00C20C42" w:rsidRDefault="00DA3D14" w:rsidP="004A1832">
      <w:pPr>
        <w:numPr>
          <w:ilvl w:val="0"/>
          <w:numId w:val="11"/>
        </w:numPr>
        <w:autoSpaceDE w:val="0"/>
        <w:autoSpaceDN w:val="0"/>
        <w:adjustRightInd w:val="0"/>
        <w:rPr>
          <w:szCs w:val="20"/>
        </w:rPr>
      </w:pPr>
      <w:r w:rsidRPr="00C20C42">
        <w:lastRenderedPageBreak/>
        <w:t xml:space="preserve">Authorised Assessor </w:t>
      </w:r>
      <w:r w:rsidR="00C77272" w:rsidRPr="00C20C42">
        <w:t>(AA) scheme for computer games</w:t>
      </w:r>
      <w:r w:rsidR="000A217F" w:rsidRPr="00C20C42">
        <w:t xml:space="preserve"> under</w:t>
      </w:r>
      <w:r w:rsidR="00C77272" w:rsidRPr="00C20C42">
        <w:rPr>
          <w:szCs w:val="20"/>
        </w:rPr>
        <w:t xml:space="preserve"> Section 17 of the Classification </w:t>
      </w:r>
      <w:r w:rsidR="004A1832" w:rsidRPr="00C20C42">
        <w:rPr>
          <w:szCs w:val="20"/>
        </w:rPr>
        <w:t xml:space="preserve">Act provides that the Director </w:t>
      </w:r>
      <w:r w:rsidR="00C77272" w:rsidRPr="00C20C42">
        <w:rPr>
          <w:szCs w:val="20"/>
        </w:rPr>
        <w:t xml:space="preserve">may authorise </w:t>
      </w:r>
      <w:r w:rsidR="005342AA" w:rsidRPr="00C20C42">
        <w:rPr>
          <w:szCs w:val="20"/>
        </w:rPr>
        <w:t>a person to make a recommendation</w:t>
      </w:r>
      <w:r w:rsidR="00C77272" w:rsidRPr="00C20C42">
        <w:rPr>
          <w:szCs w:val="20"/>
        </w:rPr>
        <w:t xml:space="preserve"> on the classification </w:t>
      </w:r>
      <w:r w:rsidR="00572133">
        <w:rPr>
          <w:szCs w:val="20"/>
        </w:rPr>
        <w:t>and</w:t>
      </w:r>
      <w:r w:rsidR="00572133" w:rsidRPr="00572133">
        <w:rPr>
          <w:szCs w:val="20"/>
        </w:rPr>
        <w:t xml:space="preserve"> </w:t>
      </w:r>
      <w:r w:rsidR="00572133" w:rsidRPr="00C20C42">
        <w:rPr>
          <w:szCs w:val="20"/>
        </w:rPr>
        <w:t>consumer advice</w:t>
      </w:r>
      <w:r w:rsidR="00572133">
        <w:rPr>
          <w:szCs w:val="20"/>
        </w:rPr>
        <w:t xml:space="preserve"> </w:t>
      </w:r>
      <w:r w:rsidR="00C77272" w:rsidRPr="00C20C42">
        <w:rPr>
          <w:szCs w:val="20"/>
        </w:rPr>
        <w:t>of a computer game</w:t>
      </w:r>
      <w:r w:rsidR="005342AA" w:rsidRPr="00C20C42">
        <w:rPr>
          <w:szCs w:val="20"/>
        </w:rPr>
        <w:t>. This is submitted in the application to the Classification Board for classification</w:t>
      </w:r>
      <w:r w:rsidR="00C77272" w:rsidRPr="00C20C42">
        <w:rPr>
          <w:szCs w:val="20"/>
        </w:rPr>
        <w:t xml:space="preserve">.  “Authorised assessors” can </w:t>
      </w:r>
      <w:r w:rsidR="005342AA" w:rsidRPr="00C20C42">
        <w:rPr>
          <w:szCs w:val="20"/>
        </w:rPr>
        <w:t>only</w:t>
      </w:r>
      <w:r w:rsidR="00152498" w:rsidRPr="00C20C42">
        <w:rPr>
          <w:szCs w:val="20"/>
        </w:rPr>
        <w:t xml:space="preserve"> </w:t>
      </w:r>
      <w:r w:rsidR="00C77272" w:rsidRPr="00C20C42">
        <w:rPr>
          <w:szCs w:val="20"/>
        </w:rPr>
        <w:t xml:space="preserve">submit a recommendation if the game is likely to be classified G, </w:t>
      </w:r>
      <w:r w:rsidR="004D63F2">
        <w:rPr>
          <w:szCs w:val="20"/>
        </w:rPr>
        <w:t>P</w:t>
      </w:r>
      <w:r w:rsidR="00C77272" w:rsidRPr="00C20C42">
        <w:rPr>
          <w:szCs w:val="20"/>
        </w:rPr>
        <w:t xml:space="preserve">G or M. </w:t>
      </w:r>
    </w:p>
    <w:p w:rsidR="000A217F" w:rsidRPr="00C20C42" w:rsidRDefault="00DA3D14" w:rsidP="00A12535">
      <w:pPr>
        <w:pStyle w:val="Paragraph"/>
        <w:numPr>
          <w:ilvl w:val="0"/>
          <w:numId w:val="11"/>
        </w:numPr>
      </w:pPr>
      <w:r w:rsidRPr="00C20C42">
        <w:t>Additional Content Assessor (ACA) scheme</w:t>
      </w:r>
      <w:r w:rsidR="00A12535" w:rsidRPr="00C20C42">
        <w:t xml:space="preserve"> </w:t>
      </w:r>
      <w:r w:rsidR="005342AA" w:rsidRPr="00C20C42">
        <w:t xml:space="preserve">under </w:t>
      </w:r>
      <w:r w:rsidR="000A217F" w:rsidRPr="00C20C42">
        <w:t xml:space="preserve">Section </w:t>
      </w:r>
      <w:r w:rsidR="005342AA" w:rsidRPr="00C20C42">
        <w:t>14</w:t>
      </w:r>
      <w:r w:rsidR="000A217F" w:rsidRPr="00C20C42">
        <w:t xml:space="preserve"> of the Classification Act </w:t>
      </w:r>
      <w:r w:rsidR="00A12535" w:rsidRPr="00C20C42">
        <w:t xml:space="preserve">provides for </w:t>
      </w:r>
      <w:r w:rsidR="000A217F" w:rsidRPr="00C20C42">
        <w:t xml:space="preserve">an </w:t>
      </w:r>
      <w:r w:rsidR="001A28D7">
        <w:t>Additional Content A</w:t>
      </w:r>
      <w:r w:rsidR="000A217F" w:rsidRPr="00C20C42">
        <w:t xml:space="preserve">ssessor </w:t>
      </w:r>
      <w:r w:rsidR="001A28D7">
        <w:t>to</w:t>
      </w:r>
      <w:r w:rsidR="00152498" w:rsidRPr="00C20C42">
        <w:t xml:space="preserve"> make a recommendation to the Classification Board on the classification </w:t>
      </w:r>
      <w:r w:rsidR="001A28D7">
        <w:t xml:space="preserve">and consumer advice </w:t>
      </w:r>
      <w:r w:rsidR="00527A54">
        <w:t>for</w:t>
      </w:r>
      <w:r w:rsidR="00152498" w:rsidRPr="00C20C42">
        <w:t xml:space="preserve"> the additional </w:t>
      </w:r>
      <w:r w:rsidR="001A28D7">
        <w:t>content</w:t>
      </w:r>
      <w:r w:rsidR="00152498" w:rsidRPr="00C20C42">
        <w:t xml:space="preserve"> to be released with an already classified or exempt film. Examples of a</w:t>
      </w:r>
      <w:r w:rsidR="000A217F" w:rsidRPr="00C20C42">
        <w:t xml:space="preserve">dditional content </w:t>
      </w:r>
      <w:r w:rsidR="00152498" w:rsidRPr="00C20C42">
        <w:t xml:space="preserve">include </w:t>
      </w:r>
      <w:r w:rsidR="000A217F" w:rsidRPr="00C20C42">
        <w:t>‘making of’ documentaries, out-takes, commentaries by or interviews with the director or actors.  Films likely to be classified X18+ or Refused Classification are not eligible.</w:t>
      </w:r>
    </w:p>
    <w:p w:rsidR="00422D63" w:rsidRPr="00C20C42" w:rsidRDefault="00DA3D14" w:rsidP="00A12535">
      <w:pPr>
        <w:pStyle w:val="Paragraph"/>
        <w:numPr>
          <w:ilvl w:val="0"/>
          <w:numId w:val="11"/>
        </w:numPr>
      </w:pPr>
      <w:r w:rsidRPr="00C20C42">
        <w:t>Authorised Television Series Assessor (ATSA</w:t>
      </w:r>
      <w:r w:rsidR="00152498" w:rsidRPr="00C20C42">
        <w:t>) scheme</w:t>
      </w:r>
      <w:r w:rsidR="00625174" w:rsidRPr="00C20C42">
        <w:t xml:space="preserve">. </w:t>
      </w:r>
      <w:r w:rsidR="00152498" w:rsidRPr="00C20C42">
        <w:t xml:space="preserve">Section 14B of the Classification Act </w:t>
      </w:r>
      <w:r w:rsidR="00A12535" w:rsidRPr="00C20C42">
        <w:t xml:space="preserve">provides for </w:t>
      </w:r>
      <w:r w:rsidR="00152498" w:rsidRPr="00C20C42">
        <w:t xml:space="preserve">a scheme to be determined by the Minister under which the </w:t>
      </w:r>
      <w:r w:rsidR="00422D63" w:rsidRPr="00C20C42">
        <w:t xml:space="preserve">applicant </w:t>
      </w:r>
      <w:r w:rsidR="00152498" w:rsidRPr="00C20C42">
        <w:t xml:space="preserve">may submit </w:t>
      </w:r>
      <w:r w:rsidR="00422D63" w:rsidRPr="00C20C42">
        <w:t xml:space="preserve">an application for classification of a television series film </w:t>
      </w:r>
      <w:r w:rsidR="00A12535" w:rsidRPr="00C20C42">
        <w:t xml:space="preserve">with at least one episode previously aired </w:t>
      </w:r>
      <w:r w:rsidR="00EA1C7C">
        <w:t xml:space="preserve">in Australia to </w:t>
      </w:r>
      <w:r w:rsidR="00422D63" w:rsidRPr="00C20C42">
        <w:t xml:space="preserve">the Classification Board, accompanied by a </w:t>
      </w:r>
      <w:r w:rsidR="00A12535" w:rsidRPr="00C20C42">
        <w:t xml:space="preserve">detailed </w:t>
      </w:r>
      <w:r w:rsidR="00422D63" w:rsidRPr="00C20C42">
        <w:t xml:space="preserve">report prepared by an </w:t>
      </w:r>
      <w:r w:rsidR="00152498" w:rsidRPr="00C20C42">
        <w:t xml:space="preserve">appropriately trained and </w:t>
      </w:r>
      <w:r w:rsidR="00422D63" w:rsidRPr="00C20C42">
        <w:t xml:space="preserve">authorised television series assessor recommending a classification category and consumer advice.  </w:t>
      </w:r>
    </w:p>
    <w:p w:rsidR="002A5DA2" w:rsidRPr="00C20C42" w:rsidRDefault="002A5DA2" w:rsidP="002A5DA2">
      <w:pPr>
        <w:pStyle w:val="Paragraph"/>
        <w:numPr>
          <w:ilvl w:val="0"/>
          <w:numId w:val="11"/>
        </w:numPr>
      </w:pPr>
      <w:bookmarkStart w:id="6" w:name="OLE_LINK16"/>
      <w:bookmarkStart w:id="7" w:name="OLE_LINK17"/>
      <w:r w:rsidRPr="00C20C42">
        <w:t>Advertising of Unclassified Films and Computer Games Scheme</w:t>
      </w:r>
      <w:bookmarkEnd w:id="6"/>
      <w:bookmarkEnd w:id="7"/>
      <w:r w:rsidR="00625174" w:rsidRPr="00C20C42">
        <w:t>.</w:t>
      </w:r>
      <w:r w:rsidRPr="00C20C42">
        <w:t xml:space="preserve"> </w:t>
      </w:r>
      <w:r w:rsidR="0070147A" w:rsidRPr="00C20C42">
        <w:t>Section</w:t>
      </w:r>
      <w:r w:rsidRPr="00C20C42">
        <w:t xml:space="preserve"> </w:t>
      </w:r>
      <w:r w:rsidR="00625174" w:rsidRPr="00C20C42">
        <w:t xml:space="preserve">31 of the Classification Act which commences on 1 July 2009,  </w:t>
      </w:r>
      <w:r w:rsidRPr="00C20C42">
        <w:t xml:space="preserve">provides for </w:t>
      </w:r>
      <w:r w:rsidR="00625174" w:rsidRPr="00C20C42">
        <w:t xml:space="preserve">a scheme to be determined by the Minister under which </w:t>
      </w:r>
      <w:r w:rsidRPr="00C20C42">
        <w:t xml:space="preserve">persons </w:t>
      </w:r>
      <w:r w:rsidR="00625174" w:rsidRPr="00C20C42">
        <w:t xml:space="preserve">may be </w:t>
      </w:r>
      <w:r w:rsidRPr="00C20C42">
        <w:t>trained and authorised as Authorised Advertising Assessors so as to be able to assess the likely classification of unclassified films and unclassified computer games for advertising</w:t>
      </w:r>
      <w:r w:rsidR="00625174" w:rsidRPr="00C20C42">
        <w:t xml:space="preserve"> purposes.</w:t>
      </w:r>
      <w:r w:rsidRPr="00C20C42">
        <w:t xml:space="preserve">  </w:t>
      </w:r>
    </w:p>
    <w:p w:rsidR="00B13567" w:rsidRDefault="004535CF" w:rsidP="00B13567">
      <w:pPr>
        <w:pStyle w:val="Paragraph"/>
      </w:pPr>
      <w:r w:rsidRPr="00C20C42">
        <w:t xml:space="preserve">Industry assessors under all schemes must </w:t>
      </w:r>
      <w:r w:rsidR="00625174" w:rsidRPr="00C20C42">
        <w:t xml:space="preserve">undergo initial training before they can be authorised by the Director. They must also </w:t>
      </w:r>
      <w:r w:rsidRPr="00C20C42">
        <w:t>attend refresh</w:t>
      </w:r>
      <w:r w:rsidR="00572133">
        <w:t xml:space="preserve">er training to </w:t>
      </w:r>
      <w:r w:rsidRPr="00C20C42">
        <w:t>retain t</w:t>
      </w:r>
      <w:r w:rsidR="00ED61AF" w:rsidRPr="00C20C42">
        <w:t xml:space="preserve">heir status </w:t>
      </w:r>
      <w:r w:rsidR="00572133">
        <w:t xml:space="preserve">as an authorised person and </w:t>
      </w:r>
      <w:r w:rsidRPr="00C20C42">
        <w:t>to ensure that they are kept up to date with current classification standards.</w:t>
      </w:r>
    </w:p>
    <w:p w:rsidR="00B13567" w:rsidRDefault="00B13567" w:rsidP="00B13567">
      <w:pPr>
        <w:pStyle w:val="NormalWeb"/>
        <w:spacing w:before="120" w:after="120"/>
        <w:ind w:right="-334"/>
      </w:pPr>
      <w:r w:rsidRPr="00C20C42">
        <w:t xml:space="preserve">Participation in </w:t>
      </w:r>
      <w:r w:rsidR="00BC5F4C">
        <w:t xml:space="preserve">the AA, ACA and ATSA </w:t>
      </w:r>
      <w:r w:rsidRPr="00C20C42">
        <w:t>schemes enable</w:t>
      </w:r>
      <w:r w:rsidR="00BC5F4C">
        <w:t>s</w:t>
      </w:r>
      <w:r w:rsidRPr="00C20C42">
        <w:t xml:space="preserve"> industry to submit applications for classification under those schemes which have a lower application fee. In the case of the Advertising of Unclassified Films and Computer Games Scheme, the applicant is able to self assess the likely classification of a </w:t>
      </w:r>
      <w:r w:rsidR="00ED61AF" w:rsidRPr="00C20C42">
        <w:t>unclassified film or computer game for advertising purposes without submitting any application to the Classification Board.</w:t>
      </w:r>
    </w:p>
    <w:p w:rsidR="00E0620F" w:rsidRDefault="00E0620F" w:rsidP="008D3DF1"/>
    <w:p w:rsidR="00634369" w:rsidRPr="00C20C42" w:rsidRDefault="009E2161" w:rsidP="00634369">
      <w:pPr>
        <w:pStyle w:val="Heading2"/>
        <w:numPr>
          <w:ilvl w:val="0"/>
          <w:numId w:val="0"/>
        </w:numPr>
        <w:spacing w:after="120" w:line="320" w:lineRule="exact"/>
        <w:rPr>
          <w:rFonts w:ascii="Times New Roman" w:hAnsi="Times New Roman" w:cs="Times New Roman"/>
          <w:b w:val="0"/>
          <w:bCs w:val="0"/>
          <w:i w:val="0"/>
          <w:iCs w:val="0"/>
          <w:lang w:val="en-US"/>
        </w:rPr>
      </w:pPr>
      <w:bookmarkStart w:id="8" w:name="_Toc174848388"/>
      <w:r>
        <w:rPr>
          <w:rFonts w:ascii="Times New Roman" w:hAnsi="Times New Roman" w:cs="Times New Roman"/>
          <w:b w:val="0"/>
          <w:bCs w:val="0"/>
          <w:i w:val="0"/>
          <w:iCs w:val="0"/>
          <w:lang w:val="en-US"/>
        </w:rPr>
        <w:t>2.</w:t>
      </w:r>
      <w:r w:rsidR="00627FA1">
        <w:rPr>
          <w:rFonts w:ascii="Times New Roman" w:hAnsi="Times New Roman" w:cs="Times New Roman"/>
          <w:b w:val="0"/>
          <w:bCs w:val="0"/>
          <w:i w:val="0"/>
          <w:iCs w:val="0"/>
          <w:lang w:val="en-US"/>
        </w:rPr>
        <w:t>2</w:t>
      </w:r>
      <w:r w:rsidR="009E3D91" w:rsidRPr="00C20C42">
        <w:rPr>
          <w:rFonts w:ascii="Times New Roman" w:hAnsi="Times New Roman" w:cs="Times New Roman"/>
          <w:b w:val="0"/>
          <w:bCs w:val="0"/>
          <w:i w:val="0"/>
          <w:iCs w:val="0"/>
          <w:lang w:val="en-US"/>
        </w:rPr>
        <w:tab/>
      </w:r>
      <w:bookmarkEnd w:id="8"/>
      <w:r w:rsidR="00F6655E" w:rsidRPr="00C20C42">
        <w:rPr>
          <w:rFonts w:ascii="Times New Roman" w:hAnsi="Times New Roman" w:cs="Times New Roman"/>
          <w:b w:val="0"/>
          <w:bCs w:val="0"/>
          <w:i w:val="0"/>
          <w:iCs w:val="0"/>
          <w:lang w:val="en-US"/>
        </w:rPr>
        <w:t xml:space="preserve">Classification Training </w:t>
      </w:r>
    </w:p>
    <w:p w:rsidR="002A5DA2" w:rsidRPr="00C20C42" w:rsidRDefault="00505646" w:rsidP="00505646">
      <w:pPr>
        <w:pStyle w:val="Paragraph"/>
      </w:pPr>
      <w:r w:rsidRPr="00C20C42">
        <w:t>The Classification Operations Branch currently provides training for a number</w:t>
      </w:r>
      <w:r w:rsidR="002A5DA2" w:rsidRPr="00C20C42">
        <w:t xml:space="preserve"> of industry assessor schemes and also provides training to Commonwealth</w:t>
      </w:r>
      <w:r w:rsidR="004D63F2">
        <w:t>, State and Territory</w:t>
      </w:r>
      <w:r w:rsidR="002A5DA2" w:rsidRPr="00C20C42">
        <w:t xml:space="preserve"> law </w:t>
      </w:r>
      <w:r w:rsidR="002A5DA2" w:rsidRPr="00C20C42">
        <w:lastRenderedPageBreak/>
        <w:t>enforcement and Customs authorities. Training is also sometimes provided in response to specific requests by government authorities and industry groups</w:t>
      </w:r>
      <w:r w:rsidR="00ED61AF" w:rsidRPr="00C20C42">
        <w:t xml:space="preserve"> and requires a training program to be specifically designed for this purpose</w:t>
      </w:r>
      <w:r w:rsidR="002A5DA2" w:rsidRPr="00C20C42">
        <w:t>.</w:t>
      </w:r>
    </w:p>
    <w:p w:rsidR="00505646" w:rsidRPr="00C20C42" w:rsidRDefault="004535CF" w:rsidP="00505646">
      <w:pPr>
        <w:pStyle w:val="Paragraph"/>
      </w:pPr>
      <w:r w:rsidRPr="00C20C42">
        <w:t>Training in the authorised assessor schemes has previously been provided as a one day course irrespective of the training experience of the applicants. I</w:t>
      </w:r>
      <w:r w:rsidR="00505646" w:rsidRPr="00C20C42">
        <w:t xml:space="preserve">n recognition of some overlap in content in the training for these schemes, and in response to requests from industry groups to combine the training for the ACA and ATSA schemes, the Department is introducing a new modularised approach.  </w:t>
      </w:r>
    </w:p>
    <w:p w:rsidR="004535CF" w:rsidRPr="00C20C42" w:rsidRDefault="004535CF" w:rsidP="00505646">
      <w:pPr>
        <w:pStyle w:val="Paragraph"/>
      </w:pPr>
      <w:r w:rsidRPr="00C20C42">
        <w:t xml:space="preserve">The modular training approach requires previously untrained </w:t>
      </w:r>
      <w:r w:rsidR="00BC5F4C">
        <w:t xml:space="preserve">persons </w:t>
      </w:r>
      <w:r w:rsidRPr="00C20C42">
        <w:t xml:space="preserve">to undertake the relevant Core Module for either Film or Computer Games in combination with the </w:t>
      </w:r>
      <w:r w:rsidR="004541CB" w:rsidRPr="00C20C42">
        <w:t xml:space="preserve">specialist </w:t>
      </w:r>
      <w:r w:rsidR="005936D1">
        <w:t xml:space="preserve">scheme </w:t>
      </w:r>
      <w:r w:rsidR="004541CB" w:rsidRPr="00C20C42">
        <w:t>assessor module relevant to their needs.</w:t>
      </w:r>
    </w:p>
    <w:p w:rsidR="004541CB" w:rsidRDefault="004541CB" w:rsidP="00505646">
      <w:pPr>
        <w:pStyle w:val="Paragraph"/>
      </w:pPr>
      <w:r w:rsidRPr="00C20C42">
        <w:t>Previously trained authorised assessors will only be required to undertake the relevant specialist module to become authorised assessors in that scheme</w:t>
      </w:r>
      <w:r w:rsidR="00ED61AF" w:rsidRPr="00C20C42">
        <w:t xml:space="preserve"> providing that they have already undertaken the correct core film or games module</w:t>
      </w:r>
      <w:r w:rsidRPr="00C20C42">
        <w:t>.</w:t>
      </w:r>
      <w:r w:rsidR="00BC5F4C">
        <w:t xml:space="preserve"> Those undertaking training for the Advertising Scheme have the option of undertaking training as a Film Advertising Assessors or a Computer Games Advertising Authorised Assessor or both. </w:t>
      </w:r>
    </w:p>
    <w:p w:rsidR="00505646" w:rsidRPr="00F92D6A" w:rsidRDefault="00D84878" w:rsidP="00505646">
      <w:pPr>
        <w:pStyle w:val="Paragraph"/>
      </w:pPr>
      <w:r w:rsidRPr="00F92D6A">
        <w:t xml:space="preserve">The following table outlines the modular courses and </w:t>
      </w:r>
      <w:r w:rsidR="00505646" w:rsidRPr="00F92D6A">
        <w:t>the</w:t>
      </w:r>
      <w:r w:rsidRPr="00F92D6A">
        <w:t>ir fees:</w:t>
      </w:r>
    </w:p>
    <w:p w:rsidR="006531B8" w:rsidRPr="00EA30D4" w:rsidRDefault="006531B8" w:rsidP="00505646">
      <w:pPr>
        <w:pStyle w:val="Paragraph"/>
        <w:rPr>
          <w:highlight w:val="yellow"/>
        </w:rPr>
      </w:pPr>
    </w:p>
    <w:tbl>
      <w:tblPr>
        <w:tblW w:w="4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284"/>
        <w:gridCol w:w="1949"/>
        <w:gridCol w:w="2305"/>
      </w:tblGrid>
      <w:tr w:rsidR="00D84878" w:rsidRPr="003125E0" w:rsidTr="003125E0">
        <w:tc>
          <w:tcPr>
            <w:tcW w:w="1769" w:type="pct"/>
          </w:tcPr>
          <w:p w:rsidR="00D84878" w:rsidRPr="003125E0" w:rsidRDefault="00D84878" w:rsidP="003125E0">
            <w:pPr>
              <w:pStyle w:val="Paragraph"/>
              <w:jc w:val="center"/>
              <w:rPr>
                <w:b/>
              </w:rPr>
            </w:pPr>
            <w:r w:rsidRPr="003125E0">
              <w:rPr>
                <w:b/>
              </w:rPr>
              <w:t>Module</w:t>
            </w:r>
          </w:p>
        </w:tc>
        <w:tc>
          <w:tcPr>
            <w:tcW w:w="749" w:type="pct"/>
          </w:tcPr>
          <w:p w:rsidR="00D84878" w:rsidRPr="003125E0" w:rsidRDefault="00D84878" w:rsidP="003125E0">
            <w:pPr>
              <w:pStyle w:val="Paragraph"/>
              <w:jc w:val="center"/>
              <w:rPr>
                <w:b/>
              </w:rPr>
            </w:pPr>
            <w:r w:rsidRPr="003125E0">
              <w:rPr>
                <w:b/>
              </w:rPr>
              <w:t>Duration</w:t>
            </w:r>
          </w:p>
          <w:p w:rsidR="00D84878" w:rsidRPr="003125E0" w:rsidRDefault="00D84878" w:rsidP="003125E0">
            <w:pPr>
              <w:pStyle w:val="Paragraph"/>
              <w:jc w:val="center"/>
              <w:rPr>
                <w:b/>
              </w:rPr>
            </w:pPr>
            <w:r w:rsidRPr="003125E0">
              <w:rPr>
                <w:b/>
              </w:rPr>
              <w:t>( hours)</w:t>
            </w:r>
          </w:p>
        </w:tc>
        <w:tc>
          <w:tcPr>
            <w:tcW w:w="1137" w:type="pct"/>
          </w:tcPr>
          <w:p w:rsidR="00D84878" w:rsidRPr="003125E0" w:rsidRDefault="00D84878" w:rsidP="003125E0">
            <w:pPr>
              <w:pStyle w:val="Paragraph"/>
              <w:jc w:val="center"/>
              <w:rPr>
                <w:b/>
              </w:rPr>
            </w:pPr>
            <w:r w:rsidRPr="003125E0">
              <w:rPr>
                <w:b/>
              </w:rPr>
              <w:t>Fee</w:t>
            </w:r>
          </w:p>
          <w:p w:rsidR="00D84878" w:rsidRPr="003125E0" w:rsidRDefault="00D84878" w:rsidP="003125E0">
            <w:pPr>
              <w:pStyle w:val="Paragraph"/>
              <w:jc w:val="center"/>
              <w:rPr>
                <w:b/>
              </w:rPr>
            </w:pPr>
            <w:r w:rsidRPr="003125E0">
              <w:rPr>
                <w:b/>
              </w:rPr>
              <w:t>(GST Inclusive)</w:t>
            </w:r>
          </w:p>
        </w:tc>
        <w:tc>
          <w:tcPr>
            <w:tcW w:w="1346" w:type="pct"/>
          </w:tcPr>
          <w:p w:rsidR="00D84878" w:rsidRPr="003125E0" w:rsidRDefault="00D84878" w:rsidP="003125E0">
            <w:pPr>
              <w:pStyle w:val="Paragraph"/>
              <w:jc w:val="center"/>
              <w:rPr>
                <w:b/>
              </w:rPr>
            </w:pPr>
            <w:r w:rsidRPr="003125E0">
              <w:rPr>
                <w:b/>
              </w:rPr>
              <w:t xml:space="preserve">Comments </w:t>
            </w:r>
          </w:p>
        </w:tc>
      </w:tr>
      <w:tr w:rsidR="00D84878" w:rsidRPr="00C20C42" w:rsidTr="003125E0">
        <w:tc>
          <w:tcPr>
            <w:tcW w:w="1769" w:type="pct"/>
            <w:vAlign w:val="center"/>
          </w:tcPr>
          <w:p w:rsidR="00D84878" w:rsidRPr="00C20C42" w:rsidRDefault="00D84878" w:rsidP="001461F7">
            <w:pPr>
              <w:pStyle w:val="Paragraph"/>
            </w:pPr>
            <w:r w:rsidRPr="00C20C42">
              <w:t>Core Film</w:t>
            </w:r>
          </w:p>
        </w:tc>
        <w:tc>
          <w:tcPr>
            <w:tcW w:w="749" w:type="pct"/>
            <w:vAlign w:val="center"/>
          </w:tcPr>
          <w:p w:rsidR="00D84878" w:rsidRPr="00C20C42" w:rsidRDefault="00D84878" w:rsidP="003125E0">
            <w:pPr>
              <w:pStyle w:val="Paragraph"/>
              <w:jc w:val="center"/>
            </w:pPr>
            <w:r w:rsidRPr="00C20C42">
              <w:t>4</w:t>
            </w:r>
          </w:p>
        </w:tc>
        <w:tc>
          <w:tcPr>
            <w:tcW w:w="1137" w:type="pct"/>
            <w:vAlign w:val="center"/>
          </w:tcPr>
          <w:p w:rsidR="00D84878" w:rsidRPr="00C20C42" w:rsidRDefault="00D84878" w:rsidP="003125E0">
            <w:pPr>
              <w:pStyle w:val="Paragraph"/>
              <w:jc w:val="center"/>
            </w:pPr>
            <w:r w:rsidRPr="00C20C42">
              <w:t>$451</w:t>
            </w:r>
          </w:p>
        </w:tc>
        <w:tc>
          <w:tcPr>
            <w:tcW w:w="1346" w:type="pct"/>
          </w:tcPr>
          <w:p w:rsidR="00D84878" w:rsidRPr="00C20C42" w:rsidRDefault="00D84878" w:rsidP="00505646">
            <w:pPr>
              <w:pStyle w:val="Paragraph"/>
            </w:pPr>
            <w:r w:rsidRPr="00C20C42">
              <w:t>Required for ACA, ATSA and the Advertising Scheme</w:t>
            </w:r>
          </w:p>
        </w:tc>
      </w:tr>
      <w:tr w:rsidR="00D84878" w:rsidRPr="00C20C42" w:rsidTr="003125E0">
        <w:tc>
          <w:tcPr>
            <w:tcW w:w="1769" w:type="pct"/>
            <w:vAlign w:val="center"/>
          </w:tcPr>
          <w:p w:rsidR="00D84878" w:rsidRPr="00C20C42" w:rsidRDefault="00D84878" w:rsidP="001461F7">
            <w:pPr>
              <w:pStyle w:val="Paragraph"/>
            </w:pPr>
            <w:r w:rsidRPr="00C20C42">
              <w:t>Core Computer Games</w:t>
            </w:r>
          </w:p>
        </w:tc>
        <w:tc>
          <w:tcPr>
            <w:tcW w:w="749" w:type="pct"/>
            <w:vAlign w:val="center"/>
          </w:tcPr>
          <w:p w:rsidR="00D84878" w:rsidRPr="00C20C42" w:rsidRDefault="00D84878" w:rsidP="003125E0">
            <w:pPr>
              <w:pStyle w:val="Paragraph"/>
              <w:jc w:val="center"/>
            </w:pPr>
            <w:r w:rsidRPr="00C20C42">
              <w:t>4</w:t>
            </w:r>
          </w:p>
        </w:tc>
        <w:tc>
          <w:tcPr>
            <w:tcW w:w="1137" w:type="pct"/>
            <w:vAlign w:val="center"/>
          </w:tcPr>
          <w:p w:rsidR="00D84878" w:rsidRPr="00C20C42" w:rsidRDefault="00D84878" w:rsidP="003125E0">
            <w:pPr>
              <w:pStyle w:val="Paragraph"/>
              <w:jc w:val="center"/>
            </w:pPr>
            <w:r w:rsidRPr="00C20C42">
              <w:t>$451</w:t>
            </w:r>
          </w:p>
        </w:tc>
        <w:tc>
          <w:tcPr>
            <w:tcW w:w="1346" w:type="pct"/>
          </w:tcPr>
          <w:p w:rsidR="00D84878" w:rsidRPr="00C20C42" w:rsidRDefault="00EA30D4" w:rsidP="00505646">
            <w:pPr>
              <w:pStyle w:val="Paragraph"/>
            </w:pPr>
            <w:r w:rsidRPr="00C20C42">
              <w:t>Required for Computer Games Authorised Assessors, and the Advertising Scheme</w:t>
            </w:r>
          </w:p>
        </w:tc>
      </w:tr>
      <w:tr w:rsidR="00D84878" w:rsidRPr="00C20C42" w:rsidTr="003125E0">
        <w:tc>
          <w:tcPr>
            <w:tcW w:w="1769" w:type="pct"/>
            <w:vAlign w:val="center"/>
          </w:tcPr>
          <w:p w:rsidR="00D84878" w:rsidRPr="00C20C42" w:rsidRDefault="00D84878" w:rsidP="001461F7">
            <w:pPr>
              <w:pStyle w:val="Paragraph"/>
            </w:pPr>
            <w:r w:rsidRPr="00C20C42">
              <w:t>Additional Content Assessors ( ACA Scheme)</w:t>
            </w:r>
          </w:p>
        </w:tc>
        <w:tc>
          <w:tcPr>
            <w:tcW w:w="749" w:type="pct"/>
            <w:vAlign w:val="center"/>
          </w:tcPr>
          <w:p w:rsidR="00D84878" w:rsidRPr="00C20C42" w:rsidRDefault="00D84878" w:rsidP="003125E0">
            <w:pPr>
              <w:pStyle w:val="Paragraph"/>
              <w:jc w:val="center"/>
            </w:pPr>
            <w:r w:rsidRPr="00C20C42">
              <w:t>2</w:t>
            </w:r>
          </w:p>
        </w:tc>
        <w:tc>
          <w:tcPr>
            <w:tcW w:w="1137" w:type="pct"/>
            <w:vAlign w:val="center"/>
          </w:tcPr>
          <w:p w:rsidR="00D84878" w:rsidRPr="00C20C42" w:rsidRDefault="00D84878" w:rsidP="003125E0">
            <w:pPr>
              <w:pStyle w:val="Paragraph"/>
              <w:jc w:val="center"/>
            </w:pPr>
            <w:r w:rsidRPr="00C20C42">
              <w:t>$297</w:t>
            </w:r>
          </w:p>
        </w:tc>
        <w:tc>
          <w:tcPr>
            <w:tcW w:w="1346" w:type="pct"/>
          </w:tcPr>
          <w:p w:rsidR="00D84878" w:rsidRPr="00C20C42" w:rsidRDefault="00D84878" w:rsidP="00505646">
            <w:pPr>
              <w:pStyle w:val="Paragraph"/>
            </w:pPr>
          </w:p>
        </w:tc>
      </w:tr>
      <w:tr w:rsidR="00D84878" w:rsidRPr="00C20C42" w:rsidTr="003125E0">
        <w:tc>
          <w:tcPr>
            <w:tcW w:w="1769" w:type="pct"/>
            <w:vAlign w:val="center"/>
          </w:tcPr>
          <w:p w:rsidR="00D84878" w:rsidRDefault="00EA30D4" w:rsidP="001461F7">
            <w:pPr>
              <w:pStyle w:val="Paragraph"/>
            </w:pPr>
            <w:r w:rsidRPr="00C20C42">
              <w:t>Computer Games Authorised Assessors (AA)</w:t>
            </w:r>
          </w:p>
          <w:p w:rsidR="001461F7" w:rsidRPr="00C20C42" w:rsidRDefault="001461F7" w:rsidP="001461F7">
            <w:pPr>
              <w:pStyle w:val="Paragraph"/>
            </w:pPr>
          </w:p>
        </w:tc>
        <w:tc>
          <w:tcPr>
            <w:tcW w:w="749" w:type="pct"/>
            <w:vAlign w:val="center"/>
          </w:tcPr>
          <w:p w:rsidR="00D84878" w:rsidRPr="00C20C42" w:rsidRDefault="00EA30D4" w:rsidP="003125E0">
            <w:pPr>
              <w:pStyle w:val="Paragraph"/>
              <w:jc w:val="center"/>
            </w:pPr>
            <w:r w:rsidRPr="00C20C42">
              <w:t>2</w:t>
            </w:r>
          </w:p>
        </w:tc>
        <w:tc>
          <w:tcPr>
            <w:tcW w:w="1137" w:type="pct"/>
            <w:vAlign w:val="center"/>
          </w:tcPr>
          <w:p w:rsidR="00D84878" w:rsidRPr="00C20C42" w:rsidRDefault="00EA30D4" w:rsidP="003125E0">
            <w:pPr>
              <w:pStyle w:val="Paragraph"/>
              <w:jc w:val="center"/>
            </w:pPr>
            <w:r w:rsidRPr="00C20C42">
              <w:t>$297</w:t>
            </w:r>
          </w:p>
        </w:tc>
        <w:tc>
          <w:tcPr>
            <w:tcW w:w="1346" w:type="pct"/>
          </w:tcPr>
          <w:p w:rsidR="00D84878" w:rsidRPr="00C20C42" w:rsidRDefault="00D84878" w:rsidP="00505646">
            <w:pPr>
              <w:pStyle w:val="Paragraph"/>
            </w:pPr>
          </w:p>
        </w:tc>
      </w:tr>
      <w:tr w:rsidR="00D84878" w:rsidRPr="00C20C42" w:rsidTr="003125E0">
        <w:tc>
          <w:tcPr>
            <w:tcW w:w="1769" w:type="pct"/>
            <w:vAlign w:val="center"/>
          </w:tcPr>
          <w:p w:rsidR="00D84878" w:rsidRDefault="00EA30D4" w:rsidP="001461F7">
            <w:pPr>
              <w:pStyle w:val="Paragraph"/>
            </w:pPr>
            <w:r w:rsidRPr="00C20C42">
              <w:lastRenderedPageBreak/>
              <w:t>Advertising Scheme</w:t>
            </w:r>
          </w:p>
          <w:p w:rsidR="001461F7" w:rsidRPr="00C20C42" w:rsidRDefault="001461F7" w:rsidP="001461F7">
            <w:pPr>
              <w:pStyle w:val="Paragraph"/>
            </w:pPr>
          </w:p>
        </w:tc>
        <w:tc>
          <w:tcPr>
            <w:tcW w:w="749" w:type="pct"/>
            <w:vAlign w:val="center"/>
          </w:tcPr>
          <w:p w:rsidR="00D84878" w:rsidRPr="00C20C42" w:rsidRDefault="00EA30D4" w:rsidP="003125E0">
            <w:pPr>
              <w:pStyle w:val="Paragraph"/>
              <w:jc w:val="center"/>
            </w:pPr>
            <w:r w:rsidRPr="00C20C42">
              <w:t>2</w:t>
            </w:r>
          </w:p>
        </w:tc>
        <w:tc>
          <w:tcPr>
            <w:tcW w:w="1137" w:type="pct"/>
            <w:vAlign w:val="center"/>
          </w:tcPr>
          <w:p w:rsidR="00D84878" w:rsidRPr="00C20C42" w:rsidRDefault="00EA30D4" w:rsidP="003125E0">
            <w:pPr>
              <w:pStyle w:val="Paragraph"/>
              <w:jc w:val="center"/>
            </w:pPr>
            <w:r w:rsidRPr="00C20C42">
              <w:t>$297</w:t>
            </w:r>
          </w:p>
        </w:tc>
        <w:tc>
          <w:tcPr>
            <w:tcW w:w="1346" w:type="pct"/>
          </w:tcPr>
          <w:p w:rsidR="00D84878" w:rsidRPr="00C20C42" w:rsidRDefault="00D84878" w:rsidP="00505646">
            <w:pPr>
              <w:pStyle w:val="Paragraph"/>
            </w:pPr>
          </w:p>
        </w:tc>
      </w:tr>
      <w:tr w:rsidR="00D84878" w:rsidRPr="00C20C42" w:rsidTr="003125E0">
        <w:tc>
          <w:tcPr>
            <w:tcW w:w="1769" w:type="pct"/>
            <w:vAlign w:val="center"/>
          </w:tcPr>
          <w:p w:rsidR="00D84878" w:rsidRPr="00C20C42" w:rsidRDefault="00EA30D4" w:rsidP="001461F7">
            <w:pPr>
              <w:pStyle w:val="Paragraph"/>
            </w:pPr>
            <w:r w:rsidRPr="00C20C42">
              <w:t>Authorised Television Series Assessor (ATSA)</w:t>
            </w:r>
          </w:p>
        </w:tc>
        <w:tc>
          <w:tcPr>
            <w:tcW w:w="749" w:type="pct"/>
            <w:vAlign w:val="center"/>
          </w:tcPr>
          <w:p w:rsidR="00D84878" w:rsidRPr="00C20C42" w:rsidRDefault="00EA30D4" w:rsidP="003125E0">
            <w:pPr>
              <w:pStyle w:val="Paragraph"/>
              <w:jc w:val="center"/>
            </w:pPr>
            <w:r w:rsidRPr="00C20C42">
              <w:t>2 hours plus trainee assessment process</w:t>
            </w:r>
          </w:p>
        </w:tc>
        <w:tc>
          <w:tcPr>
            <w:tcW w:w="1137" w:type="pct"/>
            <w:vAlign w:val="center"/>
          </w:tcPr>
          <w:p w:rsidR="00D84878" w:rsidRPr="00C20C42" w:rsidRDefault="00EA30D4" w:rsidP="003125E0">
            <w:pPr>
              <w:pStyle w:val="Paragraph"/>
              <w:jc w:val="center"/>
            </w:pPr>
            <w:r w:rsidRPr="00C20C42">
              <w:t>$682</w:t>
            </w:r>
          </w:p>
        </w:tc>
        <w:tc>
          <w:tcPr>
            <w:tcW w:w="1346" w:type="pct"/>
          </w:tcPr>
          <w:p w:rsidR="00D84878" w:rsidRPr="00C20C42" w:rsidRDefault="00D84878" w:rsidP="00505646">
            <w:pPr>
              <w:pStyle w:val="Paragraph"/>
            </w:pPr>
          </w:p>
        </w:tc>
      </w:tr>
      <w:tr w:rsidR="00EA30D4" w:rsidTr="003125E0">
        <w:tc>
          <w:tcPr>
            <w:tcW w:w="1769" w:type="pct"/>
            <w:vAlign w:val="center"/>
          </w:tcPr>
          <w:p w:rsidR="00EA30D4" w:rsidRPr="00C20C42" w:rsidRDefault="00EA30D4" w:rsidP="001461F7">
            <w:pPr>
              <w:pStyle w:val="Paragraph"/>
            </w:pPr>
            <w:r w:rsidRPr="00C20C42">
              <w:t>Refresher Training</w:t>
            </w:r>
          </w:p>
        </w:tc>
        <w:tc>
          <w:tcPr>
            <w:tcW w:w="749" w:type="pct"/>
            <w:vAlign w:val="center"/>
          </w:tcPr>
          <w:p w:rsidR="00EA30D4" w:rsidRPr="00C20C42" w:rsidRDefault="00EA30D4" w:rsidP="003125E0">
            <w:pPr>
              <w:pStyle w:val="Paragraph"/>
              <w:jc w:val="center"/>
            </w:pPr>
            <w:r w:rsidRPr="00C20C42">
              <w:t>2</w:t>
            </w:r>
          </w:p>
        </w:tc>
        <w:tc>
          <w:tcPr>
            <w:tcW w:w="1137" w:type="pct"/>
            <w:vAlign w:val="center"/>
          </w:tcPr>
          <w:p w:rsidR="00EA30D4" w:rsidRPr="00C20C42" w:rsidRDefault="00EA30D4" w:rsidP="003125E0">
            <w:pPr>
              <w:pStyle w:val="Paragraph"/>
              <w:jc w:val="center"/>
            </w:pPr>
            <w:r w:rsidRPr="00C20C42">
              <w:t>$297</w:t>
            </w:r>
          </w:p>
        </w:tc>
        <w:tc>
          <w:tcPr>
            <w:tcW w:w="1346" w:type="pct"/>
          </w:tcPr>
          <w:p w:rsidR="00EA30D4" w:rsidRDefault="00EA30D4" w:rsidP="00505646">
            <w:pPr>
              <w:pStyle w:val="Paragraph"/>
            </w:pPr>
            <w:r w:rsidRPr="00C20C42">
              <w:t>ATSA, Advertising Scheme, ACA, Computer Games Authorised Assessors</w:t>
            </w:r>
          </w:p>
        </w:tc>
      </w:tr>
    </w:tbl>
    <w:p w:rsidR="00F3105E" w:rsidRPr="00C20C42" w:rsidRDefault="00F3105E" w:rsidP="00F3105E">
      <w:pPr>
        <w:pStyle w:val="Paragraph"/>
      </w:pPr>
      <w:r w:rsidRPr="00C20C42">
        <w:t xml:space="preserve">A detailed </w:t>
      </w:r>
      <w:r>
        <w:t>breakdown of costs will be provided in the final CRIS following the Classification Fee Review.</w:t>
      </w:r>
    </w:p>
    <w:p w:rsidR="00634369" w:rsidRPr="00C20C42" w:rsidRDefault="009E3D91" w:rsidP="00A854BB">
      <w:pPr>
        <w:pStyle w:val="Heading2"/>
        <w:numPr>
          <w:ilvl w:val="0"/>
          <w:numId w:val="0"/>
        </w:numPr>
        <w:spacing w:after="120"/>
        <w:rPr>
          <w:rFonts w:ascii="Times New Roman" w:hAnsi="Times New Roman" w:cs="Times New Roman"/>
          <w:b w:val="0"/>
          <w:bCs w:val="0"/>
          <w:i w:val="0"/>
          <w:iCs w:val="0"/>
          <w:color w:val="000000"/>
          <w:lang w:val="en-US"/>
        </w:rPr>
      </w:pPr>
      <w:bookmarkStart w:id="9" w:name="_Toc174848389"/>
      <w:r w:rsidRPr="00C20C42">
        <w:rPr>
          <w:rFonts w:ascii="Times New Roman" w:hAnsi="Times New Roman" w:cs="Times New Roman"/>
          <w:b w:val="0"/>
          <w:bCs w:val="0"/>
          <w:i w:val="0"/>
          <w:iCs w:val="0"/>
          <w:color w:val="000000"/>
          <w:lang w:val="en-US"/>
        </w:rPr>
        <w:t>2.</w:t>
      </w:r>
      <w:r w:rsidR="00627FA1">
        <w:rPr>
          <w:rFonts w:ascii="Times New Roman" w:hAnsi="Times New Roman" w:cs="Times New Roman"/>
          <w:b w:val="0"/>
          <w:bCs w:val="0"/>
          <w:i w:val="0"/>
          <w:iCs w:val="0"/>
          <w:color w:val="000000"/>
          <w:lang w:val="en-US"/>
        </w:rPr>
        <w:t>3</w:t>
      </w:r>
      <w:r w:rsidRPr="00C20C42">
        <w:rPr>
          <w:rFonts w:ascii="Times New Roman" w:hAnsi="Times New Roman" w:cs="Times New Roman"/>
          <w:b w:val="0"/>
          <w:bCs w:val="0"/>
          <w:i w:val="0"/>
          <w:iCs w:val="0"/>
          <w:color w:val="000000"/>
          <w:lang w:val="en-US"/>
        </w:rPr>
        <w:tab/>
      </w:r>
      <w:r w:rsidR="00634369" w:rsidRPr="00C20C42">
        <w:rPr>
          <w:rFonts w:ascii="Times New Roman" w:hAnsi="Times New Roman" w:cs="Times New Roman"/>
          <w:b w:val="0"/>
          <w:bCs w:val="0"/>
          <w:i w:val="0"/>
          <w:iCs w:val="0"/>
          <w:color w:val="000000"/>
          <w:lang w:val="en-US"/>
        </w:rPr>
        <w:t xml:space="preserve">Participation </w:t>
      </w:r>
      <w:bookmarkEnd w:id="9"/>
    </w:p>
    <w:p w:rsidR="005C3CF3" w:rsidRPr="00C20C42" w:rsidRDefault="004541CB" w:rsidP="007161CA">
      <w:pPr>
        <w:pStyle w:val="NormalWeb"/>
        <w:spacing w:before="120" w:beforeAutospacing="0" w:after="120" w:afterAutospacing="0"/>
      </w:pPr>
      <w:r w:rsidRPr="00C20C42">
        <w:t xml:space="preserve">Participation in the </w:t>
      </w:r>
      <w:r w:rsidR="005A5C00" w:rsidRPr="00C20C42">
        <w:t xml:space="preserve">training programs is entirely </w:t>
      </w:r>
      <w:r w:rsidRPr="00C20C42">
        <w:t xml:space="preserve">voluntary. Applicants have the choice of submitting an application to the Classification Board for classification of a film or computer game and paying the associated application fee or taking advantage of </w:t>
      </w:r>
      <w:r w:rsidR="005C3CF3" w:rsidRPr="00C20C42">
        <w:t xml:space="preserve">one of the authorised assessors schemes and paying a lesser </w:t>
      </w:r>
      <w:r w:rsidR="006531B8">
        <w:t xml:space="preserve">application </w:t>
      </w:r>
      <w:r w:rsidR="005C3CF3" w:rsidRPr="00C20C42">
        <w:t xml:space="preserve">fee. </w:t>
      </w:r>
    </w:p>
    <w:p w:rsidR="00A45DCD" w:rsidRDefault="006531B8" w:rsidP="007161CA">
      <w:pPr>
        <w:pStyle w:val="NormalWeb"/>
        <w:spacing w:before="120" w:beforeAutospacing="0" w:after="120" w:afterAutospacing="0"/>
      </w:pPr>
      <w:r>
        <w:t xml:space="preserve">Participation in </w:t>
      </w:r>
      <w:r w:rsidR="00FA47AD" w:rsidRPr="00C20C42">
        <w:t>the Advertising of Unclassified Films and Computer Games Scheme enables the applicant to make a self assessment of the likely classification of an unclassified film or computer game for advertising purposes without submitting an application to the Board.</w:t>
      </w:r>
      <w:r w:rsidR="00242145" w:rsidRPr="00F53613">
        <w:t xml:space="preserve"> </w:t>
      </w:r>
    </w:p>
    <w:p w:rsidR="00B03E5F" w:rsidRPr="00C20C42" w:rsidRDefault="00940AAF" w:rsidP="00976D6F">
      <w:pPr>
        <w:spacing w:before="240" w:after="120"/>
        <w:rPr>
          <w:color w:val="000000"/>
          <w:sz w:val="28"/>
          <w:szCs w:val="28"/>
          <w:lang w:val="en-US"/>
        </w:rPr>
      </w:pPr>
      <w:r w:rsidRPr="00C20C42">
        <w:rPr>
          <w:color w:val="000000"/>
          <w:sz w:val="28"/>
          <w:szCs w:val="28"/>
          <w:lang w:val="en-US"/>
        </w:rPr>
        <w:t>2.4</w:t>
      </w:r>
      <w:r w:rsidRPr="00C20C42">
        <w:rPr>
          <w:color w:val="000000"/>
          <w:sz w:val="28"/>
          <w:szCs w:val="28"/>
          <w:lang w:val="en-US"/>
        </w:rPr>
        <w:tab/>
      </w:r>
      <w:r w:rsidR="003C233A" w:rsidRPr="00C20C42">
        <w:rPr>
          <w:color w:val="000000"/>
          <w:sz w:val="28"/>
          <w:szCs w:val="28"/>
          <w:lang w:val="en-US"/>
        </w:rPr>
        <w:t>Stakeholders</w:t>
      </w:r>
    </w:p>
    <w:p w:rsidR="009E6F91" w:rsidRDefault="006E074E" w:rsidP="00A13749">
      <w:pPr>
        <w:pStyle w:val="NormalWeb"/>
        <w:spacing w:before="120" w:beforeAutospacing="0" w:after="120" w:afterAutospacing="0"/>
      </w:pPr>
      <w:r w:rsidRPr="00C20C42">
        <w:t xml:space="preserve">The </w:t>
      </w:r>
      <w:r w:rsidR="009E6F91" w:rsidRPr="00C20C42">
        <w:t xml:space="preserve">key </w:t>
      </w:r>
      <w:r w:rsidRPr="00C20C42">
        <w:t xml:space="preserve">stakeholders </w:t>
      </w:r>
      <w:r w:rsidR="009E6F91" w:rsidRPr="00C20C42">
        <w:t xml:space="preserve">include </w:t>
      </w:r>
      <w:r w:rsidR="005A5C00" w:rsidRPr="00C20C42">
        <w:t xml:space="preserve">industry, in particular distributors of films and computer games </w:t>
      </w:r>
      <w:r w:rsidR="00580C30" w:rsidRPr="00C20C42">
        <w:t>the community and all governments.</w:t>
      </w:r>
    </w:p>
    <w:p w:rsidR="00F60C10" w:rsidRPr="00C20C42" w:rsidRDefault="00BD7824" w:rsidP="00976D6F">
      <w:pPr>
        <w:spacing w:before="240" w:after="120"/>
        <w:rPr>
          <w:color w:val="000000"/>
          <w:sz w:val="28"/>
          <w:szCs w:val="28"/>
          <w:lang w:val="en-US"/>
        </w:rPr>
      </w:pPr>
      <w:r w:rsidRPr="00C20C42">
        <w:rPr>
          <w:color w:val="000000"/>
          <w:sz w:val="28"/>
          <w:szCs w:val="28"/>
          <w:lang w:val="en-US"/>
        </w:rPr>
        <w:t>2.5</w:t>
      </w:r>
      <w:r w:rsidRPr="00C20C42">
        <w:rPr>
          <w:color w:val="000000"/>
          <w:sz w:val="28"/>
          <w:szCs w:val="28"/>
          <w:lang w:val="en-US"/>
        </w:rPr>
        <w:tab/>
        <w:t>Conclusion</w:t>
      </w:r>
    </w:p>
    <w:p w:rsidR="00FF0994" w:rsidRPr="00EF18DC" w:rsidRDefault="00FF0994" w:rsidP="00A13749">
      <w:pPr>
        <w:pStyle w:val="NormalWeb"/>
        <w:spacing w:before="120" w:beforeAutospacing="0" w:after="120" w:afterAutospacing="0"/>
      </w:pPr>
      <w:r w:rsidRPr="00C20C42">
        <w:t xml:space="preserve">The objective of the </w:t>
      </w:r>
      <w:r w:rsidR="005A5C00" w:rsidRPr="00C20C42">
        <w:t xml:space="preserve">modularised training scheme is to provide relevant and cost effective training that will reduce duplication and associated cost. The scheme will facilitate industry participation </w:t>
      </w:r>
      <w:r w:rsidR="006520EF" w:rsidRPr="00C20C42">
        <w:t xml:space="preserve">in authorised assessor schemes with resultant benefits of reduced costs </w:t>
      </w:r>
      <w:r w:rsidR="00BD29AC" w:rsidRPr="00C20C42">
        <w:t xml:space="preserve">for applications submitted to the Classification Board, and regulatory burden for industry. </w:t>
      </w:r>
      <w:r w:rsidRPr="00C20C42">
        <w:t xml:space="preserve">Cost recovery </w:t>
      </w:r>
      <w:r w:rsidR="006520EF" w:rsidRPr="00C20C42">
        <w:t>for these service</w:t>
      </w:r>
      <w:r w:rsidR="00C20C42">
        <w:t>s</w:t>
      </w:r>
      <w:r w:rsidR="006520EF" w:rsidRPr="00C20C42">
        <w:t xml:space="preserve"> is appropriate as there is a financial benefit to the user and is </w:t>
      </w:r>
      <w:r w:rsidR="00A1272C" w:rsidRPr="00C20C42">
        <w:t xml:space="preserve"> consistent with the user pays principle.</w:t>
      </w:r>
    </w:p>
    <w:p w:rsidR="009F38CF" w:rsidRPr="00EF18DC" w:rsidRDefault="009F38CF">
      <w:pPr>
        <w:jc w:val="both"/>
        <w:rPr>
          <w:color w:val="000000"/>
          <w:lang w:val="en-US"/>
        </w:rPr>
      </w:pPr>
      <w:bookmarkStart w:id="10" w:name="designandimplementation"/>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38CF" w:rsidRPr="003125E0" w:rsidTr="003125E0">
        <w:tc>
          <w:tcPr>
            <w:tcW w:w="8522" w:type="dxa"/>
          </w:tcPr>
          <w:p w:rsidR="009F38CF" w:rsidRPr="003125E0" w:rsidRDefault="009F38CF" w:rsidP="003125E0">
            <w:pPr>
              <w:jc w:val="both"/>
              <w:rPr>
                <w:sz w:val="28"/>
                <w:szCs w:val="28"/>
              </w:rPr>
            </w:pPr>
            <w:r w:rsidRPr="003125E0">
              <w:rPr>
                <w:color w:val="000000"/>
                <w:sz w:val="28"/>
                <w:szCs w:val="28"/>
                <w:lang w:val="en-US"/>
              </w:rPr>
              <w:lastRenderedPageBreak/>
              <w:t>3.</w:t>
            </w:r>
            <w:r w:rsidRPr="003125E0">
              <w:rPr>
                <w:sz w:val="28"/>
                <w:szCs w:val="28"/>
              </w:rPr>
              <w:t xml:space="preserve"> DESIGN AND IMPLEMENTATION</w:t>
            </w:r>
          </w:p>
        </w:tc>
      </w:tr>
    </w:tbl>
    <w:p w:rsidR="001D723D" w:rsidRPr="00C20C42" w:rsidRDefault="005A0843" w:rsidP="001253C7">
      <w:pPr>
        <w:pStyle w:val="Heading2"/>
        <w:numPr>
          <w:ilvl w:val="0"/>
          <w:numId w:val="0"/>
        </w:numPr>
        <w:spacing w:after="120"/>
        <w:rPr>
          <w:rFonts w:ascii="Times New Roman" w:hAnsi="Times New Roman" w:cs="Times New Roman"/>
          <w:b w:val="0"/>
          <w:bCs w:val="0"/>
          <w:i w:val="0"/>
          <w:iCs w:val="0"/>
          <w:color w:val="000000"/>
          <w:lang w:val="en-US"/>
        </w:rPr>
      </w:pPr>
      <w:bookmarkStart w:id="11" w:name="basisorcharging"/>
      <w:bookmarkEnd w:id="10"/>
      <w:r w:rsidRPr="00C20C42">
        <w:rPr>
          <w:rFonts w:ascii="Times New Roman" w:hAnsi="Times New Roman" w:cs="Times New Roman"/>
          <w:b w:val="0"/>
          <w:bCs w:val="0"/>
          <w:i w:val="0"/>
          <w:iCs w:val="0"/>
          <w:color w:val="000000"/>
          <w:lang w:val="en-US"/>
        </w:rPr>
        <w:t>3.1</w:t>
      </w:r>
      <w:r w:rsidRPr="00C20C42">
        <w:rPr>
          <w:rFonts w:ascii="Times New Roman" w:hAnsi="Times New Roman" w:cs="Times New Roman"/>
          <w:b w:val="0"/>
          <w:bCs w:val="0"/>
          <w:i w:val="0"/>
          <w:iCs w:val="0"/>
          <w:color w:val="000000"/>
          <w:lang w:val="en-US"/>
        </w:rPr>
        <w:tab/>
        <w:t>B</w:t>
      </w:r>
      <w:r w:rsidR="00B03E5F" w:rsidRPr="00C20C42">
        <w:rPr>
          <w:rFonts w:ascii="Times New Roman" w:hAnsi="Times New Roman" w:cs="Times New Roman"/>
          <w:b w:val="0"/>
          <w:bCs w:val="0"/>
          <w:i w:val="0"/>
          <w:iCs w:val="0"/>
          <w:color w:val="000000"/>
          <w:lang w:val="en-US"/>
        </w:rPr>
        <w:t>asis of Charging – Fee or Levy</w:t>
      </w:r>
    </w:p>
    <w:bookmarkEnd w:id="11"/>
    <w:p w:rsidR="008D58EE" w:rsidRDefault="008D58EE" w:rsidP="001253C7">
      <w:pPr>
        <w:spacing w:before="120" w:after="120"/>
        <w:jc w:val="both"/>
      </w:pPr>
      <w:r w:rsidRPr="00C20C42">
        <w:t>The preferred basis of charge is a fee to the individual applicant.  This is to ensure a direct link between the costs of the service and the level of the charge.  This approach, consistent with cost recovery arrangements in place for other classification services, encourages transparency and efficiency in the delivery of the service.</w:t>
      </w:r>
      <w:r w:rsidRPr="00F53613">
        <w:t xml:space="preserve"> </w:t>
      </w:r>
      <w:r w:rsidR="00A15E2D" w:rsidRPr="00F53613">
        <w:t xml:space="preserve"> </w:t>
      </w:r>
    </w:p>
    <w:p w:rsidR="00B03E5F" w:rsidRPr="00C20C42" w:rsidRDefault="00650BE3" w:rsidP="005E3C26">
      <w:pPr>
        <w:spacing w:before="240" w:after="120"/>
        <w:rPr>
          <w:sz w:val="28"/>
          <w:szCs w:val="28"/>
        </w:rPr>
      </w:pPr>
      <w:bookmarkStart w:id="12" w:name="legalrequirements"/>
      <w:r w:rsidRPr="00C20C42">
        <w:rPr>
          <w:sz w:val="28"/>
          <w:szCs w:val="28"/>
        </w:rPr>
        <w:t>3.</w:t>
      </w:r>
      <w:r w:rsidR="00BF3E0B" w:rsidRPr="00C20C42">
        <w:rPr>
          <w:sz w:val="28"/>
          <w:szCs w:val="28"/>
        </w:rPr>
        <w:t>2</w:t>
      </w:r>
      <w:r w:rsidRPr="00C20C42">
        <w:rPr>
          <w:sz w:val="28"/>
          <w:szCs w:val="28"/>
        </w:rPr>
        <w:tab/>
      </w:r>
      <w:r w:rsidR="00B03E5F" w:rsidRPr="00C20C42">
        <w:rPr>
          <w:sz w:val="28"/>
          <w:szCs w:val="28"/>
        </w:rPr>
        <w:t>Legal Requirements for the Imposition of Charges</w:t>
      </w:r>
    </w:p>
    <w:p w:rsidR="00B91644" w:rsidRDefault="00BD29AC" w:rsidP="00B91644">
      <w:bookmarkStart w:id="13" w:name="calculationofcosts"/>
      <w:bookmarkEnd w:id="12"/>
      <w:r w:rsidRPr="00C20C42">
        <w:t xml:space="preserve">The basis for charging is the Commonwealth Government’s Cost Recovery Policy Guidelines and Finance Circulars 2005/09 and 2008/08. </w:t>
      </w:r>
    </w:p>
    <w:p w:rsidR="007C36EA" w:rsidRPr="00C20C42" w:rsidRDefault="007C36EA" w:rsidP="00B91644"/>
    <w:p w:rsidR="00BD29AC" w:rsidRPr="00C20C42" w:rsidRDefault="00B91644" w:rsidP="0073443C">
      <w:pPr>
        <w:rPr>
          <w:sz w:val="28"/>
          <w:szCs w:val="28"/>
        </w:rPr>
      </w:pPr>
      <w:r w:rsidRPr="00C20C42">
        <w:t xml:space="preserve">The Cost Recovery Guidelines state that agencies should set charges to recover all the costs of products or services where it is efficient to do so. Fees charged for the classification training services are aimed at recovering the direct costs of providing this service. </w:t>
      </w:r>
    </w:p>
    <w:p w:rsidR="00B03E5F" w:rsidRPr="00C20C42" w:rsidRDefault="00CC442F" w:rsidP="0003317B">
      <w:pPr>
        <w:spacing w:before="240" w:after="120"/>
        <w:rPr>
          <w:sz w:val="28"/>
          <w:szCs w:val="28"/>
        </w:rPr>
      </w:pPr>
      <w:r w:rsidRPr="00C20C42">
        <w:rPr>
          <w:sz w:val="28"/>
          <w:szCs w:val="28"/>
        </w:rPr>
        <w:t>3.</w:t>
      </w:r>
      <w:r w:rsidR="00BF3E0B" w:rsidRPr="00C20C42">
        <w:rPr>
          <w:sz w:val="28"/>
          <w:szCs w:val="28"/>
        </w:rPr>
        <w:t>3</w:t>
      </w:r>
      <w:r w:rsidRPr="00C20C42">
        <w:rPr>
          <w:sz w:val="28"/>
          <w:szCs w:val="28"/>
        </w:rPr>
        <w:tab/>
      </w:r>
      <w:bookmarkStart w:id="14" w:name="OLE_LINK24"/>
      <w:bookmarkStart w:id="15" w:name="OLE_LINK25"/>
      <w:r w:rsidR="00FE6B50" w:rsidRPr="00C20C42">
        <w:rPr>
          <w:sz w:val="28"/>
          <w:szCs w:val="28"/>
        </w:rPr>
        <w:t xml:space="preserve">Fees For </w:t>
      </w:r>
      <w:r w:rsidR="00FB6482" w:rsidRPr="00C20C42">
        <w:rPr>
          <w:sz w:val="28"/>
          <w:szCs w:val="28"/>
        </w:rPr>
        <w:t>Classification Training</w:t>
      </w:r>
      <w:bookmarkEnd w:id="14"/>
      <w:bookmarkEnd w:id="15"/>
    </w:p>
    <w:bookmarkEnd w:id="13"/>
    <w:p w:rsidR="00942819" w:rsidRPr="00C20C42" w:rsidRDefault="008D303D" w:rsidP="00942819">
      <w:r w:rsidRPr="00C20C42">
        <w:t>Calculation of th</w:t>
      </w:r>
      <w:r w:rsidR="00942819" w:rsidRPr="00C20C42">
        <w:t xml:space="preserve">ese fees </w:t>
      </w:r>
      <w:r w:rsidRPr="00C20C42">
        <w:t xml:space="preserve">is based on costing </w:t>
      </w:r>
      <w:r w:rsidR="00942819" w:rsidRPr="00C20C42">
        <w:t>approaches consistent with Commonwealth Cost Recovery Policy.</w:t>
      </w:r>
      <w:r w:rsidR="004A78EB" w:rsidRPr="00C20C42">
        <w:t xml:space="preserve"> </w:t>
      </w:r>
      <w:r w:rsidR="00942819" w:rsidRPr="00C20C42">
        <w:t>The fees will be reviewed as part of the current review of classification fees.</w:t>
      </w:r>
      <w:r w:rsidR="00942819" w:rsidRPr="00C20C42">
        <w:rPr>
          <w:b/>
        </w:rPr>
        <w:t xml:space="preserve"> </w:t>
      </w:r>
      <w:r w:rsidR="00942819" w:rsidRPr="00C20C42">
        <w:t xml:space="preserve">In general: </w:t>
      </w:r>
    </w:p>
    <w:p w:rsidR="006520EF" w:rsidRPr="00C20C42" w:rsidRDefault="006520EF" w:rsidP="006520EF"/>
    <w:p w:rsidR="006520EF" w:rsidRPr="00C20C42" w:rsidRDefault="006520EF" w:rsidP="006520EF">
      <w:pPr>
        <w:numPr>
          <w:ilvl w:val="0"/>
          <w:numId w:val="12"/>
        </w:numPr>
      </w:pPr>
      <w:r w:rsidRPr="00C20C42">
        <w:t xml:space="preserve">An activity based costing approach is used to develop the cost per courses. </w:t>
      </w:r>
      <w:bookmarkStart w:id="16" w:name="OLE_LINK6"/>
      <w:bookmarkStart w:id="17" w:name="OLE_LINK7"/>
    </w:p>
    <w:p w:rsidR="006520EF" w:rsidRPr="00995909" w:rsidRDefault="006520EF" w:rsidP="006520EF">
      <w:pPr>
        <w:rPr>
          <w:highlight w:val="yellow"/>
        </w:rPr>
      </w:pPr>
    </w:p>
    <w:p w:rsidR="006520EF" w:rsidRPr="00C20C42" w:rsidRDefault="006520EF" w:rsidP="006520EF">
      <w:pPr>
        <w:numPr>
          <w:ilvl w:val="0"/>
          <w:numId w:val="12"/>
        </w:numPr>
      </w:pPr>
      <w:r w:rsidRPr="00C20C42">
        <w:t xml:space="preserve">Each course is separately costed – there is no cross subsidisation of other courses or staff costs. </w:t>
      </w:r>
    </w:p>
    <w:p w:rsidR="006520EF" w:rsidRPr="00C20C42" w:rsidRDefault="006520EF" w:rsidP="006520EF"/>
    <w:p w:rsidR="006520EF" w:rsidRPr="00C20C42" w:rsidRDefault="006520EF" w:rsidP="006520EF">
      <w:pPr>
        <w:numPr>
          <w:ilvl w:val="0"/>
          <w:numId w:val="12"/>
        </w:numPr>
      </w:pPr>
      <w:r w:rsidRPr="00C20C42">
        <w:t>The costing does not look to recover the total annual costs of the Training Section – only the direct costs of the courses.</w:t>
      </w:r>
    </w:p>
    <w:p w:rsidR="006520EF" w:rsidRPr="00C20C42" w:rsidRDefault="006520EF" w:rsidP="006520EF"/>
    <w:p w:rsidR="006520EF" w:rsidRPr="00C20C42" w:rsidRDefault="006520EF" w:rsidP="006520EF">
      <w:pPr>
        <w:numPr>
          <w:ilvl w:val="0"/>
          <w:numId w:val="12"/>
        </w:numPr>
      </w:pPr>
      <w:r w:rsidRPr="00C20C42">
        <w:t xml:space="preserve">Hourly labour costs used </w:t>
      </w:r>
      <w:r w:rsidR="00942819" w:rsidRPr="00C20C42">
        <w:t xml:space="preserve">include </w:t>
      </w:r>
      <w:r w:rsidRPr="00C20C42">
        <w:t>salary related oncosts.</w:t>
      </w:r>
      <w:r w:rsidR="00942819" w:rsidRPr="00C20C42">
        <w:t xml:space="preserve"> </w:t>
      </w:r>
      <w:r w:rsidRPr="00C20C42">
        <w:t>Overhead rates have been based on an average ratio of the non salary overhead to direct labour in each of the fees in the classification fee review.</w:t>
      </w:r>
    </w:p>
    <w:p w:rsidR="002E17E6" w:rsidRPr="00C20C42" w:rsidRDefault="002E17E6" w:rsidP="002E17E6"/>
    <w:p w:rsidR="002E17E6" w:rsidRPr="00C20C42" w:rsidRDefault="002E17E6" w:rsidP="002E17E6">
      <w:pPr>
        <w:numPr>
          <w:ilvl w:val="0"/>
          <w:numId w:val="12"/>
        </w:numPr>
      </w:pPr>
      <w:r w:rsidRPr="00C20C42">
        <w:t>In summary fees per trainee are calculated as the total of:</w:t>
      </w:r>
    </w:p>
    <w:p w:rsidR="002E17E6" w:rsidRPr="00C20C42" w:rsidRDefault="002E17E6" w:rsidP="002E17E6">
      <w:pPr>
        <w:rPr>
          <w:i/>
        </w:rPr>
      </w:pPr>
    </w:p>
    <w:p w:rsidR="00942819" w:rsidRPr="00C20C42" w:rsidRDefault="00942819" w:rsidP="00942819">
      <w:pPr>
        <w:numPr>
          <w:ilvl w:val="1"/>
          <w:numId w:val="12"/>
        </w:numPr>
      </w:pPr>
      <w:r w:rsidRPr="004F1710">
        <w:rPr>
          <w:i/>
        </w:rPr>
        <w:t>Course development direct labour costs per trainee</w:t>
      </w:r>
      <w:r w:rsidRPr="00C20C42">
        <w:t xml:space="preserve"> - this includes course design, preparation, researching and preparation of course material. The total development cost is amortised over an estimated 2 year life estimated number of courses per year and attendance.</w:t>
      </w:r>
    </w:p>
    <w:p w:rsidR="00C64B25" w:rsidRPr="00C20C42" w:rsidRDefault="00C64B25" w:rsidP="00C64B25">
      <w:pPr>
        <w:ind w:left="720"/>
      </w:pPr>
    </w:p>
    <w:p w:rsidR="00942819" w:rsidRPr="00C20C42" w:rsidRDefault="00C64B25" w:rsidP="006520EF">
      <w:pPr>
        <w:numPr>
          <w:ilvl w:val="1"/>
          <w:numId w:val="12"/>
        </w:numPr>
      </w:pPr>
      <w:r w:rsidRPr="004F1710">
        <w:rPr>
          <w:i/>
        </w:rPr>
        <w:lastRenderedPageBreak/>
        <w:t>Course Delivery direct labour costs per trainee</w:t>
      </w:r>
      <w:r w:rsidRPr="00C20C42">
        <w:t xml:space="preserve"> – The direct labour costs for the presenter and support staff is calculated for each course and is divided by the expected number of trainees per course. Activities included in this cost includes the face to face presentation time, room preparation and clean up, organising refreshments etc.</w:t>
      </w:r>
    </w:p>
    <w:p w:rsidR="00C64B25" w:rsidRPr="00C20C42" w:rsidRDefault="00C64B25" w:rsidP="00C64B25"/>
    <w:p w:rsidR="00C64B25" w:rsidRPr="00C20C42" w:rsidRDefault="00C64B25" w:rsidP="00C64B25">
      <w:pPr>
        <w:numPr>
          <w:ilvl w:val="1"/>
          <w:numId w:val="12"/>
        </w:numPr>
      </w:pPr>
      <w:r w:rsidRPr="004F1710">
        <w:rPr>
          <w:i/>
        </w:rPr>
        <w:t>Specific support direct labour costs per trainee</w:t>
      </w:r>
      <w:r w:rsidRPr="00C20C42">
        <w:rPr>
          <w:b/>
        </w:rPr>
        <w:t xml:space="preserve"> – </w:t>
      </w:r>
      <w:r w:rsidRPr="00C20C42">
        <w:t xml:space="preserve">the direct labour costs for activity such as bookings, receipting, certificate preparation etc is calculated for each trainee. </w:t>
      </w:r>
    </w:p>
    <w:p w:rsidR="002E17E6" w:rsidRPr="00C20C42" w:rsidRDefault="002E17E6" w:rsidP="002E17E6"/>
    <w:p w:rsidR="002E17E6" w:rsidRPr="00C20C42" w:rsidRDefault="002E17E6" w:rsidP="002E17E6">
      <w:pPr>
        <w:numPr>
          <w:ilvl w:val="1"/>
          <w:numId w:val="12"/>
        </w:numPr>
      </w:pPr>
      <w:r w:rsidRPr="004F1710">
        <w:rPr>
          <w:i/>
        </w:rPr>
        <w:t>Application of Overhead</w:t>
      </w:r>
      <w:r w:rsidRPr="00C20C42">
        <w:t xml:space="preserve"> –</w:t>
      </w:r>
      <w:r w:rsidRPr="00C20C42">
        <w:rPr>
          <w:b/>
        </w:rPr>
        <w:t xml:space="preserve"> </w:t>
      </w:r>
      <w:r w:rsidRPr="00C20C42">
        <w:t>an overhead rate is applied to the total direct labour costs per trainee from steps a, b and c. The overhead rate is based on the average non salary overhead rate from the current classification fee review.</w:t>
      </w:r>
    </w:p>
    <w:p w:rsidR="002E17E6" w:rsidRPr="00C20C42" w:rsidRDefault="002E17E6" w:rsidP="002E17E6">
      <w:pPr>
        <w:rPr>
          <w:b/>
          <w:i/>
        </w:rPr>
      </w:pPr>
    </w:p>
    <w:p w:rsidR="002E17E6" w:rsidRPr="00C20C42" w:rsidRDefault="002E17E6" w:rsidP="002E17E6">
      <w:pPr>
        <w:numPr>
          <w:ilvl w:val="1"/>
          <w:numId w:val="12"/>
        </w:numPr>
      </w:pPr>
      <w:r w:rsidRPr="00C20C42">
        <w:rPr>
          <w:i/>
        </w:rPr>
        <w:t>Other direct costs per trainee</w:t>
      </w:r>
      <w:r w:rsidRPr="00C20C42">
        <w:rPr>
          <w:b/>
          <w:i/>
        </w:rPr>
        <w:t xml:space="preserve"> – </w:t>
      </w:r>
      <w:r w:rsidRPr="00C20C42">
        <w:t>other direct costs per trainee such as refreshments, course material are added to the total direct labour and overhead costs to give a total per trainee cost excluding GST.</w:t>
      </w:r>
    </w:p>
    <w:p w:rsidR="002E17E6" w:rsidRPr="00C20C42" w:rsidRDefault="002E17E6" w:rsidP="002E17E6">
      <w:pPr>
        <w:rPr>
          <w:b/>
          <w:i/>
        </w:rPr>
      </w:pPr>
    </w:p>
    <w:p w:rsidR="002E17E6" w:rsidRPr="00C20C42" w:rsidRDefault="002E17E6" w:rsidP="002E17E6">
      <w:pPr>
        <w:numPr>
          <w:ilvl w:val="1"/>
          <w:numId w:val="12"/>
        </w:numPr>
      </w:pPr>
      <w:r w:rsidRPr="00C20C42">
        <w:rPr>
          <w:i/>
        </w:rPr>
        <w:t>Application of GST</w:t>
      </w:r>
      <w:r w:rsidRPr="00C20C42">
        <w:t xml:space="preserve"> – unlike fees for classification of publications, film and computer games, training are not covered by government regulation and as such attract a GST. </w:t>
      </w:r>
    </w:p>
    <w:p w:rsidR="00C64B25" w:rsidRDefault="00C64B25" w:rsidP="002E17E6">
      <w:pPr>
        <w:ind w:left="720"/>
      </w:pPr>
    </w:p>
    <w:p w:rsidR="00942819" w:rsidRPr="00C20C42" w:rsidRDefault="00BC2DFE" w:rsidP="00942819">
      <w:r w:rsidRPr="00C20C42">
        <w:t xml:space="preserve">The method outlined above will be used to calculate any additional training programs not currently identified or in operation. </w:t>
      </w:r>
      <w:r w:rsidR="0073443C" w:rsidRPr="00C20C42">
        <w:t xml:space="preserve">This includes any specific requests for tailored training programs. </w:t>
      </w:r>
      <w:r w:rsidR="00942819" w:rsidRPr="00C20C42">
        <w:t xml:space="preserve">The </w:t>
      </w:r>
      <w:r w:rsidR="0073443C" w:rsidRPr="00C20C42">
        <w:t xml:space="preserve">classification training fees </w:t>
      </w:r>
      <w:r w:rsidR="00942819" w:rsidRPr="00C20C42">
        <w:t>will be reviewed as part of the current review of classification fees.</w:t>
      </w:r>
      <w:r w:rsidR="00942819" w:rsidRPr="00C20C42">
        <w:rPr>
          <w:b/>
        </w:rPr>
        <w:t xml:space="preserve"> </w:t>
      </w:r>
    </w:p>
    <w:p w:rsidR="006520EF" w:rsidRPr="00C20C42" w:rsidRDefault="006520EF" w:rsidP="006520EF"/>
    <w:bookmarkEnd w:id="16"/>
    <w:bookmarkEnd w:id="17"/>
    <w:p w:rsidR="009B0045" w:rsidRPr="00C20C42" w:rsidRDefault="00BF3E0B" w:rsidP="009B0045">
      <w:pPr>
        <w:autoSpaceDE w:val="0"/>
        <w:autoSpaceDN w:val="0"/>
        <w:adjustRightInd w:val="0"/>
        <w:spacing w:before="120" w:after="120"/>
        <w:rPr>
          <w:sz w:val="28"/>
          <w:szCs w:val="28"/>
        </w:rPr>
      </w:pPr>
      <w:r w:rsidRPr="00C20C42">
        <w:rPr>
          <w:sz w:val="28"/>
          <w:szCs w:val="28"/>
        </w:rPr>
        <w:t>3.4</w:t>
      </w:r>
      <w:r w:rsidR="004A78EB" w:rsidRPr="00C20C42">
        <w:rPr>
          <w:sz w:val="28"/>
          <w:szCs w:val="28"/>
        </w:rPr>
        <w:t xml:space="preserve"> </w:t>
      </w:r>
      <w:r w:rsidR="004A78EB" w:rsidRPr="00C20C42">
        <w:rPr>
          <w:sz w:val="28"/>
          <w:szCs w:val="28"/>
        </w:rPr>
        <w:tab/>
      </w:r>
      <w:r w:rsidR="009B0045" w:rsidRPr="00C20C42">
        <w:rPr>
          <w:sz w:val="28"/>
          <w:szCs w:val="28"/>
        </w:rPr>
        <w:t xml:space="preserve">Demand </w:t>
      </w:r>
      <w:r w:rsidR="001461F7">
        <w:rPr>
          <w:sz w:val="28"/>
          <w:szCs w:val="28"/>
        </w:rPr>
        <w:t xml:space="preserve">and Revenue </w:t>
      </w:r>
      <w:r w:rsidR="0073430A" w:rsidRPr="00C20C42">
        <w:rPr>
          <w:sz w:val="28"/>
          <w:szCs w:val="28"/>
        </w:rPr>
        <w:t>Estimates</w:t>
      </w:r>
    </w:p>
    <w:p w:rsidR="00BC2DFE" w:rsidRPr="00C20C42" w:rsidRDefault="00BC2DFE" w:rsidP="00BC2DFE">
      <w:r w:rsidRPr="00C20C42">
        <w:t>Classification Operations Branch currently charges for training provided to industry with estimated departmental revenue of approximately $107,000 in 2008-09.  Revenue from training in 2007-08 was $110,000. This is retained by the Department and forms part of the Classification Operations Branch Budget.</w:t>
      </w:r>
    </w:p>
    <w:p w:rsidR="00BC2DFE" w:rsidRPr="00C20C42" w:rsidRDefault="00BC2DFE" w:rsidP="00BC2DFE"/>
    <w:p w:rsidR="00BC2DFE" w:rsidRDefault="00BC2DFE" w:rsidP="00BC2DFE">
      <w:r w:rsidRPr="00C20C42">
        <w:t xml:space="preserve">Calculation of demand and subsequent revenue </w:t>
      </w:r>
      <w:r w:rsidR="0073443C" w:rsidRPr="00C20C42">
        <w:t>for 2009-10 is difficult and reliant on industry demand. Estimated Revenue for 2009-10 is $87,600 based on similar demand for training as in 2008-09.</w:t>
      </w:r>
    </w:p>
    <w:p w:rsidR="00BC2DFE" w:rsidRDefault="00BC2DFE" w:rsidP="00BC2DFE"/>
    <w:p w:rsidR="001C2AD1" w:rsidRPr="00872179" w:rsidRDefault="00627FA1" w:rsidP="00197FB3">
      <w:pPr>
        <w:autoSpaceDE w:val="0"/>
        <w:autoSpaceDN w:val="0"/>
        <w:adjustRightInd w:val="0"/>
        <w:spacing w:before="120" w:after="120"/>
        <w:rPr>
          <w:highlight w:val="yellow"/>
          <w:lang w:val="en-US"/>
        </w:rPr>
      </w:pPr>
      <w:r>
        <w:rPr>
          <w:highlight w:val="yellow"/>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38CF" w:rsidRPr="003125E0" w:rsidTr="003125E0">
        <w:tc>
          <w:tcPr>
            <w:tcW w:w="8522" w:type="dxa"/>
          </w:tcPr>
          <w:p w:rsidR="009F38CF" w:rsidRPr="003125E0" w:rsidRDefault="009F38CF" w:rsidP="003125E0">
            <w:pPr>
              <w:pStyle w:val="Pa4"/>
              <w:widowControl/>
              <w:autoSpaceDE/>
              <w:autoSpaceDN/>
              <w:adjustRightInd/>
              <w:spacing w:after="0" w:line="240" w:lineRule="auto"/>
              <w:jc w:val="both"/>
              <w:rPr>
                <w:rFonts w:ascii="Times New Roman" w:eastAsia="Times New Roman" w:hAnsi="Times New Roman" w:cs="Times New Roman"/>
                <w:sz w:val="28"/>
                <w:szCs w:val="28"/>
                <w:lang w:val="en-AU"/>
              </w:rPr>
            </w:pPr>
            <w:r w:rsidRPr="003125E0">
              <w:rPr>
                <w:rFonts w:ascii="Times New Roman" w:eastAsia="Times New Roman" w:hAnsi="Times New Roman" w:cs="Times New Roman"/>
                <w:sz w:val="28"/>
                <w:szCs w:val="28"/>
                <w:lang w:val="en-AU"/>
              </w:rPr>
              <w:t xml:space="preserve">4. </w:t>
            </w:r>
            <w:bookmarkStart w:id="18" w:name="ongoingmonitoring"/>
            <w:r w:rsidRPr="003125E0">
              <w:rPr>
                <w:rFonts w:ascii="Times New Roman" w:eastAsia="Times New Roman" w:hAnsi="Times New Roman" w:cs="Times New Roman"/>
                <w:sz w:val="28"/>
                <w:szCs w:val="28"/>
                <w:lang w:val="en-AU"/>
              </w:rPr>
              <w:t>ONGOING MONITORING</w:t>
            </w:r>
            <w:bookmarkEnd w:id="18"/>
          </w:p>
        </w:tc>
      </w:tr>
    </w:tbl>
    <w:p w:rsidR="00B03E5F" w:rsidRPr="00C20C42" w:rsidRDefault="00046C5B" w:rsidP="00420D8B">
      <w:pPr>
        <w:spacing w:before="240" w:after="120"/>
        <w:rPr>
          <w:sz w:val="28"/>
          <w:szCs w:val="28"/>
        </w:rPr>
      </w:pPr>
      <w:r w:rsidRPr="00C20C42">
        <w:rPr>
          <w:sz w:val="28"/>
          <w:szCs w:val="28"/>
        </w:rPr>
        <w:t>4.1</w:t>
      </w:r>
      <w:r w:rsidRPr="00C20C42">
        <w:rPr>
          <w:sz w:val="28"/>
          <w:szCs w:val="28"/>
        </w:rPr>
        <w:tab/>
      </w:r>
      <w:bookmarkStart w:id="19" w:name="monitoring"/>
      <w:r w:rsidRPr="00C20C42">
        <w:rPr>
          <w:sz w:val="28"/>
          <w:szCs w:val="28"/>
        </w:rPr>
        <w:t>Monitoring Mechanisms</w:t>
      </w:r>
      <w:bookmarkEnd w:id="19"/>
    </w:p>
    <w:p w:rsidR="005860EB" w:rsidRPr="00C20C42" w:rsidRDefault="005860EB" w:rsidP="00BE21A3">
      <w:pPr>
        <w:spacing w:before="120" w:after="120"/>
        <w:rPr>
          <w:lang w:val="en-US"/>
        </w:rPr>
      </w:pPr>
      <w:r w:rsidRPr="00C20C42">
        <w:rPr>
          <w:lang w:val="en-US"/>
        </w:rPr>
        <w:t xml:space="preserve">The Department will </w:t>
      </w:r>
      <w:r w:rsidR="00F83D88" w:rsidRPr="00C20C42">
        <w:rPr>
          <w:lang w:val="en-US"/>
        </w:rPr>
        <w:t>monitor the</w:t>
      </w:r>
      <w:r w:rsidR="00E73877" w:rsidRPr="00C20C42">
        <w:rPr>
          <w:lang w:val="en-US"/>
        </w:rPr>
        <w:t xml:space="preserve"> modularised training program as part of its </w:t>
      </w:r>
      <w:r w:rsidRPr="00C20C42">
        <w:rPr>
          <w:lang w:val="en-US"/>
        </w:rPr>
        <w:t xml:space="preserve">ongoing </w:t>
      </w:r>
      <w:r w:rsidR="00F83D88" w:rsidRPr="00C20C42">
        <w:rPr>
          <w:lang w:val="en-US"/>
        </w:rPr>
        <w:t xml:space="preserve">oversight of </w:t>
      </w:r>
      <w:r w:rsidRPr="00C20C42">
        <w:rPr>
          <w:lang w:val="en-US"/>
        </w:rPr>
        <w:t>the Nationa</w:t>
      </w:r>
      <w:r w:rsidR="0024302E" w:rsidRPr="00C20C42">
        <w:rPr>
          <w:lang w:val="en-US"/>
        </w:rPr>
        <w:t>l Classification Scheme and</w:t>
      </w:r>
      <w:r w:rsidRPr="00C20C42">
        <w:rPr>
          <w:lang w:val="en-US"/>
        </w:rPr>
        <w:t xml:space="preserve"> as part of its financial and accountability framework.  </w:t>
      </w:r>
      <w:r w:rsidR="00E40FDB" w:rsidRPr="00C20C42">
        <w:rPr>
          <w:lang w:val="en-US"/>
        </w:rPr>
        <w:t>M</w:t>
      </w:r>
      <w:r w:rsidRPr="00C20C42">
        <w:rPr>
          <w:lang w:val="en-US"/>
        </w:rPr>
        <w:t xml:space="preserve">onitoring </w:t>
      </w:r>
      <w:r w:rsidR="00E40FDB" w:rsidRPr="00C20C42">
        <w:rPr>
          <w:lang w:val="en-US"/>
        </w:rPr>
        <w:t xml:space="preserve">activities </w:t>
      </w:r>
      <w:r w:rsidRPr="00C20C42">
        <w:rPr>
          <w:lang w:val="en-US"/>
        </w:rPr>
        <w:t xml:space="preserve">will </w:t>
      </w:r>
      <w:r w:rsidR="00E40FDB" w:rsidRPr="00C20C42">
        <w:rPr>
          <w:lang w:val="en-US"/>
        </w:rPr>
        <w:t xml:space="preserve">include the </w:t>
      </w:r>
      <w:r w:rsidRPr="00C20C42">
        <w:rPr>
          <w:lang w:val="en-US"/>
        </w:rPr>
        <w:t>following</w:t>
      </w:r>
      <w:r w:rsidR="00E40FDB" w:rsidRPr="00C20C42">
        <w:rPr>
          <w:lang w:val="en-US"/>
        </w:rPr>
        <w:t>:</w:t>
      </w:r>
    </w:p>
    <w:p w:rsidR="005860EB" w:rsidRPr="00C20C42" w:rsidRDefault="00E73877" w:rsidP="005860EB">
      <w:pPr>
        <w:numPr>
          <w:ilvl w:val="0"/>
          <w:numId w:val="6"/>
        </w:numPr>
        <w:spacing w:before="120" w:after="120" w:line="260" w:lineRule="atLeast"/>
      </w:pPr>
      <w:r w:rsidRPr="00C20C42">
        <w:t>Regular monitoring of the costs and income from the training activities</w:t>
      </w:r>
      <w:r w:rsidR="005860EB" w:rsidRPr="00C20C42">
        <w:t xml:space="preserve"> </w:t>
      </w:r>
    </w:p>
    <w:p w:rsidR="005860EB" w:rsidRPr="00C20C42" w:rsidRDefault="00503728" w:rsidP="005860EB">
      <w:pPr>
        <w:numPr>
          <w:ilvl w:val="0"/>
          <w:numId w:val="5"/>
        </w:numPr>
        <w:spacing w:before="120" w:after="120" w:line="260" w:lineRule="atLeast"/>
      </w:pPr>
      <w:r w:rsidRPr="00C20C42">
        <w:t xml:space="preserve">assessing </w:t>
      </w:r>
      <w:r w:rsidR="005860EB" w:rsidRPr="00C20C42">
        <w:t>the effectiveness of the fee in recovering the costs of the activities, and</w:t>
      </w:r>
    </w:p>
    <w:p w:rsidR="00046C5B" w:rsidRPr="00C20C42" w:rsidRDefault="005860EB" w:rsidP="00E3370F">
      <w:pPr>
        <w:numPr>
          <w:ilvl w:val="0"/>
          <w:numId w:val="5"/>
        </w:numPr>
        <w:spacing w:before="120" w:after="120" w:line="260" w:lineRule="atLeast"/>
      </w:pPr>
      <w:r w:rsidRPr="00C20C42">
        <w:t>industry and community feedback.</w:t>
      </w:r>
    </w:p>
    <w:p w:rsidR="00A8072A" w:rsidRPr="00C20C42" w:rsidRDefault="00BF3E0B" w:rsidP="00FA57D1">
      <w:pPr>
        <w:spacing w:before="120" w:after="120" w:line="260" w:lineRule="atLeast"/>
      </w:pPr>
      <w:r w:rsidRPr="00C20C42">
        <w:t>The fee</w:t>
      </w:r>
      <w:r w:rsidR="00E73877" w:rsidRPr="00C20C42">
        <w:t>s</w:t>
      </w:r>
      <w:r w:rsidRPr="00C20C42">
        <w:t xml:space="preserve"> will be reviewed as part of the classification fee review which will enable </w:t>
      </w:r>
      <w:r w:rsidR="0073443C" w:rsidRPr="00C20C42">
        <w:t xml:space="preserve">additional </w:t>
      </w:r>
      <w:r w:rsidRPr="00C20C42">
        <w:t xml:space="preserve">consultation </w:t>
      </w:r>
      <w:r w:rsidR="0073443C" w:rsidRPr="00C20C42">
        <w:t>and feedback from industry.</w:t>
      </w:r>
      <w:r w:rsidRPr="00C20C42">
        <w:t xml:space="preserve"> </w:t>
      </w:r>
    </w:p>
    <w:p w:rsidR="00F53613" w:rsidRPr="00C20C42" w:rsidRDefault="00F53613" w:rsidP="00FA57D1">
      <w:pPr>
        <w:spacing w:before="120" w:after="120" w:line="260" w:lineRule="atLeast"/>
      </w:pPr>
    </w:p>
    <w:p w:rsidR="00046C5B" w:rsidRPr="00C20C42" w:rsidRDefault="00046C5B" w:rsidP="00A8072A">
      <w:pPr>
        <w:spacing w:before="120" w:after="120" w:line="260" w:lineRule="atLeast"/>
        <w:rPr>
          <w:sz w:val="28"/>
          <w:szCs w:val="28"/>
        </w:rPr>
      </w:pPr>
      <w:r w:rsidRPr="00C20C42">
        <w:rPr>
          <w:sz w:val="28"/>
          <w:szCs w:val="28"/>
        </w:rPr>
        <w:t>4.2</w:t>
      </w:r>
      <w:r w:rsidRPr="00C20C42">
        <w:rPr>
          <w:sz w:val="28"/>
          <w:szCs w:val="28"/>
        </w:rPr>
        <w:tab/>
      </w:r>
      <w:bookmarkStart w:id="20" w:name="stakeholder"/>
      <w:r w:rsidRPr="00C20C42">
        <w:rPr>
          <w:sz w:val="28"/>
          <w:szCs w:val="28"/>
        </w:rPr>
        <w:t>Stakeholder Consultation</w:t>
      </w:r>
      <w:bookmarkEnd w:id="20"/>
    </w:p>
    <w:p w:rsidR="00E60C84" w:rsidRPr="00C20C42" w:rsidRDefault="00E60C84" w:rsidP="001064F2">
      <w:pPr>
        <w:pStyle w:val="BodyText"/>
        <w:spacing w:before="120" w:after="120"/>
        <w:rPr>
          <w:color w:val="auto"/>
        </w:rPr>
      </w:pPr>
      <w:r w:rsidRPr="00C20C42">
        <w:rPr>
          <w:color w:val="auto"/>
        </w:rPr>
        <w:t>Government</w:t>
      </w:r>
    </w:p>
    <w:p w:rsidR="007138A9" w:rsidRDefault="00224DB5" w:rsidP="001064F2">
      <w:pPr>
        <w:pStyle w:val="BodyText"/>
        <w:spacing w:before="120" w:after="120"/>
        <w:rPr>
          <w:i w:val="0"/>
          <w:color w:val="auto"/>
        </w:rPr>
      </w:pPr>
      <w:r w:rsidRPr="00C20C42">
        <w:rPr>
          <w:i w:val="0"/>
          <w:color w:val="auto"/>
        </w:rPr>
        <w:t xml:space="preserve">The </w:t>
      </w:r>
      <w:r w:rsidR="00D0270F" w:rsidRPr="00C20C42">
        <w:rPr>
          <w:i w:val="0"/>
          <w:color w:val="auto"/>
        </w:rPr>
        <w:t>use of a</w:t>
      </w:r>
      <w:r w:rsidR="006520EF" w:rsidRPr="00C20C42">
        <w:rPr>
          <w:i w:val="0"/>
          <w:color w:val="auto"/>
        </w:rPr>
        <w:t xml:space="preserve">n interim CRIS </w:t>
      </w:r>
      <w:r w:rsidR="00D0270F" w:rsidRPr="00C20C42">
        <w:rPr>
          <w:i w:val="0"/>
          <w:color w:val="auto"/>
        </w:rPr>
        <w:t>pending the completion of the fee review was discussed and agreed with the Departme</w:t>
      </w:r>
      <w:r w:rsidR="004A4526" w:rsidRPr="00C20C42">
        <w:rPr>
          <w:i w:val="0"/>
          <w:color w:val="auto"/>
        </w:rPr>
        <w:t>nt of Finance and De-Regulation.</w:t>
      </w:r>
    </w:p>
    <w:p w:rsidR="00E60C84" w:rsidRPr="00C20C42" w:rsidRDefault="00E60C84" w:rsidP="001064F2">
      <w:pPr>
        <w:pStyle w:val="BodyText"/>
        <w:spacing w:before="120" w:after="120"/>
        <w:rPr>
          <w:color w:val="auto"/>
        </w:rPr>
      </w:pPr>
      <w:r w:rsidRPr="00C20C42">
        <w:rPr>
          <w:color w:val="auto"/>
        </w:rPr>
        <w:t>Classification Board</w:t>
      </w:r>
    </w:p>
    <w:p w:rsidR="00E60C84" w:rsidRDefault="00E60C84" w:rsidP="00E60C84">
      <w:pPr>
        <w:pStyle w:val="BodyText"/>
        <w:spacing w:after="120"/>
        <w:rPr>
          <w:i w:val="0"/>
          <w:color w:val="auto"/>
        </w:rPr>
      </w:pPr>
      <w:r w:rsidRPr="00C20C42">
        <w:rPr>
          <w:i w:val="0"/>
          <w:color w:val="auto"/>
        </w:rPr>
        <w:t xml:space="preserve">The Classification Board has been consulted and </w:t>
      </w:r>
      <w:r w:rsidR="004F1710">
        <w:rPr>
          <w:i w:val="0"/>
          <w:color w:val="auto"/>
        </w:rPr>
        <w:t xml:space="preserve">has </w:t>
      </w:r>
      <w:r w:rsidRPr="00C20C42">
        <w:rPr>
          <w:i w:val="0"/>
          <w:color w:val="auto"/>
        </w:rPr>
        <w:t xml:space="preserve">agreed </w:t>
      </w:r>
      <w:r w:rsidR="004F1710">
        <w:rPr>
          <w:i w:val="0"/>
          <w:color w:val="auto"/>
        </w:rPr>
        <w:t xml:space="preserve">to </w:t>
      </w:r>
      <w:r w:rsidRPr="00C20C42">
        <w:rPr>
          <w:i w:val="0"/>
          <w:color w:val="auto"/>
        </w:rPr>
        <w:t xml:space="preserve">the </w:t>
      </w:r>
      <w:r w:rsidR="00C93BA9" w:rsidRPr="00C20C42">
        <w:rPr>
          <w:i w:val="0"/>
          <w:color w:val="auto"/>
        </w:rPr>
        <w:t xml:space="preserve">content for the training programs </w:t>
      </w:r>
      <w:r w:rsidR="004F1710">
        <w:rPr>
          <w:i w:val="0"/>
          <w:color w:val="auto"/>
        </w:rPr>
        <w:t>on which the costing for the fees w</w:t>
      </w:r>
      <w:r w:rsidR="00BD7BFF">
        <w:rPr>
          <w:i w:val="0"/>
          <w:color w:val="auto"/>
        </w:rPr>
        <w:t>as</w:t>
      </w:r>
      <w:r w:rsidR="004F1710">
        <w:rPr>
          <w:i w:val="0"/>
          <w:color w:val="auto"/>
        </w:rPr>
        <w:t xml:space="preserve"> based.</w:t>
      </w:r>
      <w:r w:rsidR="00570F8B" w:rsidRPr="00C201BB">
        <w:rPr>
          <w:i w:val="0"/>
          <w:color w:val="auto"/>
        </w:rPr>
        <w:t xml:space="preserve">  </w:t>
      </w:r>
    </w:p>
    <w:p w:rsidR="00E60C84" w:rsidRPr="00C201BB" w:rsidRDefault="00E60C84" w:rsidP="001064F2">
      <w:pPr>
        <w:pStyle w:val="BodyText"/>
        <w:spacing w:before="120" w:after="120"/>
        <w:rPr>
          <w:color w:val="auto"/>
        </w:rPr>
      </w:pPr>
      <w:r w:rsidRPr="00C201BB">
        <w:rPr>
          <w:color w:val="auto"/>
        </w:rPr>
        <w:t>Industry</w:t>
      </w:r>
    </w:p>
    <w:p w:rsidR="00D0270F" w:rsidRDefault="00D0270F" w:rsidP="00D0270F">
      <w:pPr>
        <w:pStyle w:val="Paragraph"/>
      </w:pPr>
      <w:r>
        <w:t xml:space="preserve">The </w:t>
      </w:r>
      <w:r w:rsidR="0073443C">
        <w:t xml:space="preserve">modularised training </w:t>
      </w:r>
      <w:r>
        <w:t xml:space="preserve">scheme was developed in response to industry’s concerns that </w:t>
      </w:r>
      <w:r w:rsidR="0073443C">
        <w:t>trainees in more than</w:t>
      </w:r>
      <w:r w:rsidR="004F1710">
        <w:t xml:space="preserve"> one</w:t>
      </w:r>
      <w:r w:rsidR="0073443C">
        <w:t xml:space="preserve"> authorised assessor schemes had to undertake </w:t>
      </w:r>
      <w:r>
        <w:t xml:space="preserve">the </w:t>
      </w:r>
      <w:r w:rsidR="0073443C">
        <w:t xml:space="preserve">same core training in classification irrespective of previous training attended. The introduction of the Advertising of Unclassified Films and Computer Games Scheme </w:t>
      </w:r>
      <w:r w:rsidR="00931B40">
        <w:t xml:space="preserve">on 1 July 2009 </w:t>
      </w:r>
      <w:r w:rsidR="0073443C">
        <w:t xml:space="preserve">provided the catalyst for </w:t>
      </w:r>
      <w:r w:rsidR="00931B40">
        <w:t xml:space="preserve">a modularised fee structure </w:t>
      </w:r>
      <w:r w:rsidR="0073443C">
        <w:t>and the need to introduce the fees in advance of the Classification Fee Review.</w:t>
      </w:r>
    </w:p>
    <w:p w:rsidR="00D27150" w:rsidRDefault="00D27150" w:rsidP="00D0270F">
      <w:pPr>
        <w:pStyle w:val="Paragraph"/>
      </w:pPr>
      <w:r>
        <w:t>In May 2009, the Department wrote to peak industry bodies and to all classification clients that submitted film and computer game</w:t>
      </w:r>
      <w:r w:rsidR="00F36875">
        <w:t>s</w:t>
      </w:r>
      <w:r>
        <w:t xml:space="preserve"> applications in the past 2 years, inviting their comments on the interim fees for the modularised training courses.</w:t>
      </w:r>
    </w:p>
    <w:p w:rsidR="00D27150" w:rsidRDefault="00D27150" w:rsidP="00D0270F">
      <w:pPr>
        <w:pStyle w:val="Paragraph"/>
      </w:pPr>
      <w:r>
        <w:lastRenderedPageBreak/>
        <w:t>This approach recognised that the final fees may change as a result of the classification fee review and feedback from industry on the take-up of the new modularised training.</w:t>
      </w:r>
    </w:p>
    <w:p w:rsidR="00D27150" w:rsidRDefault="00D27150" w:rsidP="00D0270F">
      <w:pPr>
        <w:pStyle w:val="Paragraph"/>
      </w:pPr>
      <w:r>
        <w:t>No concerns regarding the proposed fees were raised in industry responses to the consultation.</w:t>
      </w:r>
    </w:p>
    <w:p w:rsidR="00376117" w:rsidRPr="00C20C42" w:rsidRDefault="00376117" w:rsidP="006B3E59">
      <w:pPr>
        <w:pStyle w:val="BodyText"/>
        <w:numPr>
          <w:ilvl w:val="1"/>
          <w:numId w:val="3"/>
        </w:numPr>
        <w:spacing w:before="240" w:after="120"/>
        <w:jc w:val="both"/>
        <w:rPr>
          <w:i w:val="0"/>
          <w:iCs w:val="0"/>
          <w:color w:val="000000"/>
          <w:sz w:val="28"/>
          <w:szCs w:val="28"/>
        </w:rPr>
      </w:pPr>
      <w:bookmarkStart w:id="21" w:name="review"/>
      <w:r w:rsidRPr="00C20C42">
        <w:rPr>
          <w:i w:val="0"/>
          <w:iCs w:val="0"/>
          <w:color w:val="000000"/>
          <w:sz w:val="28"/>
          <w:szCs w:val="28"/>
        </w:rPr>
        <w:t>Periodic Review</w:t>
      </w:r>
    </w:p>
    <w:bookmarkEnd w:id="21"/>
    <w:p w:rsidR="005A367A" w:rsidRPr="00C20C42" w:rsidRDefault="00CB4F56" w:rsidP="00CB4F56">
      <w:pPr>
        <w:spacing w:before="120" w:after="120"/>
        <w:rPr>
          <w:color w:val="000000"/>
        </w:rPr>
      </w:pPr>
      <w:r w:rsidRPr="00C20C42">
        <w:rPr>
          <w:color w:val="000000"/>
        </w:rPr>
        <w:t xml:space="preserve">Consistent with </w:t>
      </w:r>
      <w:r w:rsidR="00801412" w:rsidRPr="00C20C42">
        <w:rPr>
          <w:color w:val="000000"/>
        </w:rPr>
        <w:t xml:space="preserve">Government Cost Recovery Guidelines, </w:t>
      </w:r>
      <w:r w:rsidRPr="00C20C42">
        <w:rPr>
          <w:color w:val="000000"/>
        </w:rPr>
        <w:t xml:space="preserve">the Department </w:t>
      </w:r>
      <w:r w:rsidR="00801412" w:rsidRPr="00C20C42">
        <w:rPr>
          <w:color w:val="000000"/>
        </w:rPr>
        <w:t xml:space="preserve">is currently </w:t>
      </w:r>
      <w:r w:rsidRPr="00C20C42">
        <w:rPr>
          <w:color w:val="000000"/>
        </w:rPr>
        <w:t>review</w:t>
      </w:r>
      <w:r w:rsidR="00801412" w:rsidRPr="00C20C42">
        <w:rPr>
          <w:color w:val="000000"/>
        </w:rPr>
        <w:t xml:space="preserve">ing all </w:t>
      </w:r>
      <w:r w:rsidRPr="00C20C42">
        <w:rPr>
          <w:color w:val="000000"/>
        </w:rPr>
        <w:t>costs and prices of the existing classification fee structure</w:t>
      </w:r>
      <w:r w:rsidR="00801412" w:rsidRPr="00C20C42">
        <w:rPr>
          <w:color w:val="000000"/>
        </w:rPr>
        <w:t xml:space="preserve">. </w:t>
      </w:r>
      <w:r w:rsidR="007343B3" w:rsidRPr="00C20C42">
        <w:rPr>
          <w:color w:val="000000"/>
        </w:rPr>
        <w:t xml:space="preserve">This review is due to be completed in </w:t>
      </w:r>
      <w:r w:rsidR="00F53613" w:rsidRPr="00C20C42">
        <w:rPr>
          <w:color w:val="000000"/>
        </w:rPr>
        <w:t xml:space="preserve">late </w:t>
      </w:r>
      <w:r w:rsidR="007343B3" w:rsidRPr="00C20C42">
        <w:rPr>
          <w:color w:val="000000"/>
        </w:rPr>
        <w:t>2009</w:t>
      </w:r>
      <w:r w:rsidR="005A367A" w:rsidRPr="00C20C42">
        <w:rPr>
          <w:color w:val="000000"/>
        </w:rPr>
        <w:t xml:space="preserve"> with a two yearly review of the fees</w:t>
      </w:r>
      <w:r w:rsidR="007343B3" w:rsidRPr="00C20C42">
        <w:rPr>
          <w:color w:val="000000"/>
        </w:rPr>
        <w:t xml:space="preserve">. </w:t>
      </w:r>
      <w:r w:rsidR="005A367A" w:rsidRPr="00C20C42">
        <w:rPr>
          <w:color w:val="000000"/>
        </w:rPr>
        <w:t>The classification training charges are reviewed on a separate cycle and are reviewed annually.</w:t>
      </w:r>
    </w:p>
    <w:p w:rsidR="00CB4F56" w:rsidRPr="00C20C42" w:rsidRDefault="00CB4F56" w:rsidP="00CB4F56">
      <w:pPr>
        <w:spacing w:before="120" w:after="120"/>
        <w:rPr>
          <w:color w:val="000000"/>
        </w:rPr>
      </w:pPr>
      <w:r w:rsidRPr="00C20C42">
        <w:rPr>
          <w:color w:val="000000"/>
        </w:rPr>
        <w:t>Th</w:t>
      </w:r>
      <w:r w:rsidR="005A367A" w:rsidRPr="00C20C42">
        <w:rPr>
          <w:color w:val="000000"/>
        </w:rPr>
        <w:t>e annual review of classification training w</w:t>
      </w:r>
      <w:r w:rsidRPr="00C20C42">
        <w:rPr>
          <w:color w:val="000000"/>
        </w:rPr>
        <w:t xml:space="preserve">ill consider: </w:t>
      </w:r>
    </w:p>
    <w:p w:rsidR="00CB4F56" w:rsidRPr="00C20C42" w:rsidRDefault="00CB4F56" w:rsidP="002178CA">
      <w:pPr>
        <w:numPr>
          <w:ilvl w:val="1"/>
          <w:numId w:val="8"/>
        </w:numPr>
        <w:tabs>
          <w:tab w:val="clear" w:pos="360"/>
          <w:tab w:val="num" w:pos="720"/>
        </w:tabs>
        <w:autoSpaceDE w:val="0"/>
        <w:autoSpaceDN w:val="0"/>
        <w:adjustRightInd w:val="0"/>
        <w:spacing w:before="120" w:after="120"/>
        <w:ind w:left="720" w:hanging="390"/>
        <w:rPr>
          <w:color w:val="000000"/>
        </w:rPr>
      </w:pPr>
      <w:r w:rsidRPr="00C20C42">
        <w:rPr>
          <w:color w:val="000000"/>
        </w:rPr>
        <w:t>significant developments in classification and policy</w:t>
      </w:r>
      <w:r w:rsidR="009826F5" w:rsidRPr="00C20C42">
        <w:rPr>
          <w:color w:val="000000"/>
        </w:rPr>
        <w:t xml:space="preserve"> </w:t>
      </w:r>
      <w:r w:rsidRPr="00C20C42">
        <w:rPr>
          <w:color w:val="000000"/>
        </w:rPr>
        <w:t xml:space="preserve">changes in other government policies which may impact costs </w:t>
      </w:r>
      <w:r w:rsidR="00556C30" w:rsidRPr="00C20C42">
        <w:rPr>
          <w:color w:val="000000"/>
        </w:rPr>
        <w:t xml:space="preserve">or </w:t>
      </w:r>
      <w:r w:rsidRPr="00C20C42">
        <w:rPr>
          <w:color w:val="000000"/>
        </w:rPr>
        <w:t>prices</w:t>
      </w:r>
      <w:r w:rsidR="005A367A" w:rsidRPr="00C20C42">
        <w:rPr>
          <w:color w:val="000000"/>
        </w:rPr>
        <w:t>.</w:t>
      </w:r>
    </w:p>
    <w:p w:rsidR="00CB4F56" w:rsidRPr="00C20C42" w:rsidRDefault="005A367A" w:rsidP="002178CA">
      <w:pPr>
        <w:numPr>
          <w:ilvl w:val="1"/>
          <w:numId w:val="8"/>
        </w:numPr>
        <w:autoSpaceDE w:val="0"/>
        <w:autoSpaceDN w:val="0"/>
        <w:adjustRightInd w:val="0"/>
        <w:spacing w:before="120" w:after="120"/>
        <w:ind w:right="-148" w:hanging="30"/>
        <w:rPr>
          <w:color w:val="000000"/>
        </w:rPr>
      </w:pPr>
      <w:r w:rsidRPr="00C20C42">
        <w:rPr>
          <w:color w:val="000000"/>
        </w:rPr>
        <w:t>changes in baseline costs and demand for training</w:t>
      </w:r>
      <w:r w:rsidR="00CB4F56" w:rsidRPr="00C20C42">
        <w:rPr>
          <w:color w:val="000000"/>
        </w:rPr>
        <w:t xml:space="preserve">, and </w:t>
      </w:r>
    </w:p>
    <w:p w:rsidR="00CB4F56" w:rsidRPr="00C20C42" w:rsidRDefault="00CB4F56" w:rsidP="002178CA">
      <w:pPr>
        <w:numPr>
          <w:ilvl w:val="1"/>
          <w:numId w:val="8"/>
        </w:numPr>
        <w:autoSpaceDE w:val="0"/>
        <w:autoSpaceDN w:val="0"/>
        <w:adjustRightInd w:val="0"/>
        <w:spacing w:before="120" w:after="120"/>
        <w:ind w:hanging="30"/>
        <w:rPr>
          <w:color w:val="000000"/>
        </w:rPr>
      </w:pPr>
      <w:r w:rsidRPr="00C20C42">
        <w:rPr>
          <w:color w:val="000000"/>
        </w:rPr>
        <w:t xml:space="preserve">significant changes in accounting standards and costs structures. </w:t>
      </w:r>
    </w:p>
    <w:p w:rsidR="00376117" w:rsidRDefault="00376117" w:rsidP="00376117">
      <w:pPr>
        <w:pStyle w:val="BodyText"/>
        <w:jc w:val="both"/>
      </w:pPr>
    </w:p>
    <w:p w:rsidR="00F53613" w:rsidRDefault="00F53613" w:rsidP="00376117">
      <w:pPr>
        <w:pStyle w:val="BodyText"/>
        <w:jc w:val="both"/>
      </w:pPr>
    </w:p>
    <w:p w:rsidR="00D0270F" w:rsidRPr="00C201BB" w:rsidRDefault="00D0270F" w:rsidP="00376117">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38CF" w:rsidRPr="003125E0" w:rsidTr="003125E0">
        <w:tc>
          <w:tcPr>
            <w:tcW w:w="8522" w:type="dxa"/>
          </w:tcPr>
          <w:p w:rsidR="009F38CF" w:rsidRPr="003125E0" w:rsidRDefault="00946CBA" w:rsidP="003125E0">
            <w:pPr>
              <w:pStyle w:val="BodyText"/>
              <w:jc w:val="both"/>
              <w:rPr>
                <w:i w:val="0"/>
                <w:iCs w:val="0"/>
                <w:color w:val="000000"/>
                <w:sz w:val="28"/>
                <w:szCs w:val="28"/>
              </w:rPr>
            </w:pPr>
            <w:r w:rsidRPr="00C201BB">
              <w:br w:type="page"/>
            </w:r>
            <w:r w:rsidR="009F38CF" w:rsidRPr="003125E0">
              <w:rPr>
                <w:i w:val="0"/>
                <w:iCs w:val="0"/>
                <w:color w:val="000000"/>
                <w:sz w:val="28"/>
                <w:szCs w:val="28"/>
              </w:rPr>
              <w:t xml:space="preserve">5. </w:t>
            </w:r>
            <w:bookmarkStart w:id="22" w:name="certification"/>
            <w:r w:rsidR="009F38CF" w:rsidRPr="003125E0">
              <w:rPr>
                <w:i w:val="0"/>
                <w:iCs w:val="0"/>
                <w:color w:val="000000"/>
                <w:sz w:val="28"/>
                <w:szCs w:val="28"/>
              </w:rPr>
              <w:t>CERTIFICATION</w:t>
            </w:r>
            <w:bookmarkEnd w:id="22"/>
          </w:p>
        </w:tc>
      </w:tr>
    </w:tbl>
    <w:p w:rsidR="00C74F19" w:rsidRPr="00C201BB" w:rsidRDefault="00C74F19" w:rsidP="00C74F19">
      <w:pPr>
        <w:pStyle w:val="BodyText"/>
        <w:spacing w:before="240" w:after="120"/>
        <w:rPr>
          <w:i w:val="0"/>
          <w:color w:val="auto"/>
        </w:rPr>
      </w:pPr>
      <w:r w:rsidRPr="00C20C42">
        <w:rPr>
          <w:i w:val="0"/>
          <w:color w:val="auto"/>
        </w:rPr>
        <w:t xml:space="preserve">This Cost Recovery Impact Statement was certified by the Secretary of the </w:t>
      </w:r>
      <w:r w:rsidRPr="00C20C42">
        <w:rPr>
          <w:i w:val="0"/>
          <w:color w:val="auto"/>
        </w:rPr>
        <w:br/>
        <w:t xml:space="preserve">Attorney-General’s Department on  </w:t>
      </w:r>
      <w:r w:rsidR="002F01A8" w:rsidRPr="00C20C42">
        <w:rPr>
          <w:i w:val="0"/>
          <w:color w:val="auto"/>
        </w:rPr>
        <w:tab/>
      </w:r>
      <w:r w:rsidR="002F01A8" w:rsidRPr="00C20C42">
        <w:rPr>
          <w:i w:val="0"/>
          <w:color w:val="auto"/>
        </w:rPr>
        <w:tab/>
      </w:r>
      <w:r w:rsidR="00EE1667">
        <w:rPr>
          <w:i w:val="0"/>
          <w:color w:val="auto"/>
        </w:rPr>
        <w:t>June</w:t>
      </w:r>
      <w:r w:rsidR="00524E8A" w:rsidRPr="00C20C42">
        <w:rPr>
          <w:i w:val="0"/>
          <w:color w:val="auto"/>
        </w:rPr>
        <w:t xml:space="preserve"> 2009</w:t>
      </w:r>
      <w:r w:rsidRPr="00C20C42">
        <w:rPr>
          <w:i w:val="0"/>
          <w:color w:val="auto"/>
        </w:rPr>
        <w:t>.</w:t>
      </w:r>
    </w:p>
    <w:p w:rsidR="002F01A8" w:rsidRDefault="002F01A8" w:rsidP="00C74F19">
      <w:pPr>
        <w:pStyle w:val="BodyText"/>
        <w:spacing w:before="240" w:after="120"/>
        <w:rPr>
          <w:i w:val="0"/>
          <w:color w:val="auto"/>
        </w:rPr>
      </w:pPr>
    </w:p>
    <w:p w:rsidR="002F01A8" w:rsidRDefault="002F01A8" w:rsidP="00C74F19">
      <w:pPr>
        <w:pStyle w:val="BodyText"/>
        <w:spacing w:before="240" w:after="120"/>
        <w:rPr>
          <w:i w:val="0"/>
          <w:color w:val="auto"/>
        </w:rPr>
      </w:pPr>
    </w:p>
    <w:p w:rsidR="002F01A8" w:rsidRDefault="002F01A8" w:rsidP="00C74F19">
      <w:pPr>
        <w:pStyle w:val="BodyText"/>
        <w:spacing w:before="240" w:after="120"/>
        <w:rPr>
          <w:i w:val="0"/>
          <w:color w:val="auto"/>
        </w:rPr>
      </w:pPr>
    </w:p>
    <w:p w:rsidR="002F01A8" w:rsidRDefault="002F01A8" w:rsidP="00C74F19">
      <w:pPr>
        <w:pStyle w:val="BodyText"/>
        <w:spacing w:before="240" w:after="120"/>
        <w:rPr>
          <w:i w:val="0"/>
          <w:color w:val="auto"/>
        </w:rPr>
      </w:pPr>
    </w:p>
    <w:p w:rsidR="00C74F19" w:rsidRPr="00C20C42" w:rsidRDefault="00C74F19" w:rsidP="00C74F19">
      <w:pPr>
        <w:pStyle w:val="BodyText"/>
        <w:spacing w:before="240" w:after="120"/>
        <w:rPr>
          <w:i w:val="0"/>
          <w:color w:val="auto"/>
        </w:rPr>
      </w:pPr>
      <w:r w:rsidRPr="00C20C42">
        <w:rPr>
          <w:i w:val="0"/>
          <w:color w:val="auto"/>
        </w:rPr>
        <w:t>Roger Wilkins</w:t>
      </w:r>
    </w:p>
    <w:p w:rsidR="00086B14" w:rsidRPr="00C201BB" w:rsidRDefault="00C74F19" w:rsidP="00C74F19">
      <w:pPr>
        <w:pStyle w:val="BodyText"/>
        <w:spacing w:before="240" w:after="120"/>
        <w:rPr>
          <w:i w:val="0"/>
          <w:color w:val="auto"/>
        </w:rPr>
      </w:pPr>
      <w:r w:rsidRPr="00C20C42">
        <w:rPr>
          <w:i w:val="0"/>
          <w:color w:val="auto"/>
        </w:rPr>
        <w:t>Secretary</w:t>
      </w:r>
    </w:p>
    <w:p w:rsidR="00C74F19" w:rsidRPr="00C201BB" w:rsidRDefault="00C74F19">
      <w:pPr>
        <w:pStyle w:val="BodyText"/>
        <w:jc w:val="both"/>
        <w:rPr>
          <w:i w:val="0"/>
          <w:iCs w:val="0"/>
          <w:color w:val="000000"/>
        </w:rPr>
        <w:sectPr w:rsidR="00C74F19" w:rsidRPr="00C201BB" w:rsidSect="00F42A71">
          <w:headerReference w:type="default" r:id="rId11"/>
          <w:footerReference w:type="even" r:id="rId12"/>
          <w:footerReference w:type="default" r:id="rId13"/>
          <w:headerReference w:type="first" r:id="rId14"/>
          <w:footerReference w:type="first" r:id="rId15"/>
          <w:pgSz w:w="11906" w:h="16838"/>
          <w:pgMar w:top="1259" w:right="1474" w:bottom="1440" w:left="1474" w:header="709" w:footer="709" w:gutter="0"/>
          <w:cols w:space="708"/>
          <w:titlePg/>
          <w:docGrid w:linePitch="360"/>
        </w:sectPr>
      </w:pPr>
    </w:p>
    <w:p w:rsidR="00BE4113" w:rsidRPr="00C201BB" w:rsidRDefault="00BE4113">
      <w:pPr>
        <w:pStyle w:val="BodyText"/>
        <w:jc w:val="both"/>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F38CF" w:rsidRPr="003125E0" w:rsidTr="003125E0">
        <w:tc>
          <w:tcPr>
            <w:tcW w:w="8522" w:type="dxa"/>
          </w:tcPr>
          <w:p w:rsidR="009F38CF" w:rsidRPr="003125E0" w:rsidRDefault="009F38CF" w:rsidP="003125E0">
            <w:pPr>
              <w:pStyle w:val="BodyText"/>
              <w:jc w:val="both"/>
              <w:rPr>
                <w:i w:val="0"/>
                <w:iCs w:val="0"/>
                <w:color w:val="000000"/>
                <w:sz w:val="28"/>
                <w:szCs w:val="28"/>
              </w:rPr>
            </w:pPr>
            <w:bookmarkStart w:id="23" w:name="CRlinks"/>
            <w:r w:rsidRPr="003125E0">
              <w:rPr>
                <w:i w:val="0"/>
                <w:iCs w:val="0"/>
                <w:color w:val="000000"/>
                <w:sz w:val="28"/>
                <w:szCs w:val="28"/>
              </w:rPr>
              <w:t>6. COST RECOVERY LINKS</w:t>
            </w:r>
            <w:bookmarkEnd w:id="23"/>
          </w:p>
        </w:tc>
      </w:tr>
    </w:tbl>
    <w:p w:rsidR="00EC2B00" w:rsidRPr="00C20C42" w:rsidRDefault="00EC2B00">
      <w:pPr>
        <w:pStyle w:val="BodyText"/>
        <w:jc w:val="both"/>
        <w:rPr>
          <w:i w:val="0"/>
          <w:iCs w:val="0"/>
          <w:color w:val="000000"/>
          <w:sz w:val="28"/>
          <w:szCs w:val="28"/>
        </w:rPr>
      </w:pPr>
    </w:p>
    <w:p w:rsidR="00EC2B00" w:rsidRPr="00C20C42" w:rsidRDefault="00EC2B00" w:rsidP="00F94160">
      <w:pPr>
        <w:pStyle w:val="BodyText"/>
        <w:numPr>
          <w:ilvl w:val="0"/>
          <w:numId w:val="4"/>
        </w:numPr>
        <w:jc w:val="both"/>
        <w:rPr>
          <w:i w:val="0"/>
          <w:iCs w:val="0"/>
          <w:color w:val="000000"/>
        </w:rPr>
      </w:pPr>
      <w:r w:rsidRPr="00C20C42">
        <w:rPr>
          <w:i w:val="0"/>
          <w:iCs w:val="0"/>
          <w:color w:val="000000"/>
        </w:rPr>
        <w:t>The Australian Government Cost Recovery Guidelines and the accompanying Finance circular can be found at</w:t>
      </w:r>
      <w:r w:rsidR="00955FC7" w:rsidRPr="00C20C42">
        <w:rPr>
          <w:i w:val="0"/>
          <w:iCs w:val="0"/>
          <w:color w:val="000000"/>
        </w:rPr>
        <w:t>;</w:t>
      </w:r>
    </w:p>
    <w:p w:rsidR="00EC2B00" w:rsidRPr="00C20C42" w:rsidRDefault="00EC2B00">
      <w:pPr>
        <w:pStyle w:val="BodyText"/>
        <w:jc w:val="both"/>
        <w:rPr>
          <w:i w:val="0"/>
          <w:iCs w:val="0"/>
          <w:color w:val="000000"/>
        </w:rPr>
      </w:pPr>
    </w:p>
    <w:p w:rsidR="009531ED" w:rsidRPr="00C20C42" w:rsidRDefault="009531ED" w:rsidP="009531ED">
      <w:pPr>
        <w:pStyle w:val="BodyText"/>
        <w:ind w:left="720"/>
        <w:jc w:val="both"/>
        <w:rPr>
          <w:i w:val="0"/>
          <w:iCs w:val="0"/>
          <w:color w:val="000000"/>
        </w:rPr>
      </w:pPr>
      <w:r w:rsidRPr="00C20C42">
        <w:rPr>
          <w:i w:val="0"/>
          <w:color w:val="000000"/>
        </w:rPr>
        <w:fldChar w:fldCharType="begin"/>
      </w:r>
      <w:r w:rsidRPr="00C20C42">
        <w:rPr>
          <w:i w:val="0"/>
          <w:color w:val="000000"/>
        </w:rPr>
        <w:instrText xml:space="preserve"> HYPERLINK "http://www.finance.gov.au/financial-framework/financial-management-policy-</w:instrText>
      </w:r>
      <w:r w:rsidRPr="00C20C42">
        <w:rPr>
          <w:i w:val="0"/>
          <w:iCs w:val="0"/>
          <w:color w:val="000000"/>
        </w:rPr>
        <w:instrText>guidance/cost-recovery.html</w:instrText>
      </w:r>
    </w:p>
    <w:p w:rsidR="009531ED" w:rsidRPr="00C20C42" w:rsidRDefault="009531ED" w:rsidP="009531ED">
      <w:pPr>
        <w:pStyle w:val="BodyText"/>
        <w:ind w:left="720"/>
        <w:jc w:val="both"/>
        <w:rPr>
          <w:rStyle w:val="Hyperlink"/>
          <w:i w:val="0"/>
          <w:iCs w:val="0"/>
        </w:rPr>
      </w:pPr>
      <w:r w:rsidRPr="00C20C42">
        <w:rPr>
          <w:i w:val="0"/>
          <w:color w:val="000000"/>
        </w:rPr>
        <w:instrText xml:space="preserve">" </w:instrText>
      </w:r>
      <w:r w:rsidR="008E68DC" w:rsidRPr="00C20C42">
        <w:rPr>
          <w:i w:val="0"/>
          <w:color w:val="000000"/>
        </w:rPr>
      </w:r>
      <w:r w:rsidRPr="00C20C42">
        <w:rPr>
          <w:i w:val="0"/>
          <w:color w:val="000000"/>
        </w:rPr>
        <w:fldChar w:fldCharType="separate"/>
      </w:r>
      <w:r w:rsidRPr="00C20C42">
        <w:rPr>
          <w:rStyle w:val="Hyperlink"/>
          <w:i w:val="0"/>
        </w:rPr>
        <w:t>http://www.finance.gov.au/financial-framework/financial-management-policy-</w:t>
      </w:r>
      <w:r w:rsidRPr="00C20C42">
        <w:rPr>
          <w:rStyle w:val="Hyperlink"/>
          <w:i w:val="0"/>
          <w:iCs w:val="0"/>
        </w:rPr>
        <w:t>guidance/cost-recovery.html</w:t>
      </w:r>
    </w:p>
    <w:p w:rsidR="00D66B87" w:rsidRPr="00C20C42" w:rsidRDefault="009531ED" w:rsidP="00D66B87">
      <w:pPr>
        <w:pStyle w:val="BodyText"/>
        <w:ind w:left="360" w:firstLine="360"/>
        <w:jc w:val="both"/>
        <w:rPr>
          <w:i w:val="0"/>
          <w:iCs w:val="0"/>
          <w:color w:val="000000"/>
          <w:szCs w:val="28"/>
        </w:rPr>
      </w:pPr>
      <w:r w:rsidRPr="00C20C42">
        <w:rPr>
          <w:i w:val="0"/>
          <w:color w:val="000000"/>
        </w:rPr>
        <w:fldChar w:fldCharType="end"/>
      </w:r>
    </w:p>
    <w:p w:rsidR="00955FC7" w:rsidRPr="00C20C42" w:rsidRDefault="004D4B82" w:rsidP="00F94160">
      <w:pPr>
        <w:pStyle w:val="BodyText"/>
        <w:numPr>
          <w:ilvl w:val="0"/>
          <w:numId w:val="4"/>
        </w:numPr>
        <w:jc w:val="both"/>
        <w:rPr>
          <w:i w:val="0"/>
          <w:iCs w:val="0"/>
          <w:color w:val="000000"/>
        </w:rPr>
      </w:pPr>
      <w:r w:rsidRPr="00C20C42">
        <w:rPr>
          <w:i w:val="0"/>
          <w:iCs w:val="0"/>
          <w:color w:val="000000"/>
        </w:rPr>
        <w:t>For proposals that</w:t>
      </w:r>
      <w:r w:rsidR="006471FB" w:rsidRPr="00C20C42">
        <w:rPr>
          <w:i w:val="0"/>
          <w:iCs w:val="0"/>
          <w:color w:val="000000"/>
        </w:rPr>
        <w:t xml:space="preserve"> involve regulation or amendment to regulation that affects business, a Regulation Impact Statement is required. Contact the Office of </w:t>
      </w:r>
      <w:r w:rsidR="003D333A" w:rsidRPr="00C20C42">
        <w:rPr>
          <w:i w:val="0"/>
          <w:iCs w:val="0"/>
          <w:color w:val="000000"/>
        </w:rPr>
        <w:t xml:space="preserve">Best Practice </w:t>
      </w:r>
      <w:r w:rsidR="006471FB" w:rsidRPr="00C20C42">
        <w:rPr>
          <w:i w:val="0"/>
          <w:iCs w:val="0"/>
          <w:color w:val="000000"/>
        </w:rPr>
        <w:t>Regulation for further information below</w:t>
      </w:r>
    </w:p>
    <w:p w:rsidR="006471FB" w:rsidRPr="00C20C42" w:rsidRDefault="006471FB" w:rsidP="006471FB">
      <w:pPr>
        <w:pStyle w:val="BodyText"/>
        <w:ind w:left="720"/>
        <w:jc w:val="both"/>
        <w:rPr>
          <w:i w:val="0"/>
          <w:iCs w:val="0"/>
          <w:color w:val="000000"/>
        </w:rPr>
      </w:pPr>
    </w:p>
    <w:p w:rsidR="00EC2B00" w:rsidRPr="003D333A" w:rsidRDefault="003D333A" w:rsidP="003D333A">
      <w:pPr>
        <w:pStyle w:val="BodyText"/>
        <w:ind w:firstLine="720"/>
        <w:jc w:val="both"/>
        <w:rPr>
          <w:i w:val="0"/>
          <w:iCs w:val="0"/>
          <w:color w:val="000000"/>
        </w:rPr>
      </w:pPr>
      <w:hyperlink r:id="rId16" w:history="1">
        <w:r w:rsidRPr="00C20C42">
          <w:rPr>
            <w:rStyle w:val="Hyperlink"/>
            <w:i w:val="0"/>
            <w:iCs w:val="0"/>
          </w:rPr>
          <w:t>http://www.finance.gov.au/obpr/index.html</w:t>
        </w:r>
      </w:hyperlink>
    </w:p>
    <w:p w:rsidR="00EC2B00" w:rsidRDefault="00EC2B00">
      <w:pPr>
        <w:pStyle w:val="BodyText"/>
        <w:jc w:val="both"/>
        <w:rPr>
          <w:i w:val="0"/>
          <w:iCs w:val="0"/>
          <w:color w:val="000000"/>
        </w:rPr>
      </w:pPr>
    </w:p>
    <w:p w:rsidR="00EC2B00" w:rsidRPr="00EC2B00" w:rsidRDefault="00EC2B00">
      <w:pPr>
        <w:pStyle w:val="BodyText"/>
        <w:jc w:val="both"/>
        <w:rPr>
          <w:i w:val="0"/>
          <w:iCs w:val="0"/>
          <w:color w:val="000000"/>
        </w:rPr>
      </w:pPr>
    </w:p>
    <w:sectPr w:rsidR="00EC2B00" w:rsidRPr="00EC2B00" w:rsidSect="00B72D18">
      <w:pgSz w:w="11906" w:h="16838"/>
      <w:pgMar w:top="125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5E0" w:rsidRDefault="003125E0">
      <w:r>
        <w:separator/>
      </w:r>
    </w:p>
  </w:endnote>
  <w:endnote w:type="continuationSeparator" w:id="0">
    <w:p w:rsidR="003125E0" w:rsidRDefault="0031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07" w:rsidRDefault="00702107" w:rsidP="00886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2107" w:rsidRDefault="00702107" w:rsidP="00580C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07" w:rsidRDefault="00702107" w:rsidP="00886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4431">
      <w:rPr>
        <w:rStyle w:val="PageNumber"/>
        <w:noProof/>
      </w:rPr>
      <w:t>2</w:t>
    </w:r>
    <w:r>
      <w:rPr>
        <w:rStyle w:val="PageNumber"/>
      </w:rPr>
      <w:fldChar w:fldCharType="end"/>
    </w:r>
  </w:p>
  <w:p w:rsidR="00702107" w:rsidRPr="00F42A71" w:rsidRDefault="00702107" w:rsidP="00580C30">
    <w:pPr>
      <w:pStyle w:val="Footer"/>
      <w:ind w:right="360"/>
      <w:jc w:val="center"/>
      <w:rPr>
        <w:i/>
      </w:rPr>
    </w:pPr>
    <w:r>
      <w:rPr>
        <w:rStyle w:val="PageNumber"/>
        <w:i/>
      </w:rPr>
      <w:t>Classification Training Fees</w:t>
    </w:r>
    <w:r w:rsidRPr="00F42A71">
      <w:rPr>
        <w:rStyle w:val="PageNumber"/>
        <w:i/>
      </w:rPr>
      <w:t xml:space="preserve"> </w:t>
    </w:r>
    <w:r>
      <w:rPr>
        <w:rStyle w:val="PageNumber"/>
        <w:i/>
      </w:rPr>
      <w:t xml:space="preserve">- </w:t>
    </w:r>
    <w:r w:rsidRPr="00F42A71">
      <w:rPr>
        <w:rStyle w:val="PageNumber"/>
        <w:i/>
      </w:rPr>
      <w:t>C</w:t>
    </w:r>
    <w:r>
      <w:rPr>
        <w:rStyle w:val="PageNumber"/>
        <w:i/>
      </w:rPr>
      <w:t>ost Recovery Impact Statement</w:t>
    </w:r>
    <w:r w:rsidRPr="00F42A71">
      <w:rPr>
        <w:rStyle w:val="PageNumbe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07" w:rsidRDefault="00702107" w:rsidP="007F1BA1">
    <w:pPr>
      <w:pStyle w:val="Footer"/>
      <w:ind w:right="360"/>
      <w:jc w:val="right"/>
    </w:pPr>
  </w:p>
  <w:p w:rsidR="00702107" w:rsidRDefault="0070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5E0" w:rsidRDefault="003125E0">
      <w:r>
        <w:separator/>
      </w:r>
    </w:p>
  </w:footnote>
  <w:footnote w:type="continuationSeparator" w:id="0">
    <w:p w:rsidR="003125E0" w:rsidRDefault="0031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07" w:rsidRPr="00F97F87" w:rsidRDefault="00FF4431" w:rsidP="00DC28DB">
    <w:pPr>
      <w:pStyle w:val="Header"/>
      <w:rPr>
        <w:color w:val="999999"/>
        <w:sz w:val="28"/>
        <w:szCs w:val="28"/>
      </w:rPr>
    </w:pPr>
    <w:r>
      <w:rPr>
        <w:noProof/>
        <w:color w:val="999999"/>
        <w:sz w:val="28"/>
        <w:szCs w:val="28"/>
        <w:lang w:eastAsia="en-AU"/>
      </w:rPr>
      <w:drawing>
        <wp:anchor distT="0" distB="0" distL="114300" distR="114300" simplePos="0" relativeHeight="251658240" behindDoc="1" locked="0" layoutInCell="1" allowOverlap="1">
          <wp:simplePos x="0" y="0"/>
          <wp:positionH relativeFrom="page">
            <wp:posOffset>5215255</wp:posOffset>
          </wp:positionH>
          <wp:positionV relativeFrom="page">
            <wp:posOffset>438150</wp:posOffset>
          </wp:positionV>
          <wp:extent cx="1943100" cy="1504950"/>
          <wp:effectExtent l="0" t="0" r="0" b="0"/>
          <wp:wrapTopAndBottom/>
          <wp:docPr id="2" name="Picture 2" descr="TILD-C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LD-CO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07" w:rsidRDefault="00FF4431">
    <w:pPr>
      <w:pStyle w:val="Header"/>
    </w:pPr>
    <w:r>
      <w:rPr>
        <w:noProof/>
        <w:lang w:eastAsia="en-AU"/>
      </w:rPr>
      <w:drawing>
        <wp:anchor distT="0" distB="0" distL="114300" distR="114300" simplePos="0" relativeHeight="251657216" behindDoc="1" locked="0" layoutInCell="1" allowOverlap="1">
          <wp:simplePos x="0" y="0"/>
          <wp:positionH relativeFrom="page">
            <wp:posOffset>5062855</wp:posOffset>
          </wp:positionH>
          <wp:positionV relativeFrom="page">
            <wp:posOffset>285750</wp:posOffset>
          </wp:positionV>
          <wp:extent cx="1943100" cy="1504950"/>
          <wp:effectExtent l="0" t="0" r="0" b="0"/>
          <wp:wrapTopAndBottom/>
          <wp:docPr id="1" name="Picture 1" descr="TILD-C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D-CO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34B"/>
    <w:multiLevelType w:val="hybridMultilevel"/>
    <w:tmpl w:val="6AC09F0A"/>
    <w:lvl w:ilvl="0" w:tplc="FFFFFFFF">
      <w:start w:val="1"/>
      <w:numFmt w:val="decimal"/>
      <w:suff w:val="nothing"/>
      <w:lvlText w:val=""/>
      <w:lvlJc w:val="left"/>
    </w:lvl>
    <w:lvl w:ilvl="1" w:tplc="04090005">
      <w:start w:val="1"/>
      <w:numFmt w:val="bullet"/>
      <w:lvlText w:val=""/>
      <w:lvlJc w:val="left"/>
      <w:pPr>
        <w:tabs>
          <w:tab w:val="num" w:pos="360"/>
        </w:tabs>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2E0D6F"/>
    <w:multiLevelType w:val="hybridMultilevel"/>
    <w:tmpl w:val="0F92D5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536C9"/>
    <w:multiLevelType w:val="hybridMultilevel"/>
    <w:tmpl w:val="EBC810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811628"/>
    <w:multiLevelType w:val="multilevel"/>
    <w:tmpl w:val="51E4F89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717645"/>
    <w:multiLevelType w:val="multilevel"/>
    <w:tmpl w:val="251E6C8A"/>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433F15CC"/>
    <w:multiLevelType w:val="hybridMultilevel"/>
    <w:tmpl w:val="81BA3CE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E0478"/>
    <w:multiLevelType w:val="singleLevel"/>
    <w:tmpl w:val="EA6E1C66"/>
    <w:lvl w:ilvl="0">
      <w:start w:val="2"/>
      <w:numFmt w:val="decimal"/>
      <w:pStyle w:val="Paragraphnumbered"/>
      <w:lvlText w:val="%1."/>
      <w:legacy w:legacy="1" w:legacySpace="0" w:legacyIndent="567"/>
      <w:lvlJc w:val="left"/>
      <w:pPr>
        <w:ind w:left="567" w:hanging="567"/>
      </w:pPr>
    </w:lvl>
  </w:abstractNum>
  <w:abstractNum w:abstractNumId="7" w15:restartNumberingAfterBreak="0">
    <w:nsid w:val="52D57E47"/>
    <w:multiLevelType w:val="hybridMultilevel"/>
    <w:tmpl w:val="CF22D074"/>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8" w15:restartNumberingAfterBreak="0">
    <w:nsid w:val="53C60BF7"/>
    <w:multiLevelType w:val="hybridMultilevel"/>
    <w:tmpl w:val="7E32B3B6"/>
    <w:lvl w:ilvl="0" w:tplc="04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22D35C4"/>
    <w:multiLevelType w:val="hybridMultilevel"/>
    <w:tmpl w:val="30F21D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3759D"/>
    <w:multiLevelType w:val="multilevel"/>
    <w:tmpl w:val="A1DE4FB2"/>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7CA648DB"/>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11"/>
  </w:num>
  <w:num w:numId="2">
    <w:abstractNumId w:val="4"/>
  </w:num>
  <w:num w:numId="3">
    <w:abstractNumId w:val="10"/>
  </w:num>
  <w:num w:numId="4">
    <w:abstractNumId w:val="5"/>
  </w:num>
  <w:num w:numId="5">
    <w:abstractNumId w:val="1"/>
  </w:num>
  <w:num w:numId="6">
    <w:abstractNumId w:val="8"/>
  </w:num>
  <w:num w:numId="7">
    <w:abstractNumId w:val="6"/>
  </w:num>
  <w:num w:numId="8">
    <w:abstractNumId w:val="0"/>
  </w:num>
  <w:num w:numId="9">
    <w:abstractNumId w:val="3"/>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131078"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BA"/>
    <w:rsid w:val="000066FF"/>
    <w:rsid w:val="00024E7A"/>
    <w:rsid w:val="000259AA"/>
    <w:rsid w:val="00033136"/>
    <w:rsid w:val="0003317B"/>
    <w:rsid w:val="000416E4"/>
    <w:rsid w:val="00041E1F"/>
    <w:rsid w:val="00043124"/>
    <w:rsid w:val="00046C5B"/>
    <w:rsid w:val="00047D2A"/>
    <w:rsid w:val="00053A35"/>
    <w:rsid w:val="00053F39"/>
    <w:rsid w:val="00054C72"/>
    <w:rsid w:val="0006006F"/>
    <w:rsid w:val="000612E7"/>
    <w:rsid w:val="00062989"/>
    <w:rsid w:val="00070305"/>
    <w:rsid w:val="000721F4"/>
    <w:rsid w:val="00072604"/>
    <w:rsid w:val="000738F3"/>
    <w:rsid w:val="000739FF"/>
    <w:rsid w:val="00076F87"/>
    <w:rsid w:val="000775DC"/>
    <w:rsid w:val="000778DA"/>
    <w:rsid w:val="000836AE"/>
    <w:rsid w:val="00084F52"/>
    <w:rsid w:val="00086090"/>
    <w:rsid w:val="00086B14"/>
    <w:rsid w:val="00091AD1"/>
    <w:rsid w:val="00091F50"/>
    <w:rsid w:val="0009458F"/>
    <w:rsid w:val="00097D6A"/>
    <w:rsid w:val="000A217F"/>
    <w:rsid w:val="000A6CDA"/>
    <w:rsid w:val="000B2BF0"/>
    <w:rsid w:val="000B30EF"/>
    <w:rsid w:val="000B376A"/>
    <w:rsid w:val="000B3CF4"/>
    <w:rsid w:val="000B66D6"/>
    <w:rsid w:val="000B7020"/>
    <w:rsid w:val="000B7ACC"/>
    <w:rsid w:val="000C2878"/>
    <w:rsid w:val="000D0F96"/>
    <w:rsid w:val="000D1F46"/>
    <w:rsid w:val="000D6163"/>
    <w:rsid w:val="000E628B"/>
    <w:rsid w:val="000E6611"/>
    <w:rsid w:val="000E7C89"/>
    <w:rsid w:val="000F18DE"/>
    <w:rsid w:val="000F76AA"/>
    <w:rsid w:val="00100821"/>
    <w:rsid w:val="00102CD7"/>
    <w:rsid w:val="00103B92"/>
    <w:rsid w:val="001064F2"/>
    <w:rsid w:val="00107380"/>
    <w:rsid w:val="00112804"/>
    <w:rsid w:val="00113284"/>
    <w:rsid w:val="00116154"/>
    <w:rsid w:val="00116EDE"/>
    <w:rsid w:val="00120841"/>
    <w:rsid w:val="001243B9"/>
    <w:rsid w:val="001253C7"/>
    <w:rsid w:val="00132809"/>
    <w:rsid w:val="00135EB5"/>
    <w:rsid w:val="00140024"/>
    <w:rsid w:val="0014373B"/>
    <w:rsid w:val="001461F7"/>
    <w:rsid w:val="00151DA1"/>
    <w:rsid w:val="00152498"/>
    <w:rsid w:val="001578DF"/>
    <w:rsid w:val="0016301A"/>
    <w:rsid w:val="00170E6A"/>
    <w:rsid w:val="00172EDD"/>
    <w:rsid w:val="001736CD"/>
    <w:rsid w:val="001750FC"/>
    <w:rsid w:val="00177DC7"/>
    <w:rsid w:val="001833BF"/>
    <w:rsid w:val="00185D6A"/>
    <w:rsid w:val="001864C4"/>
    <w:rsid w:val="001920AC"/>
    <w:rsid w:val="001933D7"/>
    <w:rsid w:val="00194F9C"/>
    <w:rsid w:val="001975F7"/>
    <w:rsid w:val="00197FB3"/>
    <w:rsid w:val="001A1249"/>
    <w:rsid w:val="001A13E8"/>
    <w:rsid w:val="001A13F5"/>
    <w:rsid w:val="001A2871"/>
    <w:rsid w:val="001A28D7"/>
    <w:rsid w:val="001A2F83"/>
    <w:rsid w:val="001A52BE"/>
    <w:rsid w:val="001A5DF4"/>
    <w:rsid w:val="001B0BE6"/>
    <w:rsid w:val="001B1655"/>
    <w:rsid w:val="001B5782"/>
    <w:rsid w:val="001C2AB2"/>
    <w:rsid w:val="001C2AD1"/>
    <w:rsid w:val="001C3883"/>
    <w:rsid w:val="001D033B"/>
    <w:rsid w:val="001D723D"/>
    <w:rsid w:val="001F1289"/>
    <w:rsid w:val="00201933"/>
    <w:rsid w:val="00205329"/>
    <w:rsid w:val="00206AB4"/>
    <w:rsid w:val="00213E08"/>
    <w:rsid w:val="002178CA"/>
    <w:rsid w:val="00217A97"/>
    <w:rsid w:val="00220BEE"/>
    <w:rsid w:val="002228DE"/>
    <w:rsid w:val="00224DB5"/>
    <w:rsid w:val="0022647C"/>
    <w:rsid w:val="00233D75"/>
    <w:rsid w:val="002352AA"/>
    <w:rsid w:val="002414CF"/>
    <w:rsid w:val="00242145"/>
    <w:rsid w:val="00242837"/>
    <w:rsid w:val="00242DF4"/>
    <w:rsid w:val="0024302E"/>
    <w:rsid w:val="002438D0"/>
    <w:rsid w:val="00246509"/>
    <w:rsid w:val="00247D6C"/>
    <w:rsid w:val="0025010F"/>
    <w:rsid w:val="00251D75"/>
    <w:rsid w:val="00254B3F"/>
    <w:rsid w:val="00255807"/>
    <w:rsid w:val="002606A1"/>
    <w:rsid w:val="00262134"/>
    <w:rsid w:val="002704AE"/>
    <w:rsid w:val="00270B7A"/>
    <w:rsid w:val="0027190F"/>
    <w:rsid w:val="002726E8"/>
    <w:rsid w:val="0027285B"/>
    <w:rsid w:val="00275E80"/>
    <w:rsid w:val="0027631C"/>
    <w:rsid w:val="002771CA"/>
    <w:rsid w:val="00280BA2"/>
    <w:rsid w:val="002816B6"/>
    <w:rsid w:val="002827A4"/>
    <w:rsid w:val="00286812"/>
    <w:rsid w:val="002874FB"/>
    <w:rsid w:val="0029309D"/>
    <w:rsid w:val="00293F1D"/>
    <w:rsid w:val="00296F2C"/>
    <w:rsid w:val="00297178"/>
    <w:rsid w:val="002A22B6"/>
    <w:rsid w:val="002A4271"/>
    <w:rsid w:val="002A48DB"/>
    <w:rsid w:val="002A4E85"/>
    <w:rsid w:val="002A5DA2"/>
    <w:rsid w:val="002A600C"/>
    <w:rsid w:val="002A6BAE"/>
    <w:rsid w:val="002A7BC1"/>
    <w:rsid w:val="002B01F3"/>
    <w:rsid w:val="002B04E2"/>
    <w:rsid w:val="002B6FED"/>
    <w:rsid w:val="002C3568"/>
    <w:rsid w:val="002C3BA0"/>
    <w:rsid w:val="002C3CB1"/>
    <w:rsid w:val="002C50EE"/>
    <w:rsid w:val="002E021D"/>
    <w:rsid w:val="002E05A7"/>
    <w:rsid w:val="002E17E6"/>
    <w:rsid w:val="002E315B"/>
    <w:rsid w:val="002E5FA5"/>
    <w:rsid w:val="002E6A6A"/>
    <w:rsid w:val="002F01A8"/>
    <w:rsid w:val="002F116A"/>
    <w:rsid w:val="002F1AEA"/>
    <w:rsid w:val="002F5CB5"/>
    <w:rsid w:val="002F5FDF"/>
    <w:rsid w:val="00306F32"/>
    <w:rsid w:val="0030737A"/>
    <w:rsid w:val="00311746"/>
    <w:rsid w:val="003125E0"/>
    <w:rsid w:val="00314F67"/>
    <w:rsid w:val="00317D51"/>
    <w:rsid w:val="003202BD"/>
    <w:rsid w:val="00321B8F"/>
    <w:rsid w:val="00325D1E"/>
    <w:rsid w:val="00337D5B"/>
    <w:rsid w:val="00340593"/>
    <w:rsid w:val="00341364"/>
    <w:rsid w:val="003526E0"/>
    <w:rsid w:val="00353DA9"/>
    <w:rsid w:val="0035447B"/>
    <w:rsid w:val="00355BC4"/>
    <w:rsid w:val="00355D3F"/>
    <w:rsid w:val="00357EEE"/>
    <w:rsid w:val="00363E97"/>
    <w:rsid w:val="003679E7"/>
    <w:rsid w:val="00373B78"/>
    <w:rsid w:val="00373D9E"/>
    <w:rsid w:val="00373EE8"/>
    <w:rsid w:val="00375797"/>
    <w:rsid w:val="00376117"/>
    <w:rsid w:val="00381FA0"/>
    <w:rsid w:val="0038382D"/>
    <w:rsid w:val="00385416"/>
    <w:rsid w:val="003877A9"/>
    <w:rsid w:val="003950C8"/>
    <w:rsid w:val="003A5310"/>
    <w:rsid w:val="003A54F1"/>
    <w:rsid w:val="003A7883"/>
    <w:rsid w:val="003B2C4A"/>
    <w:rsid w:val="003B361F"/>
    <w:rsid w:val="003C1256"/>
    <w:rsid w:val="003C233A"/>
    <w:rsid w:val="003C3812"/>
    <w:rsid w:val="003C4AF0"/>
    <w:rsid w:val="003D333A"/>
    <w:rsid w:val="003E01B5"/>
    <w:rsid w:val="003E403D"/>
    <w:rsid w:val="003E61A2"/>
    <w:rsid w:val="003E6D09"/>
    <w:rsid w:val="003F0D7F"/>
    <w:rsid w:val="003F268A"/>
    <w:rsid w:val="003F33D5"/>
    <w:rsid w:val="003F366E"/>
    <w:rsid w:val="00403000"/>
    <w:rsid w:val="00405B59"/>
    <w:rsid w:val="00411A42"/>
    <w:rsid w:val="00415E69"/>
    <w:rsid w:val="00420D8B"/>
    <w:rsid w:val="00421480"/>
    <w:rsid w:val="00422D63"/>
    <w:rsid w:val="00437572"/>
    <w:rsid w:val="00437F47"/>
    <w:rsid w:val="0044280D"/>
    <w:rsid w:val="00447160"/>
    <w:rsid w:val="00450344"/>
    <w:rsid w:val="004507A2"/>
    <w:rsid w:val="00453141"/>
    <w:rsid w:val="004535CF"/>
    <w:rsid w:val="00453BAF"/>
    <w:rsid w:val="00454059"/>
    <w:rsid w:val="004541CB"/>
    <w:rsid w:val="00455EE2"/>
    <w:rsid w:val="004576F4"/>
    <w:rsid w:val="00462D33"/>
    <w:rsid w:val="004642A4"/>
    <w:rsid w:val="00464DD0"/>
    <w:rsid w:val="00475041"/>
    <w:rsid w:val="00484205"/>
    <w:rsid w:val="004848BD"/>
    <w:rsid w:val="00484A49"/>
    <w:rsid w:val="00487005"/>
    <w:rsid w:val="00493CF1"/>
    <w:rsid w:val="00494C33"/>
    <w:rsid w:val="00495651"/>
    <w:rsid w:val="00495A6E"/>
    <w:rsid w:val="00495DD5"/>
    <w:rsid w:val="004962E7"/>
    <w:rsid w:val="00497E34"/>
    <w:rsid w:val="004A1832"/>
    <w:rsid w:val="004A4526"/>
    <w:rsid w:val="004A78EB"/>
    <w:rsid w:val="004B1395"/>
    <w:rsid w:val="004B3519"/>
    <w:rsid w:val="004B42A7"/>
    <w:rsid w:val="004B56F1"/>
    <w:rsid w:val="004B5D80"/>
    <w:rsid w:val="004B6F62"/>
    <w:rsid w:val="004C770D"/>
    <w:rsid w:val="004D1E98"/>
    <w:rsid w:val="004D4B82"/>
    <w:rsid w:val="004D52DF"/>
    <w:rsid w:val="004D63F2"/>
    <w:rsid w:val="004D7676"/>
    <w:rsid w:val="004E01C2"/>
    <w:rsid w:val="004E0344"/>
    <w:rsid w:val="004E104D"/>
    <w:rsid w:val="004E14D6"/>
    <w:rsid w:val="004E6A54"/>
    <w:rsid w:val="004E6BBE"/>
    <w:rsid w:val="004E7588"/>
    <w:rsid w:val="004F1710"/>
    <w:rsid w:val="004F4053"/>
    <w:rsid w:val="004F576B"/>
    <w:rsid w:val="00500C73"/>
    <w:rsid w:val="00501A7A"/>
    <w:rsid w:val="00502156"/>
    <w:rsid w:val="005026CE"/>
    <w:rsid w:val="00503728"/>
    <w:rsid w:val="00505646"/>
    <w:rsid w:val="00506BA9"/>
    <w:rsid w:val="0050703D"/>
    <w:rsid w:val="00512968"/>
    <w:rsid w:val="00514DE9"/>
    <w:rsid w:val="00520034"/>
    <w:rsid w:val="00524E8A"/>
    <w:rsid w:val="0052500D"/>
    <w:rsid w:val="005250F1"/>
    <w:rsid w:val="005269B6"/>
    <w:rsid w:val="00527A54"/>
    <w:rsid w:val="005342AA"/>
    <w:rsid w:val="00534689"/>
    <w:rsid w:val="0054079F"/>
    <w:rsid w:val="00541F12"/>
    <w:rsid w:val="005421BA"/>
    <w:rsid w:val="005460BB"/>
    <w:rsid w:val="00546825"/>
    <w:rsid w:val="005522B7"/>
    <w:rsid w:val="00556C30"/>
    <w:rsid w:val="00560A59"/>
    <w:rsid w:val="00561EB9"/>
    <w:rsid w:val="00563BCC"/>
    <w:rsid w:val="00565FFE"/>
    <w:rsid w:val="00570E8E"/>
    <w:rsid w:val="00570F8B"/>
    <w:rsid w:val="00572133"/>
    <w:rsid w:val="00573710"/>
    <w:rsid w:val="00575107"/>
    <w:rsid w:val="00575200"/>
    <w:rsid w:val="00575B5C"/>
    <w:rsid w:val="00577C63"/>
    <w:rsid w:val="00580C30"/>
    <w:rsid w:val="0058104B"/>
    <w:rsid w:val="005814F6"/>
    <w:rsid w:val="005860EB"/>
    <w:rsid w:val="005860FA"/>
    <w:rsid w:val="00587013"/>
    <w:rsid w:val="005936D1"/>
    <w:rsid w:val="00594FE5"/>
    <w:rsid w:val="00595992"/>
    <w:rsid w:val="005A0843"/>
    <w:rsid w:val="005A2FF5"/>
    <w:rsid w:val="005A367A"/>
    <w:rsid w:val="005A50F9"/>
    <w:rsid w:val="005A5C00"/>
    <w:rsid w:val="005B1E6E"/>
    <w:rsid w:val="005B2D51"/>
    <w:rsid w:val="005B34BA"/>
    <w:rsid w:val="005B532B"/>
    <w:rsid w:val="005B5CA6"/>
    <w:rsid w:val="005C06D2"/>
    <w:rsid w:val="005C1C90"/>
    <w:rsid w:val="005C2058"/>
    <w:rsid w:val="005C2508"/>
    <w:rsid w:val="005C3CF3"/>
    <w:rsid w:val="005C3DB1"/>
    <w:rsid w:val="005C6342"/>
    <w:rsid w:val="005E0E1A"/>
    <w:rsid w:val="005E3C26"/>
    <w:rsid w:val="005F2008"/>
    <w:rsid w:val="005F32D4"/>
    <w:rsid w:val="005F4239"/>
    <w:rsid w:val="005F5C9D"/>
    <w:rsid w:val="005F5E32"/>
    <w:rsid w:val="00607776"/>
    <w:rsid w:val="00613244"/>
    <w:rsid w:val="00617419"/>
    <w:rsid w:val="00620FBD"/>
    <w:rsid w:val="00625174"/>
    <w:rsid w:val="0062775A"/>
    <w:rsid w:val="00627FA1"/>
    <w:rsid w:val="006311B9"/>
    <w:rsid w:val="006320C9"/>
    <w:rsid w:val="00634369"/>
    <w:rsid w:val="0063530C"/>
    <w:rsid w:val="00637330"/>
    <w:rsid w:val="006402B8"/>
    <w:rsid w:val="006431B3"/>
    <w:rsid w:val="00643FB2"/>
    <w:rsid w:val="00644437"/>
    <w:rsid w:val="00644C19"/>
    <w:rsid w:val="00646B37"/>
    <w:rsid w:val="006471FB"/>
    <w:rsid w:val="00647FEF"/>
    <w:rsid w:val="00650BE3"/>
    <w:rsid w:val="006520EF"/>
    <w:rsid w:val="006531B8"/>
    <w:rsid w:val="00653757"/>
    <w:rsid w:val="0065379B"/>
    <w:rsid w:val="0065517D"/>
    <w:rsid w:val="00657424"/>
    <w:rsid w:val="00657701"/>
    <w:rsid w:val="00662824"/>
    <w:rsid w:val="00664BE5"/>
    <w:rsid w:val="00665DA7"/>
    <w:rsid w:val="00673900"/>
    <w:rsid w:val="00675741"/>
    <w:rsid w:val="006760EC"/>
    <w:rsid w:val="00676AB1"/>
    <w:rsid w:val="0068218B"/>
    <w:rsid w:val="006852FC"/>
    <w:rsid w:val="0068708F"/>
    <w:rsid w:val="006871B6"/>
    <w:rsid w:val="006874C0"/>
    <w:rsid w:val="006876B6"/>
    <w:rsid w:val="00697094"/>
    <w:rsid w:val="006A0ABD"/>
    <w:rsid w:val="006A1C11"/>
    <w:rsid w:val="006A2D96"/>
    <w:rsid w:val="006A502A"/>
    <w:rsid w:val="006A6562"/>
    <w:rsid w:val="006B3E59"/>
    <w:rsid w:val="006C0603"/>
    <w:rsid w:val="006C11CB"/>
    <w:rsid w:val="006C1DFD"/>
    <w:rsid w:val="006C5074"/>
    <w:rsid w:val="006C6115"/>
    <w:rsid w:val="006C7C0C"/>
    <w:rsid w:val="006D04B8"/>
    <w:rsid w:val="006D222C"/>
    <w:rsid w:val="006D34A1"/>
    <w:rsid w:val="006D3C9B"/>
    <w:rsid w:val="006E074E"/>
    <w:rsid w:val="006E0CE5"/>
    <w:rsid w:val="006E23EB"/>
    <w:rsid w:val="006E323D"/>
    <w:rsid w:val="006E646B"/>
    <w:rsid w:val="006E7F6C"/>
    <w:rsid w:val="006F0BF7"/>
    <w:rsid w:val="006F1139"/>
    <w:rsid w:val="006F538E"/>
    <w:rsid w:val="006F56E8"/>
    <w:rsid w:val="006F6ECD"/>
    <w:rsid w:val="00700399"/>
    <w:rsid w:val="007008CE"/>
    <w:rsid w:val="0070147A"/>
    <w:rsid w:val="0070172C"/>
    <w:rsid w:val="00701DCD"/>
    <w:rsid w:val="00702107"/>
    <w:rsid w:val="00706153"/>
    <w:rsid w:val="007066BB"/>
    <w:rsid w:val="00707BBB"/>
    <w:rsid w:val="007106DB"/>
    <w:rsid w:val="00713118"/>
    <w:rsid w:val="007138A9"/>
    <w:rsid w:val="007161CA"/>
    <w:rsid w:val="007170C5"/>
    <w:rsid w:val="007173B3"/>
    <w:rsid w:val="00730677"/>
    <w:rsid w:val="0073298F"/>
    <w:rsid w:val="0073430A"/>
    <w:rsid w:val="007343B3"/>
    <w:rsid w:val="0073443C"/>
    <w:rsid w:val="00735661"/>
    <w:rsid w:val="007357FE"/>
    <w:rsid w:val="00740196"/>
    <w:rsid w:val="0074402B"/>
    <w:rsid w:val="0074416C"/>
    <w:rsid w:val="00747311"/>
    <w:rsid w:val="007543E4"/>
    <w:rsid w:val="0075447E"/>
    <w:rsid w:val="007643F5"/>
    <w:rsid w:val="007748E6"/>
    <w:rsid w:val="0078703C"/>
    <w:rsid w:val="00791C66"/>
    <w:rsid w:val="00797E7F"/>
    <w:rsid w:val="007A46AF"/>
    <w:rsid w:val="007B4D10"/>
    <w:rsid w:val="007C029C"/>
    <w:rsid w:val="007C1D1B"/>
    <w:rsid w:val="007C1F26"/>
    <w:rsid w:val="007C358A"/>
    <w:rsid w:val="007C36EA"/>
    <w:rsid w:val="007C3C40"/>
    <w:rsid w:val="007C6DAD"/>
    <w:rsid w:val="007C7034"/>
    <w:rsid w:val="007D3762"/>
    <w:rsid w:val="007D4B38"/>
    <w:rsid w:val="007D62CD"/>
    <w:rsid w:val="007D6692"/>
    <w:rsid w:val="007D6E6E"/>
    <w:rsid w:val="007D742A"/>
    <w:rsid w:val="007D7C94"/>
    <w:rsid w:val="007E17C9"/>
    <w:rsid w:val="007E66C9"/>
    <w:rsid w:val="007F17B1"/>
    <w:rsid w:val="007F1BA1"/>
    <w:rsid w:val="007F53DC"/>
    <w:rsid w:val="008006F6"/>
    <w:rsid w:val="0080109D"/>
    <w:rsid w:val="00801412"/>
    <w:rsid w:val="008040F4"/>
    <w:rsid w:val="00804C32"/>
    <w:rsid w:val="00806513"/>
    <w:rsid w:val="00806EB0"/>
    <w:rsid w:val="00813222"/>
    <w:rsid w:val="008153B2"/>
    <w:rsid w:val="00821C6A"/>
    <w:rsid w:val="0082669E"/>
    <w:rsid w:val="008323C5"/>
    <w:rsid w:val="008339CF"/>
    <w:rsid w:val="0083516B"/>
    <w:rsid w:val="008414B8"/>
    <w:rsid w:val="0084201F"/>
    <w:rsid w:val="00852791"/>
    <w:rsid w:val="00852CA7"/>
    <w:rsid w:val="00853D9E"/>
    <w:rsid w:val="00855D74"/>
    <w:rsid w:val="00861217"/>
    <w:rsid w:val="00872179"/>
    <w:rsid w:val="00873FE8"/>
    <w:rsid w:val="00883016"/>
    <w:rsid w:val="00884D22"/>
    <w:rsid w:val="00886777"/>
    <w:rsid w:val="008875FA"/>
    <w:rsid w:val="008A1DD0"/>
    <w:rsid w:val="008A2B36"/>
    <w:rsid w:val="008A534D"/>
    <w:rsid w:val="008B1738"/>
    <w:rsid w:val="008B36B5"/>
    <w:rsid w:val="008B5719"/>
    <w:rsid w:val="008C06A9"/>
    <w:rsid w:val="008C2F8F"/>
    <w:rsid w:val="008C3C2F"/>
    <w:rsid w:val="008C44C8"/>
    <w:rsid w:val="008C76DF"/>
    <w:rsid w:val="008D13B1"/>
    <w:rsid w:val="008D177D"/>
    <w:rsid w:val="008D2214"/>
    <w:rsid w:val="008D303D"/>
    <w:rsid w:val="008D37E6"/>
    <w:rsid w:val="008D3DF1"/>
    <w:rsid w:val="008D58EE"/>
    <w:rsid w:val="008D7F76"/>
    <w:rsid w:val="008E2379"/>
    <w:rsid w:val="008E2E70"/>
    <w:rsid w:val="008E5028"/>
    <w:rsid w:val="008E60BC"/>
    <w:rsid w:val="008E68DC"/>
    <w:rsid w:val="008F0F38"/>
    <w:rsid w:val="008F3AB4"/>
    <w:rsid w:val="008F746B"/>
    <w:rsid w:val="00901E78"/>
    <w:rsid w:val="00905748"/>
    <w:rsid w:val="00911A67"/>
    <w:rsid w:val="009129A3"/>
    <w:rsid w:val="00913EB1"/>
    <w:rsid w:val="0092049C"/>
    <w:rsid w:val="00922418"/>
    <w:rsid w:val="00926D74"/>
    <w:rsid w:val="009273A9"/>
    <w:rsid w:val="00931B40"/>
    <w:rsid w:val="00932C57"/>
    <w:rsid w:val="009343FC"/>
    <w:rsid w:val="009375CA"/>
    <w:rsid w:val="00940AAF"/>
    <w:rsid w:val="009411AD"/>
    <w:rsid w:val="00942819"/>
    <w:rsid w:val="00942F3A"/>
    <w:rsid w:val="0094465D"/>
    <w:rsid w:val="00945884"/>
    <w:rsid w:val="00946CBA"/>
    <w:rsid w:val="00950190"/>
    <w:rsid w:val="009531ED"/>
    <w:rsid w:val="00955FC7"/>
    <w:rsid w:val="00963940"/>
    <w:rsid w:val="00963B3D"/>
    <w:rsid w:val="00975287"/>
    <w:rsid w:val="00976D6F"/>
    <w:rsid w:val="00976F50"/>
    <w:rsid w:val="00977D5C"/>
    <w:rsid w:val="009826F5"/>
    <w:rsid w:val="009834F2"/>
    <w:rsid w:val="009864F3"/>
    <w:rsid w:val="009875EA"/>
    <w:rsid w:val="00992837"/>
    <w:rsid w:val="00994217"/>
    <w:rsid w:val="0099504B"/>
    <w:rsid w:val="00995909"/>
    <w:rsid w:val="009A6DC5"/>
    <w:rsid w:val="009B0045"/>
    <w:rsid w:val="009B1987"/>
    <w:rsid w:val="009C0574"/>
    <w:rsid w:val="009C2663"/>
    <w:rsid w:val="009C3A75"/>
    <w:rsid w:val="009C55CF"/>
    <w:rsid w:val="009D2179"/>
    <w:rsid w:val="009D3C93"/>
    <w:rsid w:val="009D601B"/>
    <w:rsid w:val="009E2161"/>
    <w:rsid w:val="009E2FEE"/>
    <w:rsid w:val="009E3D91"/>
    <w:rsid w:val="009E6F91"/>
    <w:rsid w:val="009E75EB"/>
    <w:rsid w:val="009F38CF"/>
    <w:rsid w:val="00A02F8A"/>
    <w:rsid w:val="00A03DB9"/>
    <w:rsid w:val="00A041F3"/>
    <w:rsid w:val="00A05CA0"/>
    <w:rsid w:val="00A07680"/>
    <w:rsid w:val="00A114A3"/>
    <w:rsid w:val="00A11B5C"/>
    <w:rsid w:val="00A12535"/>
    <w:rsid w:val="00A1272C"/>
    <w:rsid w:val="00A13749"/>
    <w:rsid w:val="00A14080"/>
    <w:rsid w:val="00A15E2D"/>
    <w:rsid w:val="00A24F18"/>
    <w:rsid w:val="00A268E3"/>
    <w:rsid w:val="00A36C50"/>
    <w:rsid w:val="00A36F56"/>
    <w:rsid w:val="00A42C03"/>
    <w:rsid w:val="00A436AC"/>
    <w:rsid w:val="00A45DCD"/>
    <w:rsid w:val="00A55236"/>
    <w:rsid w:val="00A564DA"/>
    <w:rsid w:val="00A67047"/>
    <w:rsid w:val="00A70947"/>
    <w:rsid w:val="00A725EA"/>
    <w:rsid w:val="00A738C6"/>
    <w:rsid w:val="00A8072A"/>
    <w:rsid w:val="00A827C3"/>
    <w:rsid w:val="00A8342C"/>
    <w:rsid w:val="00A854BB"/>
    <w:rsid w:val="00A85B35"/>
    <w:rsid w:val="00A96288"/>
    <w:rsid w:val="00AA1A88"/>
    <w:rsid w:val="00AA4396"/>
    <w:rsid w:val="00AA5732"/>
    <w:rsid w:val="00AB5385"/>
    <w:rsid w:val="00AC3D4B"/>
    <w:rsid w:val="00AC580F"/>
    <w:rsid w:val="00AC6E85"/>
    <w:rsid w:val="00AD14CD"/>
    <w:rsid w:val="00AD3F94"/>
    <w:rsid w:val="00AD524A"/>
    <w:rsid w:val="00AD68FC"/>
    <w:rsid w:val="00AD690C"/>
    <w:rsid w:val="00AE16D7"/>
    <w:rsid w:val="00AF25DE"/>
    <w:rsid w:val="00AF30D2"/>
    <w:rsid w:val="00AF5C46"/>
    <w:rsid w:val="00AF618C"/>
    <w:rsid w:val="00B001A6"/>
    <w:rsid w:val="00B01FE5"/>
    <w:rsid w:val="00B03E5F"/>
    <w:rsid w:val="00B108C5"/>
    <w:rsid w:val="00B13567"/>
    <w:rsid w:val="00B15D60"/>
    <w:rsid w:val="00B17BC9"/>
    <w:rsid w:val="00B21F3C"/>
    <w:rsid w:val="00B22A04"/>
    <w:rsid w:val="00B25E94"/>
    <w:rsid w:val="00B31197"/>
    <w:rsid w:val="00B31545"/>
    <w:rsid w:val="00B3296C"/>
    <w:rsid w:val="00B33E3F"/>
    <w:rsid w:val="00B3556D"/>
    <w:rsid w:val="00B36439"/>
    <w:rsid w:val="00B3702D"/>
    <w:rsid w:val="00B44B5D"/>
    <w:rsid w:val="00B4760C"/>
    <w:rsid w:val="00B50134"/>
    <w:rsid w:val="00B507A0"/>
    <w:rsid w:val="00B53A82"/>
    <w:rsid w:val="00B54289"/>
    <w:rsid w:val="00B5517A"/>
    <w:rsid w:val="00B578D1"/>
    <w:rsid w:val="00B602E3"/>
    <w:rsid w:val="00B64257"/>
    <w:rsid w:val="00B70238"/>
    <w:rsid w:val="00B704D6"/>
    <w:rsid w:val="00B70DFD"/>
    <w:rsid w:val="00B72D18"/>
    <w:rsid w:val="00B73CD8"/>
    <w:rsid w:val="00B74614"/>
    <w:rsid w:val="00B873C4"/>
    <w:rsid w:val="00B9131C"/>
    <w:rsid w:val="00B91644"/>
    <w:rsid w:val="00B94097"/>
    <w:rsid w:val="00B9505F"/>
    <w:rsid w:val="00B9791A"/>
    <w:rsid w:val="00B979CC"/>
    <w:rsid w:val="00BA0AC5"/>
    <w:rsid w:val="00BA5909"/>
    <w:rsid w:val="00BA7C65"/>
    <w:rsid w:val="00BB1959"/>
    <w:rsid w:val="00BB19DA"/>
    <w:rsid w:val="00BB264C"/>
    <w:rsid w:val="00BB2744"/>
    <w:rsid w:val="00BB36ED"/>
    <w:rsid w:val="00BB5FA8"/>
    <w:rsid w:val="00BC1B01"/>
    <w:rsid w:val="00BC2DFE"/>
    <w:rsid w:val="00BC4A3A"/>
    <w:rsid w:val="00BC5F4C"/>
    <w:rsid w:val="00BC6E9A"/>
    <w:rsid w:val="00BD29AC"/>
    <w:rsid w:val="00BD4F30"/>
    <w:rsid w:val="00BD6A5A"/>
    <w:rsid w:val="00BD7824"/>
    <w:rsid w:val="00BD7BFF"/>
    <w:rsid w:val="00BE21A3"/>
    <w:rsid w:val="00BE4113"/>
    <w:rsid w:val="00BE652F"/>
    <w:rsid w:val="00BF3E0B"/>
    <w:rsid w:val="00BF41F8"/>
    <w:rsid w:val="00BF4620"/>
    <w:rsid w:val="00C00DC2"/>
    <w:rsid w:val="00C0193A"/>
    <w:rsid w:val="00C03542"/>
    <w:rsid w:val="00C15917"/>
    <w:rsid w:val="00C1742D"/>
    <w:rsid w:val="00C178E3"/>
    <w:rsid w:val="00C201BB"/>
    <w:rsid w:val="00C20C42"/>
    <w:rsid w:val="00C217BC"/>
    <w:rsid w:val="00C22EF7"/>
    <w:rsid w:val="00C30244"/>
    <w:rsid w:val="00C30EAA"/>
    <w:rsid w:val="00C34802"/>
    <w:rsid w:val="00C34EDF"/>
    <w:rsid w:val="00C36E79"/>
    <w:rsid w:val="00C37192"/>
    <w:rsid w:val="00C40F7F"/>
    <w:rsid w:val="00C417AD"/>
    <w:rsid w:val="00C42E8C"/>
    <w:rsid w:val="00C46296"/>
    <w:rsid w:val="00C5242B"/>
    <w:rsid w:val="00C54FFD"/>
    <w:rsid w:val="00C56C1C"/>
    <w:rsid w:val="00C60BC8"/>
    <w:rsid w:val="00C64B25"/>
    <w:rsid w:val="00C64BF3"/>
    <w:rsid w:val="00C652E7"/>
    <w:rsid w:val="00C66DEB"/>
    <w:rsid w:val="00C71996"/>
    <w:rsid w:val="00C74542"/>
    <w:rsid w:val="00C74F19"/>
    <w:rsid w:val="00C77272"/>
    <w:rsid w:val="00C779D3"/>
    <w:rsid w:val="00C84A72"/>
    <w:rsid w:val="00C85487"/>
    <w:rsid w:val="00C93BA9"/>
    <w:rsid w:val="00C94BBB"/>
    <w:rsid w:val="00C96FA6"/>
    <w:rsid w:val="00CA1F86"/>
    <w:rsid w:val="00CB0655"/>
    <w:rsid w:val="00CB4B9D"/>
    <w:rsid w:val="00CB4F56"/>
    <w:rsid w:val="00CB573E"/>
    <w:rsid w:val="00CC0805"/>
    <w:rsid w:val="00CC0990"/>
    <w:rsid w:val="00CC142C"/>
    <w:rsid w:val="00CC2C2D"/>
    <w:rsid w:val="00CC442F"/>
    <w:rsid w:val="00CE0264"/>
    <w:rsid w:val="00CE2DAA"/>
    <w:rsid w:val="00CE412B"/>
    <w:rsid w:val="00CE4F07"/>
    <w:rsid w:val="00CF37A6"/>
    <w:rsid w:val="00CF4093"/>
    <w:rsid w:val="00D007C1"/>
    <w:rsid w:val="00D0270F"/>
    <w:rsid w:val="00D04E37"/>
    <w:rsid w:val="00D12298"/>
    <w:rsid w:val="00D20E36"/>
    <w:rsid w:val="00D2175E"/>
    <w:rsid w:val="00D22E75"/>
    <w:rsid w:val="00D2421E"/>
    <w:rsid w:val="00D25B92"/>
    <w:rsid w:val="00D27150"/>
    <w:rsid w:val="00D30595"/>
    <w:rsid w:val="00D3335D"/>
    <w:rsid w:val="00D33F8F"/>
    <w:rsid w:val="00D345B3"/>
    <w:rsid w:val="00D40248"/>
    <w:rsid w:val="00D40296"/>
    <w:rsid w:val="00D4170D"/>
    <w:rsid w:val="00D42D4A"/>
    <w:rsid w:val="00D4440E"/>
    <w:rsid w:val="00D451A3"/>
    <w:rsid w:val="00D45446"/>
    <w:rsid w:val="00D47A6C"/>
    <w:rsid w:val="00D47F7A"/>
    <w:rsid w:val="00D503B1"/>
    <w:rsid w:val="00D51C40"/>
    <w:rsid w:val="00D537FF"/>
    <w:rsid w:val="00D55270"/>
    <w:rsid w:val="00D573D2"/>
    <w:rsid w:val="00D62437"/>
    <w:rsid w:val="00D62492"/>
    <w:rsid w:val="00D62AF1"/>
    <w:rsid w:val="00D62E04"/>
    <w:rsid w:val="00D66527"/>
    <w:rsid w:val="00D66B87"/>
    <w:rsid w:val="00D72EDF"/>
    <w:rsid w:val="00D75368"/>
    <w:rsid w:val="00D84878"/>
    <w:rsid w:val="00D85B58"/>
    <w:rsid w:val="00D90440"/>
    <w:rsid w:val="00D91FF4"/>
    <w:rsid w:val="00D93AC6"/>
    <w:rsid w:val="00D97503"/>
    <w:rsid w:val="00DA3333"/>
    <w:rsid w:val="00DA3D14"/>
    <w:rsid w:val="00DA418C"/>
    <w:rsid w:val="00DA4739"/>
    <w:rsid w:val="00DA6670"/>
    <w:rsid w:val="00DA680E"/>
    <w:rsid w:val="00DB1CC3"/>
    <w:rsid w:val="00DB3CBF"/>
    <w:rsid w:val="00DB5E48"/>
    <w:rsid w:val="00DB6C6B"/>
    <w:rsid w:val="00DB71E1"/>
    <w:rsid w:val="00DC207D"/>
    <w:rsid w:val="00DC28DB"/>
    <w:rsid w:val="00DD3088"/>
    <w:rsid w:val="00DE0A2D"/>
    <w:rsid w:val="00DE486B"/>
    <w:rsid w:val="00DE7E7F"/>
    <w:rsid w:val="00DF6067"/>
    <w:rsid w:val="00E02633"/>
    <w:rsid w:val="00E0620F"/>
    <w:rsid w:val="00E07C9E"/>
    <w:rsid w:val="00E1633C"/>
    <w:rsid w:val="00E1660C"/>
    <w:rsid w:val="00E20B21"/>
    <w:rsid w:val="00E24FE6"/>
    <w:rsid w:val="00E30111"/>
    <w:rsid w:val="00E3370F"/>
    <w:rsid w:val="00E40FDB"/>
    <w:rsid w:val="00E43E2F"/>
    <w:rsid w:val="00E44384"/>
    <w:rsid w:val="00E50B2B"/>
    <w:rsid w:val="00E53D69"/>
    <w:rsid w:val="00E556B7"/>
    <w:rsid w:val="00E60C84"/>
    <w:rsid w:val="00E6241F"/>
    <w:rsid w:val="00E72991"/>
    <w:rsid w:val="00E73877"/>
    <w:rsid w:val="00E75481"/>
    <w:rsid w:val="00E7622A"/>
    <w:rsid w:val="00E77723"/>
    <w:rsid w:val="00E82826"/>
    <w:rsid w:val="00E82D56"/>
    <w:rsid w:val="00E86340"/>
    <w:rsid w:val="00E9407D"/>
    <w:rsid w:val="00E97859"/>
    <w:rsid w:val="00EA1C7C"/>
    <w:rsid w:val="00EA30D4"/>
    <w:rsid w:val="00EA41DF"/>
    <w:rsid w:val="00EA445A"/>
    <w:rsid w:val="00EA530C"/>
    <w:rsid w:val="00EA5DEA"/>
    <w:rsid w:val="00EA62C0"/>
    <w:rsid w:val="00EB0D19"/>
    <w:rsid w:val="00EB0DAA"/>
    <w:rsid w:val="00EB4A45"/>
    <w:rsid w:val="00EB4EB8"/>
    <w:rsid w:val="00EB6D95"/>
    <w:rsid w:val="00EC19D4"/>
    <w:rsid w:val="00EC2B00"/>
    <w:rsid w:val="00EC4A57"/>
    <w:rsid w:val="00EC5E51"/>
    <w:rsid w:val="00EC6A47"/>
    <w:rsid w:val="00ED06D1"/>
    <w:rsid w:val="00ED1DC1"/>
    <w:rsid w:val="00ED2A99"/>
    <w:rsid w:val="00ED352E"/>
    <w:rsid w:val="00ED4430"/>
    <w:rsid w:val="00ED4674"/>
    <w:rsid w:val="00ED4FD2"/>
    <w:rsid w:val="00ED5B9B"/>
    <w:rsid w:val="00ED61AF"/>
    <w:rsid w:val="00ED7557"/>
    <w:rsid w:val="00EE0A88"/>
    <w:rsid w:val="00EE1667"/>
    <w:rsid w:val="00EE4547"/>
    <w:rsid w:val="00EF075F"/>
    <w:rsid w:val="00EF0D68"/>
    <w:rsid w:val="00EF0DBC"/>
    <w:rsid w:val="00EF18DC"/>
    <w:rsid w:val="00EF3EED"/>
    <w:rsid w:val="00F00C5C"/>
    <w:rsid w:val="00F029FC"/>
    <w:rsid w:val="00F0354D"/>
    <w:rsid w:val="00F05446"/>
    <w:rsid w:val="00F11C2B"/>
    <w:rsid w:val="00F13579"/>
    <w:rsid w:val="00F13F22"/>
    <w:rsid w:val="00F16B13"/>
    <w:rsid w:val="00F21951"/>
    <w:rsid w:val="00F229CA"/>
    <w:rsid w:val="00F22CA3"/>
    <w:rsid w:val="00F260A2"/>
    <w:rsid w:val="00F30C5A"/>
    <w:rsid w:val="00F3105E"/>
    <w:rsid w:val="00F32047"/>
    <w:rsid w:val="00F32BF8"/>
    <w:rsid w:val="00F32E0C"/>
    <w:rsid w:val="00F36875"/>
    <w:rsid w:val="00F42A71"/>
    <w:rsid w:val="00F47DE5"/>
    <w:rsid w:val="00F5091D"/>
    <w:rsid w:val="00F5174F"/>
    <w:rsid w:val="00F530F4"/>
    <w:rsid w:val="00F53613"/>
    <w:rsid w:val="00F541A7"/>
    <w:rsid w:val="00F555E5"/>
    <w:rsid w:val="00F568B4"/>
    <w:rsid w:val="00F60C10"/>
    <w:rsid w:val="00F63A99"/>
    <w:rsid w:val="00F6655E"/>
    <w:rsid w:val="00F6758A"/>
    <w:rsid w:val="00F708C4"/>
    <w:rsid w:val="00F72815"/>
    <w:rsid w:val="00F73235"/>
    <w:rsid w:val="00F73D57"/>
    <w:rsid w:val="00F83D88"/>
    <w:rsid w:val="00F86253"/>
    <w:rsid w:val="00F87BAA"/>
    <w:rsid w:val="00F92D6A"/>
    <w:rsid w:val="00F94160"/>
    <w:rsid w:val="00F97F87"/>
    <w:rsid w:val="00FA2E6A"/>
    <w:rsid w:val="00FA47AD"/>
    <w:rsid w:val="00FA4FB1"/>
    <w:rsid w:val="00FA57D1"/>
    <w:rsid w:val="00FB2B70"/>
    <w:rsid w:val="00FB5964"/>
    <w:rsid w:val="00FB6482"/>
    <w:rsid w:val="00FB7619"/>
    <w:rsid w:val="00FC1E5B"/>
    <w:rsid w:val="00FC547E"/>
    <w:rsid w:val="00FC6080"/>
    <w:rsid w:val="00FD329E"/>
    <w:rsid w:val="00FD6CBF"/>
    <w:rsid w:val="00FE3A9C"/>
    <w:rsid w:val="00FE4D05"/>
    <w:rsid w:val="00FE6B50"/>
    <w:rsid w:val="00FE772D"/>
    <w:rsid w:val="00FF0994"/>
    <w:rsid w:val="00FF1896"/>
    <w:rsid w:val="00FF25D1"/>
    <w:rsid w:val="00FF41BD"/>
    <w:rsid w:val="00FF4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5:chartTrackingRefBased/>
  <w15:docId w15:val="{FC6EE1F7-1987-4A4C-A629-708A8272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1"/>
      </w:numPr>
      <w:jc w:val="center"/>
      <w:outlineLvl w:val="0"/>
    </w:pPr>
    <w:rPr>
      <w:i/>
      <w:iCs/>
      <w:lang w:val="en-U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4">
    <w:name w:val="Pa4"/>
    <w:basedOn w:val="Normal"/>
    <w:next w:val="Normal"/>
    <w:pPr>
      <w:widowControl w:val="0"/>
      <w:autoSpaceDE w:val="0"/>
      <w:autoSpaceDN w:val="0"/>
      <w:adjustRightInd w:val="0"/>
      <w:spacing w:after="160" w:line="201" w:lineRule="atLeast"/>
    </w:pPr>
    <w:rPr>
      <w:rFonts w:ascii="Univers" w:eastAsia="SimSun" w:hAnsi="Univers" w:cs="Univers"/>
      <w:lang w:val="en-US"/>
    </w:rPr>
  </w:style>
  <w:style w:type="paragraph" w:customStyle="1" w:styleId="Pa11">
    <w:name w:val="Pa11"/>
    <w:basedOn w:val="Normal"/>
    <w:next w:val="Normal"/>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pPr>
      <w:widowControl w:val="0"/>
      <w:autoSpaceDE w:val="0"/>
      <w:autoSpaceDN w:val="0"/>
      <w:adjustRightInd w:val="0"/>
      <w:spacing w:after="160" w:line="241" w:lineRule="atLeast"/>
    </w:pPr>
    <w:rPr>
      <w:rFonts w:ascii="Univers" w:eastAsia="SimSun" w:hAnsi="Univers" w:cs="Univer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rFonts w:cs="Times New Roman"/>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paragraph" w:styleId="BodyText">
    <w:name w:val="Body Text"/>
    <w:basedOn w:val="Normal"/>
    <w:rPr>
      <w:i/>
      <w:iCs/>
      <w:color w:val="999999"/>
    </w:rPr>
  </w:style>
  <w:style w:type="paragraph" w:styleId="BalloonText">
    <w:name w:val="Balloon Text"/>
    <w:basedOn w:val="Normal"/>
    <w:semiHidden/>
    <w:rsid w:val="00946CBA"/>
    <w:rPr>
      <w:rFonts w:ascii="Tahoma" w:hAnsi="Tahoma" w:cs="Tahoma"/>
      <w:sz w:val="16"/>
      <w:szCs w:val="16"/>
    </w:rPr>
  </w:style>
  <w:style w:type="paragraph" w:styleId="CommentSubject">
    <w:name w:val="annotation subject"/>
    <w:basedOn w:val="CommentText"/>
    <w:next w:val="CommentText"/>
    <w:semiHidden/>
    <w:rsid w:val="00BE4113"/>
    <w:rPr>
      <w:b/>
      <w:bCs/>
    </w:rPr>
  </w:style>
  <w:style w:type="character" w:styleId="Hyperlink">
    <w:name w:val="Hyperlink"/>
    <w:basedOn w:val="DefaultParagraphFont"/>
    <w:rsid w:val="000B3CF4"/>
    <w:rPr>
      <w:rFonts w:cs="Times New Roman"/>
      <w:color w:val="000000"/>
      <w:u w:val="none"/>
    </w:rPr>
  </w:style>
  <w:style w:type="character" w:styleId="FollowedHyperlink">
    <w:name w:val="FollowedHyperlink"/>
    <w:basedOn w:val="DefaultParagraphFont"/>
    <w:rsid w:val="000B3CF4"/>
    <w:rPr>
      <w:rFonts w:cs="Times New Roman"/>
      <w:color w:val="000000"/>
      <w:u w:val="none"/>
    </w:rPr>
  </w:style>
  <w:style w:type="table" w:styleId="TableGrid">
    <w:name w:val="Table Grid"/>
    <w:basedOn w:val="TableNormal"/>
    <w:rsid w:val="009F38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rsid w:val="00EA41DF"/>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rmalWeb">
    <w:name w:val="Normal (Web)"/>
    <w:basedOn w:val="Normal"/>
    <w:rsid w:val="006E074E"/>
    <w:pPr>
      <w:spacing w:before="100" w:beforeAutospacing="1" w:after="100" w:afterAutospacing="1"/>
    </w:pPr>
    <w:rPr>
      <w:lang w:val="en-US"/>
    </w:rPr>
  </w:style>
  <w:style w:type="paragraph" w:customStyle="1" w:styleId="Paragraphnumbered">
    <w:name w:val="Paragraph (numbered)"/>
    <w:basedOn w:val="Normal"/>
    <w:rsid w:val="007106DB"/>
    <w:pPr>
      <w:numPr>
        <w:numId w:val="7"/>
      </w:numPr>
      <w:spacing w:before="240" w:line="360" w:lineRule="auto"/>
      <w:ind w:left="0" w:firstLine="0"/>
    </w:pPr>
    <w:rPr>
      <w:szCs w:val="20"/>
      <w:lang w:eastAsia="en-AU"/>
    </w:rPr>
  </w:style>
  <w:style w:type="paragraph" w:customStyle="1" w:styleId="Pa10">
    <w:name w:val="Pa10"/>
    <w:basedOn w:val="Normal"/>
    <w:next w:val="Normal"/>
    <w:rsid w:val="008D7F76"/>
    <w:pPr>
      <w:widowControl w:val="0"/>
      <w:autoSpaceDE w:val="0"/>
      <w:autoSpaceDN w:val="0"/>
      <w:adjustRightInd w:val="0"/>
      <w:spacing w:after="160" w:line="201" w:lineRule="atLeast"/>
    </w:pPr>
    <w:rPr>
      <w:rFonts w:ascii="Univers" w:hAnsi="Univers" w:cs="Univers"/>
      <w:lang w:val="en-US"/>
    </w:rPr>
  </w:style>
  <w:style w:type="character" w:customStyle="1" w:styleId="A1">
    <w:name w:val="A1"/>
    <w:rsid w:val="008D7F76"/>
    <w:rPr>
      <w:color w:val="252424"/>
      <w:sz w:val="30"/>
      <w:szCs w:val="30"/>
    </w:rPr>
  </w:style>
  <w:style w:type="paragraph" w:customStyle="1" w:styleId="Pa0">
    <w:name w:val="Pa0"/>
    <w:basedOn w:val="Normal"/>
    <w:next w:val="Normal"/>
    <w:rsid w:val="008D7F76"/>
    <w:pPr>
      <w:widowControl w:val="0"/>
      <w:autoSpaceDE w:val="0"/>
      <w:autoSpaceDN w:val="0"/>
      <w:adjustRightInd w:val="0"/>
      <w:spacing w:line="241" w:lineRule="atLeast"/>
    </w:pPr>
    <w:rPr>
      <w:rFonts w:ascii="Univers" w:hAnsi="Univers" w:cs="Univers"/>
      <w:lang w:val="en-US"/>
    </w:rPr>
  </w:style>
  <w:style w:type="paragraph" w:styleId="TOC4">
    <w:name w:val="toc 4"/>
    <w:basedOn w:val="TOC3"/>
    <w:semiHidden/>
    <w:rsid w:val="00E9407D"/>
    <w:pPr>
      <w:tabs>
        <w:tab w:val="left" w:pos="1418"/>
        <w:tab w:val="right" w:pos="8221"/>
      </w:tabs>
      <w:ind w:left="1418" w:right="562" w:hanging="1418"/>
    </w:pPr>
    <w:rPr>
      <w:szCs w:val="20"/>
    </w:rPr>
  </w:style>
  <w:style w:type="paragraph" w:styleId="TOC3">
    <w:name w:val="toc 3"/>
    <w:basedOn w:val="Normal"/>
    <w:next w:val="Normal"/>
    <w:autoRedefine/>
    <w:semiHidden/>
    <w:rsid w:val="00E9407D"/>
    <w:pPr>
      <w:ind w:left="480"/>
    </w:pPr>
  </w:style>
  <w:style w:type="paragraph" w:customStyle="1" w:styleId="Paragraph">
    <w:name w:val="Paragraph"/>
    <w:basedOn w:val="Normal"/>
    <w:rsid w:val="00D0270F"/>
    <w:pPr>
      <w:numPr>
        <w:ilvl w:val="12"/>
      </w:numPr>
      <w:spacing w:before="240"/>
    </w:pPr>
    <w:rPr>
      <w:szCs w:val="20"/>
      <w:lang w:eastAsia="en-AU"/>
    </w:rPr>
  </w:style>
  <w:style w:type="paragraph" w:customStyle="1" w:styleId="Bullet1continued">
    <w:name w:val="Bullet 1 (continued)"/>
    <w:basedOn w:val="Normal"/>
    <w:next w:val="Normal"/>
    <w:rsid w:val="00505646"/>
    <w:pPr>
      <w:spacing w:before="120"/>
      <w:ind w:left="567"/>
    </w:pPr>
    <w:rPr>
      <w:szCs w:val="20"/>
      <w:lang w:eastAsia="en-AU"/>
    </w:rPr>
  </w:style>
  <w:style w:type="paragraph" w:customStyle="1" w:styleId="DefaultParagraphFontPara">
    <w:name w:val="Default Paragraph Font Para"/>
    <w:basedOn w:val="Normal"/>
    <w:rsid w:val="000A217F"/>
    <w:rPr>
      <w:rFonts w:ascii="Arial" w:hAnsi="Arial" w:cs="Arial"/>
      <w:sz w:val="22"/>
      <w:szCs w:val="22"/>
    </w:rPr>
  </w:style>
  <w:style w:type="character" w:styleId="Emphasis">
    <w:name w:val="Emphasis"/>
    <w:basedOn w:val="DefaultParagraphFont"/>
    <w:qFormat/>
    <w:rsid w:val="00422D63"/>
    <w:rPr>
      <w:i/>
      <w:iCs/>
    </w:rPr>
  </w:style>
  <w:style w:type="paragraph" w:customStyle="1" w:styleId="definition">
    <w:name w:val="definition"/>
    <w:basedOn w:val="Normal"/>
    <w:rsid w:val="008D3DF1"/>
    <w:pPr>
      <w:spacing w:before="100" w:beforeAutospacing="1" w:after="100" w:afterAutospacing="1"/>
    </w:pPr>
    <w:rPr>
      <w:lang w:eastAsia="en-AU"/>
    </w:rPr>
  </w:style>
  <w:style w:type="paragraph" w:customStyle="1" w:styleId="acthead5">
    <w:name w:val="acthead5"/>
    <w:basedOn w:val="Normal"/>
    <w:rsid w:val="008D3DF1"/>
    <w:pPr>
      <w:spacing w:before="100" w:beforeAutospacing="1" w:after="100" w:afterAutospacing="1"/>
    </w:pPr>
    <w:rPr>
      <w:lang w:eastAsia="en-AU"/>
    </w:rPr>
  </w:style>
  <w:style w:type="paragraph" w:customStyle="1" w:styleId="subsection">
    <w:name w:val="subsection"/>
    <w:basedOn w:val="Normal"/>
    <w:rsid w:val="008D3DF1"/>
    <w:pPr>
      <w:spacing w:before="100" w:beforeAutospacing="1" w:after="100" w:afterAutospacing="1"/>
    </w:pPr>
    <w:rPr>
      <w:lang w:eastAsia="en-AU"/>
    </w:rPr>
  </w:style>
  <w:style w:type="paragraph" w:customStyle="1" w:styleId="paragraph0">
    <w:name w:val="paragraph"/>
    <w:basedOn w:val="Normal"/>
    <w:rsid w:val="008D3DF1"/>
    <w:pPr>
      <w:spacing w:before="100" w:beforeAutospacing="1" w:after="100" w:afterAutospacing="1"/>
    </w:pPr>
    <w:rPr>
      <w:lang w:eastAsia="en-AU"/>
    </w:rPr>
  </w:style>
  <w:style w:type="paragraph" w:customStyle="1" w:styleId="paragraphsub">
    <w:name w:val="paragraphsub"/>
    <w:basedOn w:val="Normal"/>
    <w:rsid w:val="008D3DF1"/>
    <w:pPr>
      <w:spacing w:before="100" w:beforeAutospacing="1" w:after="100" w:afterAutospacing="1"/>
    </w:pPr>
    <w:rPr>
      <w:lang w:eastAsia="en-AU"/>
    </w:rPr>
  </w:style>
  <w:style w:type="character" w:customStyle="1" w:styleId="charsectno">
    <w:name w:val="charsectno"/>
    <w:basedOn w:val="DefaultParagraphFont"/>
    <w:rsid w:val="008D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6672">
      <w:bodyDiv w:val="1"/>
      <w:marLeft w:val="0"/>
      <w:marRight w:val="0"/>
      <w:marTop w:val="0"/>
      <w:marBottom w:val="0"/>
      <w:divBdr>
        <w:top w:val="none" w:sz="0" w:space="0" w:color="auto"/>
        <w:left w:val="none" w:sz="0" w:space="0" w:color="auto"/>
        <w:bottom w:val="none" w:sz="0" w:space="0" w:color="auto"/>
        <w:right w:val="none" w:sz="0" w:space="0" w:color="auto"/>
      </w:divBdr>
    </w:div>
    <w:div w:id="184753954">
      <w:bodyDiv w:val="1"/>
      <w:marLeft w:val="0"/>
      <w:marRight w:val="0"/>
      <w:marTop w:val="0"/>
      <w:marBottom w:val="0"/>
      <w:divBdr>
        <w:top w:val="none" w:sz="0" w:space="0" w:color="auto"/>
        <w:left w:val="none" w:sz="0" w:space="0" w:color="auto"/>
        <w:bottom w:val="none" w:sz="0" w:space="0" w:color="auto"/>
        <w:right w:val="none" w:sz="0" w:space="0" w:color="auto"/>
      </w:divBdr>
    </w:div>
    <w:div w:id="493648203">
      <w:bodyDiv w:val="1"/>
      <w:marLeft w:val="0"/>
      <w:marRight w:val="0"/>
      <w:marTop w:val="0"/>
      <w:marBottom w:val="0"/>
      <w:divBdr>
        <w:top w:val="none" w:sz="0" w:space="0" w:color="auto"/>
        <w:left w:val="none" w:sz="0" w:space="0" w:color="auto"/>
        <w:bottom w:val="none" w:sz="0" w:space="0" w:color="auto"/>
        <w:right w:val="none" w:sz="0" w:space="0" w:color="auto"/>
      </w:divBdr>
    </w:div>
    <w:div w:id="6556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inance.gov.au/obpr/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548C62-A486-4781-9308-F6279CCD5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62485-1317-485D-9759-38AC74983B58}">
  <ds:schemaRefs>
    <ds:schemaRef ds:uri="http://schemas.microsoft.com/office/2006/metadata/longProperties"/>
  </ds:schemaRefs>
</ds:datastoreItem>
</file>

<file path=customXml/itemProps3.xml><?xml version="1.0" encoding="utf-8"?>
<ds:datastoreItem xmlns:ds="http://schemas.openxmlformats.org/officeDocument/2006/customXml" ds:itemID="{A2A9CCBC-3969-44DE-8B09-75804EB79E1B}">
  <ds:schemaRefs>
    <ds:schemaRef ds:uri="http://schemas.microsoft.com/sharepoint/v3/contenttype/forms"/>
  </ds:schemaRefs>
</ds:datastoreItem>
</file>

<file path=customXml/itemProps4.xml><?xml version="1.0" encoding="utf-8"?>
<ds:datastoreItem xmlns:ds="http://schemas.openxmlformats.org/officeDocument/2006/customXml" ds:itemID="{01D31F74-2756-48BC-A9EE-C7B21F3D12EB}">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Stage 1: Initial policy review</vt:lpstr>
    </vt:vector>
  </TitlesOfParts>
  <Company>Finance</Company>
  <LinksUpToDate>false</LinksUpToDate>
  <CharactersWithSpaces>19672</CharactersWithSpaces>
  <SharedDoc>false</SharedDoc>
  <HLinks>
    <vt:vector size="96" baseType="variant">
      <vt:variant>
        <vt:i4>1507392</vt:i4>
      </vt:variant>
      <vt:variant>
        <vt:i4>45</vt:i4>
      </vt:variant>
      <vt:variant>
        <vt:i4>0</vt:i4>
      </vt:variant>
      <vt:variant>
        <vt:i4>5</vt:i4>
      </vt:variant>
      <vt:variant>
        <vt:lpwstr>http://www.finance.gov.au/obpr/index.html</vt:lpwstr>
      </vt:variant>
      <vt:variant>
        <vt:lpwstr/>
      </vt:variant>
      <vt:variant>
        <vt:i4>5242885</vt:i4>
      </vt:variant>
      <vt:variant>
        <vt:i4>42</vt:i4>
      </vt:variant>
      <vt:variant>
        <vt:i4>0</vt:i4>
      </vt:variant>
      <vt:variant>
        <vt:i4>5</vt:i4>
      </vt:variant>
      <vt:variant>
        <vt:lpwstr>http://www.finance.gov.au/financial-framework/financial-management-policy-guidance/cost-recovery.html</vt:lpwstr>
      </vt:variant>
      <vt:variant>
        <vt:lpwstr/>
      </vt:variant>
      <vt:variant>
        <vt:i4>7340129</vt:i4>
      </vt:variant>
      <vt:variant>
        <vt:i4>39</vt:i4>
      </vt:variant>
      <vt:variant>
        <vt:i4>0</vt:i4>
      </vt:variant>
      <vt:variant>
        <vt:i4>5</vt:i4>
      </vt:variant>
      <vt:variant>
        <vt:lpwstr/>
      </vt:variant>
      <vt:variant>
        <vt:lpwstr>CRlinks</vt:lpwstr>
      </vt:variant>
      <vt:variant>
        <vt:i4>983065</vt:i4>
      </vt:variant>
      <vt:variant>
        <vt:i4>36</vt:i4>
      </vt:variant>
      <vt:variant>
        <vt:i4>0</vt:i4>
      </vt:variant>
      <vt:variant>
        <vt:i4>5</vt:i4>
      </vt:variant>
      <vt:variant>
        <vt:lpwstr/>
      </vt:variant>
      <vt:variant>
        <vt:lpwstr>certification</vt:lpwstr>
      </vt:variant>
      <vt:variant>
        <vt:i4>8061025</vt:i4>
      </vt:variant>
      <vt:variant>
        <vt:i4>33</vt:i4>
      </vt:variant>
      <vt:variant>
        <vt:i4>0</vt:i4>
      </vt:variant>
      <vt:variant>
        <vt:i4>5</vt:i4>
      </vt:variant>
      <vt:variant>
        <vt:lpwstr/>
      </vt:variant>
      <vt:variant>
        <vt:lpwstr>review</vt:lpwstr>
      </vt:variant>
      <vt:variant>
        <vt:i4>8257660</vt:i4>
      </vt:variant>
      <vt:variant>
        <vt:i4>30</vt:i4>
      </vt:variant>
      <vt:variant>
        <vt:i4>0</vt:i4>
      </vt:variant>
      <vt:variant>
        <vt:i4>5</vt:i4>
      </vt:variant>
      <vt:variant>
        <vt:lpwstr/>
      </vt:variant>
      <vt:variant>
        <vt:lpwstr>stakeholder</vt:lpwstr>
      </vt:variant>
      <vt:variant>
        <vt:i4>6750315</vt:i4>
      </vt:variant>
      <vt:variant>
        <vt:i4>27</vt:i4>
      </vt:variant>
      <vt:variant>
        <vt:i4>0</vt:i4>
      </vt:variant>
      <vt:variant>
        <vt:i4>5</vt:i4>
      </vt:variant>
      <vt:variant>
        <vt:lpwstr/>
      </vt:variant>
      <vt:variant>
        <vt:lpwstr>monitoring</vt:lpwstr>
      </vt:variant>
      <vt:variant>
        <vt:i4>262150</vt:i4>
      </vt:variant>
      <vt:variant>
        <vt:i4>24</vt:i4>
      </vt:variant>
      <vt:variant>
        <vt:i4>0</vt:i4>
      </vt:variant>
      <vt:variant>
        <vt:i4>5</vt:i4>
      </vt:variant>
      <vt:variant>
        <vt:lpwstr/>
      </vt:variant>
      <vt:variant>
        <vt:lpwstr>ongoingmonitoring</vt:lpwstr>
      </vt:variant>
      <vt:variant>
        <vt:i4>1703942</vt:i4>
      </vt:variant>
      <vt:variant>
        <vt:i4>21</vt:i4>
      </vt:variant>
      <vt:variant>
        <vt:i4>0</vt:i4>
      </vt:variant>
      <vt:variant>
        <vt:i4>5</vt:i4>
      </vt:variant>
      <vt:variant>
        <vt:lpwstr/>
      </vt:variant>
      <vt:variant>
        <vt:lpwstr>legalrequirements</vt:lpwstr>
      </vt:variant>
      <vt:variant>
        <vt:i4>7077987</vt:i4>
      </vt:variant>
      <vt:variant>
        <vt:i4>18</vt:i4>
      </vt:variant>
      <vt:variant>
        <vt:i4>0</vt:i4>
      </vt:variant>
      <vt:variant>
        <vt:i4>5</vt:i4>
      </vt:variant>
      <vt:variant>
        <vt:lpwstr/>
      </vt:variant>
      <vt:variant>
        <vt:lpwstr>basisorcharging</vt:lpwstr>
      </vt:variant>
      <vt:variant>
        <vt:i4>7995519</vt:i4>
      </vt:variant>
      <vt:variant>
        <vt:i4>15</vt:i4>
      </vt:variant>
      <vt:variant>
        <vt:i4>0</vt:i4>
      </vt:variant>
      <vt:variant>
        <vt:i4>5</vt:i4>
      </vt:variant>
      <vt:variant>
        <vt:lpwstr/>
      </vt:variant>
      <vt:variant>
        <vt:lpwstr>designandimplementation</vt:lpwstr>
      </vt:variant>
      <vt:variant>
        <vt:i4>262174</vt:i4>
      </vt:variant>
      <vt:variant>
        <vt:i4>12</vt:i4>
      </vt:variant>
      <vt:variant>
        <vt:i4>0</vt:i4>
      </vt:variant>
      <vt:variant>
        <vt:i4>5</vt:i4>
      </vt:variant>
      <vt:variant>
        <vt:lpwstr/>
      </vt:variant>
      <vt:variant>
        <vt:lpwstr>policyreview</vt:lpwstr>
      </vt:variant>
      <vt:variant>
        <vt:i4>1900564</vt:i4>
      </vt:variant>
      <vt:variant>
        <vt:i4>9</vt:i4>
      </vt:variant>
      <vt:variant>
        <vt:i4>0</vt:i4>
      </vt:variant>
      <vt:variant>
        <vt:i4>5</vt:i4>
      </vt:variant>
      <vt:variant>
        <vt:lpwstr/>
      </vt:variant>
      <vt:variant>
        <vt:lpwstr>austrcrpolicy</vt:lpwstr>
      </vt:variant>
      <vt:variant>
        <vt:i4>6881383</vt:i4>
      </vt:variant>
      <vt:variant>
        <vt:i4>6</vt:i4>
      </vt:variant>
      <vt:variant>
        <vt:i4>0</vt:i4>
      </vt:variant>
      <vt:variant>
        <vt:i4>5</vt:i4>
      </vt:variant>
      <vt:variant>
        <vt:lpwstr/>
      </vt:variant>
      <vt:variant>
        <vt:lpwstr>background</vt:lpwstr>
      </vt:variant>
      <vt:variant>
        <vt:i4>7733357</vt:i4>
      </vt:variant>
      <vt:variant>
        <vt:i4>3</vt:i4>
      </vt:variant>
      <vt:variant>
        <vt:i4>0</vt:i4>
      </vt:variant>
      <vt:variant>
        <vt:i4>5</vt:i4>
      </vt:variant>
      <vt:variant>
        <vt:lpwstr/>
      </vt:variant>
      <vt:variant>
        <vt:lpwstr>purpose</vt:lpwstr>
      </vt:variant>
      <vt:variant>
        <vt:i4>1703961</vt:i4>
      </vt:variant>
      <vt:variant>
        <vt:i4>0</vt:i4>
      </vt:variant>
      <vt:variant>
        <vt:i4>0</vt:i4>
      </vt:variant>
      <vt:variant>
        <vt:i4>5</vt:i4>
      </vt:variant>
      <vt:variant>
        <vt:lpwstr/>
      </vt:variant>
      <vt:variant>
        <vt:lpwstr>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Initial policy review</dc:title>
  <dc:subject/>
  <dc:creator>saddon</dc:creator>
  <cp:keywords/>
  <cp:lastModifiedBy>Driessen, Catherine</cp:lastModifiedBy>
  <cp:revision>2</cp:revision>
  <cp:lastPrinted>2009-06-09T02:38:00Z</cp:lastPrinted>
  <dcterms:created xsi:type="dcterms:W3CDTF">2019-08-11T23:05:00Z</dcterms:created>
  <dcterms:modified xsi:type="dcterms:W3CDTF">2019-08-11T23:05:00Z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StyleDefinitions">
    <vt:lpwstr/>
  </property>
  <property fmtid="{D5CDD505-2E9C-101B-9397-08002B2CF9AE}" pid="3" name="xd_Signature">
    <vt:lpwstr/>
  </property>
  <property fmtid="{D5CDD505-2E9C-101B-9397-08002B2CF9AE}" pid="4" name="Order">
    <vt:lpwstr>9500.00000000000</vt:lpwstr>
  </property>
  <property fmtid="{D5CDD505-2E9C-101B-9397-08002B2CF9AE}" pid="5" name="TemplateUrl">
    <vt:lpwstr/>
  </property>
  <property fmtid="{D5CDD505-2E9C-101B-9397-08002B2CF9AE}" pid="6" name="xd_ProgID">
    <vt:lpwstr/>
  </property>
  <property fmtid="{D5CDD505-2E9C-101B-9397-08002B2CF9AE}" pid="7" name="ContentTypeId">
    <vt:lpwstr>0x01010002D0A0DBDCCCF841AC554D123C20DA0B</vt:lpwstr>
  </property>
  <property fmtid="{D5CDD505-2E9C-101B-9397-08002B2CF9AE}" pid="8" name="_SourceUrl">
    <vt:lpwstr/>
  </property>
  <property fmtid="{D5CDD505-2E9C-101B-9397-08002B2CF9AE}" pid="9" name="_SharedFileIndex">
    <vt:lpwstr/>
  </property>
  <property fmtid="{D5CDD505-2E9C-101B-9397-08002B2CF9AE}" pid="10" name="PublishingContact">
    <vt:lpwstr/>
  </property>
  <property fmtid="{D5CDD505-2E9C-101B-9397-08002B2CF9AE}" pid="11" name="PublishingPageContent">
    <vt:lpwstr/>
  </property>
  <property fmtid="{D5CDD505-2E9C-101B-9397-08002B2CF9AE}" pid="12" name="display_urn:schemas-microsoft-com:office:office#Editor">
    <vt:lpwstr>Lechmere, Karina</vt:lpwstr>
  </property>
  <property fmtid="{D5CDD505-2E9C-101B-9397-08002B2CF9AE}" pid="13" name="ArticleStartDate">
    <vt:lpwstr/>
  </property>
  <property fmtid="{D5CDD505-2E9C-101B-9397-08002B2CF9AE}" pid="14" name="PublishingRollupImage">
    <vt:lpwstr/>
  </property>
  <property fmtid="{D5CDD505-2E9C-101B-9397-08002B2CF9AE}" pid="15" name="Audience">
    <vt:lpwstr/>
  </property>
  <property fmtid="{D5CDD505-2E9C-101B-9397-08002B2CF9AE}" pid="16" name="PublishingContactPicture">
    <vt:lpwstr/>
  </property>
  <property fmtid="{D5CDD505-2E9C-101B-9397-08002B2CF9AE}" pid="17" name="PublishingVariationGroupID">
    <vt:lpwstr/>
  </property>
  <property fmtid="{D5CDD505-2E9C-101B-9397-08002B2CF9AE}" pid="18" name="display_urn:schemas-microsoft-com:office:office#Author">
    <vt:lpwstr>Lechmere, Karina</vt:lpwstr>
  </property>
  <property fmtid="{D5CDD505-2E9C-101B-9397-08002B2CF9AE}" pid="19" name="ArticleByLine">
    <vt:lpwstr/>
  </property>
  <property fmtid="{D5CDD505-2E9C-101B-9397-08002B2CF9AE}" pid="20" name="PublishingImageCaption">
    <vt:lpwstr/>
  </property>
  <property fmtid="{D5CDD505-2E9C-101B-9397-08002B2CF9AE}" pid="21" name="Classification Page Audience">
    <vt:lpwstr/>
  </property>
  <property fmtid="{D5CDD505-2E9C-101B-9397-08002B2CF9AE}" pid="22" name="Classification Journey Group">
    <vt:lpwstr/>
  </property>
  <property fmtid="{D5CDD505-2E9C-101B-9397-08002B2CF9AE}" pid="23" name="PublishingVariationRelationshipLinkFieldID">
    <vt:lpwstr/>
  </property>
  <property fmtid="{D5CDD505-2E9C-101B-9397-08002B2CF9AE}" pid="24" name="PublishingContactName">
    <vt:lpwstr/>
  </property>
  <property fmtid="{D5CDD505-2E9C-101B-9397-08002B2CF9AE}" pid="25" name="PublishingContactEmail">
    <vt:lpwstr/>
  </property>
  <property fmtid="{D5CDD505-2E9C-101B-9397-08002B2CF9AE}" pid="26" name="Comments">
    <vt:lpwstr/>
  </property>
  <property fmtid="{D5CDD505-2E9C-101B-9397-08002B2CF9AE}" pid="27" name="PublishingPageLayout">
    <vt:lpwstr/>
  </property>
  <property fmtid="{D5CDD505-2E9C-101B-9397-08002B2CF9AE}" pid="28" name="PublishingPageImage">
    <vt:lpwstr/>
  </property>
  <property fmtid="{D5CDD505-2E9C-101B-9397-08002B2CF9AE}" pid="29" name="SummaryLinks">
    <vt:lpwstr/>
  </property>
</Properties>
</file>