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F02" w:rsidRDefault="00AE4F02" w:rsidP="00D5394A">
      <w:pPr>
        <w:ind w:left="-1418"/>
      </w:pPr>
      <w:bookmarkStart w:id="0" w:name="_GoBack"/>
      <w:bookmarkEnd w:id="0"/>
    </w:p>
    <w:p w:rsidR="00D5394A" w:rsidRDefault="00AF751A" w:rsidP="00AF751A">
      <w:pPr>
        <w:jc w:val="center"/>
        <w:sectPr w:rsidR="00D5394A" w:rsidSect="00C21B3D">
          <w:footerReference w:type="default" r:id="rId11"/>
          <w:pgSz w:w="11906" w:h="16838"/>
          <w:pgMar w:top="22" w:right="1440" w:bottom="1440" w:left="1440" w:header="0" w:footer="567" w:gutter="0"/>
          <w:cols w:space="708"/>
          <w:docGrid w:linePitch="360"/>
        </w:sectPr>
      </w:pPr>
      <w:r w:rsidRPr="003C6433">
        <w:rPr>
          <w:noProof/>
          <w:lang w:eastAsia="en-AU"/>
        </w:rPr>
        <w:drawing>
          <wp:inline distT="0" distB="0" distL="0" distR="0" wp14:anchorId="5CECED8E" wp14:editId="5CECED8F">
            <wp:extent cx="1879600" cy="1301750"/>
            <wp:effectExtent l="0" t="0" r="6350" b="0"/>
            <wp:docPr id="1" name="Picture 12" descr="Logo: Australian Government, Classification Board.&#10;&#10;Locked Bag 3, Haymarket NSW 1240&#10;Telephone 02 92897100&#10;www.classification.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79600" cy="1301750"/>
                    </a:xfrm>
                    <a:prstGeom prst="rect">
                      <a:avLst/>
                    </a:prstGeom>
                    <a:noFill/>
                    <a:ln>
                      <a:noFill/>
                    </a:ln>
                  </pic:spPr>
                </pic:pic>
              </a:graphicData>
            </a:graphic>
          </wp:inline>
        </w:drawing>
      </w:r>
    </w:p>
    <w:p w:rsidR="00586F82" w:rsidRPr="00B86F04" w:rsidRDefault="00B86F04" w:rsidP="00586F82">
      <w:pPr>
        <w:pStyle w:val="Heading1"/>
        <w:rPr>
          <w:i/>
        </w:rPr>
      </w:pPr>
      <w:r>
        <w:t xml:space="preserve">Media statement—classification history of the game </w:t>
      </w:r>
      <w:proofErr w:type="spellStart"/>
      <w:r>
        <w:rPr>
          <w:i/>
        </w:rPr>
        <w:t>Dayz</w:t>
      </w:r>
      <w:proofErr w:type="spellEnd"/>
    </w:p>
    <w:p w:rsidR="00586F82" w:rsidRDefault="00B86F04" w:rsidP="00586F82">
      <w:bookmarkStart w:id="1" w:name="_Toc471208850"/>
      <w:bookmarkStart w:id="2" w:name="_Toc475458950"/>
      <w:r>
        <w:t xml:space="preserve">13 August </w:t>
      </w:r>
      <w:r w:rsidR="00586F82">
        <w:t>2019</w:t>
      </w:r>
    </w:p>
    <w:bookmarkEnd w:id="1"/>
    <w:bookmarkEnd w:id="2"/>
    <w:p w:rsidR="00B86F04" w:rsidRDefault="00B86F04" w:rsidP="00B86F04">
      <w:pPr>
        <w:rPr>
          <w:color w:val="000000"/>
        </w:rPr>
      </w:pPr>
      <w:proofErr w:type="spellStart"/>
      <w:r>
        <w:rPr>
          <w:i/>
          <w:color w:val="000000"/>
        </w:rPr>
        <w:t>Dayz</w:t>
      </w:r>
      <w:proofErr w:type="spellEnd"/>
      <w:r w:rsidRPr="00621CD1">
        <w:rPr>
          <w:color w:val="000000"/>
        </w:rPr>
        <w:t xml:space="preserve"> is a </w:t>
      </w:r>
      <w:r w:rsidRPr="006848B9">
        <w:rPr>
          <w:color w:val="000000"/>
        </w:rPr>
        <w:t xml:space="preserve">survival computer game set in the fictional post-Soviet Republic of </w:t>
      </w:r>
      <w:proofErr w:type="spellStart"/>
      <w:r w:rsidRPr="006848B9">
        <w:rPr>
          <w:color w:val="000000"/>
        </w:rPr>
        <w:t>Chernarus</w:t>
      </w:r>
      <w:proofErr w:type="spellEnd"/>
      <w:r w:rsidRPr="006848B9">
        <w:rPr>
          <w:color w:val="000000"/>
        </w:rPr>
        <w:t>, where a mysterious plague has turned most of the population into zombies. The game is set in 1st and 3rd person where, as a survivor, the player must scavenge the land for food, water, weapons and medicine while ki</w:t>
      </w:r>
      <w:r>
        <w:rPr>
          <w:color w:val="000000"/>
        </w:rPr>
        <w:t>lling or avoiding the “infected</w:t>
      </w:r>
      <w:r w:rsidRPr="006848B9">
        <w:rPr>
          <w:color w:val="000000"/>
        </w:rPr>
        <w:t>”</w:t>
      </w:r>
      <w:r>
        <w:rPr>
          <w:color w:val="000000"/>
        </w:rPr>
        <w:t>.</w:t>
      </w:r>
    </w:p>
    <w:p w:rsidR="00B86F04" w:rsidRDefault="00B86F04" w:rsidP="00B86F04">
      <w:pPr>
        <w:rPr>
          <w:color w:val="000000"/>
        </w:rPr>
      </w:pPr>
      <w:proofErr w:type="spellStart"/>
      <w:r w:rsidRPr="00D9509C">
        <w:rPr>
          <w:i/>
          <w:color w:val="000000"/>
        </w:rPr>
        <w:t>Dayz</w:t>
      </w:r>
      <w:proofErr w:type="spellEnd"/>
      <w:r w:rsidRPr="00D9509C">
        <w:rPr>
          <w:i/>
          <w:color w:val="000000"/>
        </w:rPr>
        <w:t xml:space="preserve"> </w:t>
      </w:r>
      <w:r>
        <w:rPr>
          <w:color w:val="000000"/>
        </w:rPr>
        <w:t>was initially put through the IARC (International Age Rating Coalition) Tool (the IARC Tool).</w:t>
      </w:r>
      <w:r w:rsidR="00345377">
        <w:rPr>
          <w:color w:val="000000"/>
        </w:rPr>
        <w:t xml:space="preserve"> </w:t>
      </w:r>
      <w:r>
        <w:rPr>
          <w:color w:val="000000"/>
        </w:rPr>
        <w:t>A computer game developer answers an online questionnaire and the IARC Tool generates a rating and consumer advice which is</w:t>
      </w:r>
      <w:r w:rsidRPr="003F5DA4">
        <w:rPr>
          <w:color w:val="000000"/>
        </w:rPr>
        <w:t xml:space="preserve"> </w:t>
      </w:r>
      <w:r>
        <w:rPr>
          <w:color w:val="000000"/>
        </w:rPr>
        <w:t xml:space="preserve">consistent with current Australian classification guidelines. Based on the information provided by Bohemia Interactive in relation to drug use when completing the IARC questionnaire, the IARC Tool generated an MA 15+ classification with consumer advice of ‘Strong violence, online interactivity’ for the digital version of </w:t>
      </w:r>
      <w:proofErr w:type="spellStart"/>
      <w:r w:rsidRPr="00BE72EC">
        <w:rPr>
          <w:i/>
          <w:color w:val="000000"/>
        </w:rPr>
        <w:t>Dayz</w:t>
      </w:r>
      <w:proofErr w:type="spellEnd"/>
      <w:r>
        <w:rPr>
          <w:color w:val="000000"/>
        </w:rPr>
        <w:t>.</w:t>
      </w:r>
      <w:r w:rsidRPr="00D72604">
        <w:rPr>
          <w:color w:val="000000"/>
        </w:rPr>
        <w:t xml:space="preserve"> </w:t>
      </w:r>
      <w:r>
        <w:rPr>
          <w:color w:val="000000"/>
        </w:rPr>
        <w:t>The IARC Tool produces classifications for digitally delivered games for Australia.</w:t>
      </w:r>
    </w:p>
    <w:p w:rsidR="00B86F04" w:rsidRDefault="00B86F04" w:rsidP="00B86F04">
      <w:pPr>
        <w:rPr>
          <w:color w:val="000000"/>
        </w:rPr>
      </w:pPr>
      <w:r>
        <w:rPr>
          <w:color w:val="000000"/>
        </w:rPr>
        <w:t>When Five Star Games Pty Ltd applied to the Classification Board for a classification for an upcoming PlayStation 4 release of the game in Australia, they advised that drug use in the game included cannabis. The a</w:t>
      </w:r>
      <w:r w:rsidRPr="0065344C">
        <w:rPr>
          <w:color w:val="000000"/>
        </w:rPr>
        <w:t xml:space="preserve">im of </w:t>
      </w:r>
      <w:proofErr w:type="spellStart"/>
      <w:r w:rsidRPr="0065344C">
        <w:rPr>
          <w:i/>
          <w:color w:val="000000"/>
        </w:rPr>
        <w:t>Dayz</w:t>
      </w:r>
      <w:proofErr w:type="spellEnd"/>
      <w:r w:rsidRPr="0065344C">
        <w:rPr>
          <w:color w:val="000000"/>
        </w:rPr>
        <w:t xml:space="preserve"> is to stay alive and healthy during the conditions of the outbreak</w:t>
      </w:r>
      <w:r>
        <w:rPr>
          <w:color w:val="000000"/>
        </w:rPr>
        <w:t xml:space="preserve"> and the </w:t>
      </w:r>
      <w:r w:rsidRPr="0065344C">
        <w:rPr>
          <w:color w:val="000000"/>
        </w:rPr>
        <w:t>player’s health i</w:t>
      </w:r>
      <w:r>
        <w:rPr>
          <w:color w:val="000000"/>
        </w:rPr>
        <w:t xml:space="preserve">s measured by vital statistics. </w:t>
      </w:r>
      <w:r w:rsidRPr="0065344C">
        <w:rPr>
          <w:color w:val="000000"/>
        </w:rPr>
        <w:t>Throughout general gameplay, the player is able to collect and use a variety of equipment, supplies and weaponry</w:t>
      </w:r>
      <w:r>
        <w:rPr>
          <w:color w:val="000000"/>
        </w:rPr>
        <w:t xml:space="preserve">, with one option </w:t>
      </w:r>
      <w:r w:rsidRPr="0065344C">
        <w:rPr>
          <w:color w:val="000000"/>
        </w:rPr>
        <w:t xml:space="preserve">to restore the player’s health </w:t>
      </w:r>
      <w:r>
        <w:rPr>
          <w:color w:val="000000"/>
        </w:rPr>
        <w:t xml:space="preserve">being </w:t>
      </w:r>
      <w:r w:rsidRPr="0065344C">
        <w:rPr>
          <w:color w:val="000000"/>
        </w:rPr>
        <w:t>a marijuana joint, labelled “cannabis,” which is denoted by a cannabis bud in the player’s inventory. The player is able to select and use it when their vital statistics are low. When the player smokes the cannabis, their vital statistics of food and water increase and their temperature decreases. Therefore, in the opinion</w:t>
      </w:r>
      <w:r>
        <w:rPr>
          <w:color w:val="000000"/>
        </w:rPr>
        <w:t xml:space="preserve"> of the Classification Board</w:t>
      </w:r>
      <w:r w:rsidRPr="0065344C">
        <w:rPr>
          <w:color w:val="000000"/>
        </w:rPr>
        <w:t>, cannabis use durin</w:t>
      </w:r>
      <w:r>
        <w:rPr>
          <w:color w:val="000000"/>
        </w:rPr>
        <w:t xml:space="preserve">g the game acts as an incentive or </w:t>
      </w:r>
      <w:r w:rsidRPr="0065344C">
        <w:rPr>
          <w:color w:val="000000"/>
        </w:rPr>
        <w:t>reward to boost overall health an</w:t>
      </w:r>
      <w:r>
        <w:rPr>
          <w:color w:val="000000"/>
        </w:rPr>
        <w:t xml:space="preserve">d survivability. The Board noted that there was </w:t>
      </w:r>
      <w:r w:rsidRPr="0065344C">
        <w:rPr>
          <w:color w:val="000000"/>
        </w:rPr>
        <w:t>no instance of intoxication resulting from this drug use depicted within the game.</w:t>
      </w:r>
    </w:p>
    <w:p w:rsidR="00B86F04" w:rsidRDefault="00B86F04" w:rsidP="00B86F04">
      <w:pPr>
        <w:rPr>
          <w:color w:val="000000"/>
        </w:rPr>
      </w:pPr>
      <w:r w:rsidRPr="0065344C">
        <w:rPr>
          <w:color w:val="000000"/>
        </w:rPr>
        <w:t xml:space="preserve">The </w:t>
      </w:r>
      <w:r w:rsidRPr="0065344C">
        <w:rPr>
          <w:i/>
          <w:color w:val="000000"/>
        </w:rPr>
        <w:t>Guidelines for the Classification of Computer Games 2012</w:t>
      </w:r>
      <w:r w:rsidRPr="0065344C">
        <w:rPr>
          <w:color w:val="000000"/>
        </w:rPr>
        <w:t xml:space="preserve"> (the Games Guidelines)</w:t>
      </w:r>
      <w:r>
        <w:rPr>
          <w:color w:val="000000"/>
        </w:rPr>
        <w:t xml:space="preserve"> state </w:t>
      </w:r>
      <w:r w:rsidRPr="006C449E">
        <w:rPr>
          <w:color w:val="000000"/>
        </w:rPr>
        <w:t>“</w:t>
      </w:r>
      <w:r w:rsidRPr="006C449E">
        <w:rPr>
          <w:i/>
          <w:color w:val="000000"/>
        </w:rPr>
        <w:t xml:space="preserve">interactive illicit or proscribed drug use is </w:t>
      </w:r>
      <w:r w:rsidRPr="006C449E">
        <w:rPr>
          <w:b/>
          <w:i/>
          <w:color w:val="000000"/>
        </w:rPr>
        <w:t>not</w:t>
      </w:r>
      <w:r w:rsidRPr="006C449E">
        <w:rPr>
          <w:i/>
          <w:color w:val="000000"/>
        </w:rPr>
        <w:t xml:space="preserve"> permitted</w:t>
      </w:r>
      <w:r w:rsidRPr="006C449E">
        <w:rPr>
          <w:color w:val="000000"/>
        </w:rPr>
        <w:t>” within the G, PG, M or MA 15+ classification. The Guidelines further state, “</w:t>
      </w:r>
      <w:r w:rsidRPr="006C449E">
        <w:rPr>
          <w:i/>
          <w:color w:val="000000"/>
        </w:rPr>
        <w:t>drug use is permitted</w:t>
      </w:r>
      <w:r w:rsidRPr="006C449E">
        <w:rPr>
          <w:color w:val="000000"/>
        </w:rPr>
        <w:t xml:space="preserve">” within the R 18+ classification, </w:t>
      </w:r>
      <w:r w:rsidRPr="006C449E">
        <w:rPr>
          <w:b/>
          <w:color w:val="000000"/>
        </w:rPr>
        <w:t>provided</w:t>
      </w:r>
      <w:r w:rsidRPr="006C449E">
        <w:rPr>
          <w:color w:val="000000"/>
        </w:rPr>
        <w:t xml:space="preserve"> any “</w:t>
      </w:r>
      <w:r w:rsidRPr="006C449E">
        <w:rPr>
          <w:i/>
          <w:color w:val="000000"/>
        </w:rPr>
        <w:t>interactive illicit or proscribed drug use</w:t>
      </w:r>
      <w:r w:rsidRPr="006C449E">
        <w:rPr>
          <w:color w:val="000000"/>
        </w:rPr>
        <w:t xml:space="preserve">” is </w:t>
      </w:r>
      <w:r w:rsidRPr="006C449E">
        <w:rPr>
          <w:b/>
          <w:color w:val="000000"/>
        </w:rPr>
        <w:t>not</w:t>
      </w:r>
      <w:r w:rsidRPr="006C449E">
        <w:rPr>
          <w:color w:val="000000"/>
        </w:rPr>
        <w:t xml:space="preserve"> “</w:t>
      </w:r>
      <w:r w:rsidRPr="006C449E">
        <w:rPr>
          <w:i/>
          <w:color w:val="000000"/>
        </w:rPr>
        <w:t>detailed or realistic</w:t>
      </w:r>
      <w:r>
        <w:rPr>
          <w:color w:val="000000"/>
        </w:rPr>
        <w:t xml:space="preserve">”. </w:t>
      </w:r>
      <w:r w:rsidRPr="006C449E">
        <w:rPr>
          <w:color w:val="000000"/>
        </w:rPr>
        <w:t xml:space="preserve">Pursuant to the </w:t>
      </w:r>
      <w:r>
        <w:rPr>
          <w:color w:val="000000"/>
        </w:rPr>
        <w:t xml:space="preserve">Games </w:t>
      </w:r>
      <w:r w:rsidRPr="006C449E">
        <w:rPr>
          <w:color w:val="000000"/>
        </w:rPr>
        <w:t xml:space="preserve">Guidelines, “drug use related to incentives and rewards is </w:t>
      </w:r>
      <w:r w:rsidRPr="006C449E">
        <w:rPr>
          <w:b/>
          <w:color w:val="000000"/>
        </w:rPr>
        <w:t>not</w:t>
      </w:r>
      <w:r w:rsidRPr="006C449E">
        <w:rPr>
          <w:color w:val="000000"/>
        </w:rPr>
        <w:t xml:space="preserve"> permitted” at </w:t>
      </w:r>
      <w:r w:rsidRPr="00B13FC3">
        <w:rPr>
          <w:i/>
          <w:color w:val="000000"/>
        </w:rPr>
        <w:t>any</w:t>
      </w:r>
      <w:r w:rsidRPr="006C449E">
        <w:rPr>
          <w:color w:val="000000"/>
        </w:rPr>
        <w:t xml:space="preserve"> classification level.</w:t>
      </w:r>
    </w:p>
    <w:p w:rsidR="00B86F04" w:rsidRDefault="00B86F04" w:rsidP="00B86F04">
      <w:pPr>
        <w:rPr>
          <w:color w:val="000000"/>
        </w:rPr>
      </w:pPr>
      <w:r>
        <w:rPr>
          <w:color w:val="000000"/>
        </w:rPr>
        <w:t xml:space="preserve">Accordingly, on 4 June 2019, the Classification Board had to </w:t>
      </w:r>
      <w:r w:rsidRPr="00720364">
        <w:rPr>
          <w:color w:val="000000"/>
        </w:rPr>
        <w:t>classif</w:t>
      </w:r>
      <w:r>
        <w:rPr>
          <w:color w:val="000000"/>
        </w:rPr>
        <w:t>y the computer game,</w:t>
      </w:r>
      <w:r w:rsidRPr="00720364">
        <w:rPr>
          <w:i/>
          <w:color w:val="000000"/>
        </w:rPr>
        <w:t xml:space="preserve"> </w:t>
      </w:r>
      <w:proofErr w:type="spellStart"/>
      <w:r>
        <w:rPr>
          <w:i/>
          <w:color w:val="000000"/>
        </w:rPr>
        <w:t>Dayz</w:t>
      </w:r>
      <w:proofErr w:type="spellEnd"/>
      <w:r>
        <w:rPr>
          <w:i/>
          <w:color w:val="000000"/>
        </w:rPr>
        <w:t>,</w:t>
      </w:r>
      <w:r w:rsidRPr="00720364">
        <w:rPr>
          <w:i/>
          <w:color w:val="000000"/>
        </w:rPr>
        <w:t xml:space="preserve"> </w:t>
      </w:r>
      <w:r>
        <w:rPr>
          <w:b/>
          <w:color w:val="000000"/>
        </w:rPr>
        <w:t>RC</w:t>
      </w:r>
      <w:r w:rsidRPr="00720364">
        <w:rPr>
          <w:color w:val="000000"/>
        </w:rPr>
        <w:t xml:space="preserve"> </w:t>
      </w:r>
      <w:r w:rsidRPr="00720364">
        <w:rPr>
          <w:b/>
          <w:color w:val="000000"/>
        </w:rPr>
        <w:t>(</w:t>
      </w:r>
      <w:r>
        <w:rPr>
          <w:b/>
          <w:color w:val="000000"/>
        </w:rPr>
        <w:t>Refused Classification</w:t>
      </w:r>
      <w:r w:rsidRPr="00720364">
        <w:rPr>
          <w:b/>
          <w:color w:val="000000"/>
        </w:rPr>
        <w:t>)</w:t>
      </w:r>
      <w:r w:rsidRPr="00720364">
        <w:rPr>
          <w:color w:val="000000"/>
        </w:rPr>
        <w:t>.</w:t>
      </w:r>
      <w:r w:rsidR="00345377">
        <w:rPr>
          <w:color w:val="000000"/>
        </w:rPr>
        <w:t xml:space="preserve"> </w:t>
      </w:r>
      <w:r>
        <w:rPr>
          <w:color w:val="000000"/>
        </w:rPr>
        <w:t xml:space="preserve">The RC category </w:t>
      </w:r>
      <w:r w:rsidRPr="00FD09A8">
        <w:rPr>
          <w:color w:val="000000"/>
        </w:rPr>
        <w:t>is commonly referred to as being ‘banned’.</w:t>
      </w:r>
      <w:r>
        <w:rPr>
          <w:color w:val="000000"/>
        </w:rPr>
        <w:t xml:space="preserve"> This means that the game cannot be </w:t>
      </w:r>
      <w:r w:rsidRPr="00FD09A8">
        <w:rPr>
          <w:color w:val="000000"/>
        </w:rPr>
        <w:t>sold, hired, advertised</w:t>
      </w:r>
      <w:r>
        <w:rPr>
          <w:color w:val="000000"/>
        </w:rPr>
        <w:t>,</w:t>
      </w:r>
      <w:r w:rsidRPr="00FD09A8">
        <w:rPr>
          <w:color w:val="000000"/>
        </w:rPr>
        <w:t xml:space="preserve"> or legally imported in</w:t>
      </w:r>
      <w:r>
        <w:rPr>
          <w:color w:val="000000"/>
        </w:rPr>
        <w:t>to</w:t>
      </w:r>
      <w:r w:rsidRPr="00FD09A8">
        <w:rPr>
          <w:color w:val="000000"/>
        </w:rPr>
        <w:t xml:space="preserve"> Australia.</w:t>
      </w:r>
      <w:r w:rsidR="00345377">
        <w:rPr>
          <w:color w:val="000000"/>
        </w:rPr>
        <w:t xml:space="preserve"> </w:t>
      </w:r>
      <w:r>
        <w:rPr>
          <w:color w:val="000000"/>
        </w:rPr>
        <w:t xml:space="preserve">The IARC Tool classification has been updated </w:t>
      </w:r>
      <w:r w:rsidR="00710E56">
        <w:rPr>
          <w:color w:val="000000"/>
        </w:rPr>
        <w:t>to RC (Refused Classification).</w:t>
      </w:r>
    </w:p>
    <w:p w:rsidR="00B86F04" w:rsidRDefault="00B86F04" w:rsidP="00B86F04">
      <w:pPr>
        <w:rPr>
          <w:color w:val="000000"/>
        </w:rPr>
      </w:pPr>
      <w:r>
        <w:rPr>
          <w:color w:val="000000"/>
        </w:rPr>
        <w:t>The Board noted</w:t>
      </w:r>
      <w:r w:rsidRPr="006C449E">
        <w:rPr>
          <w:color w:val="000000"/>
        </w:rPr>
        <w:t xml:space="preserve"> that </w:t>
      </w:r>
      <w:r w:rsidRPr="006C449E">
        <w:rPr>
          <w:i/>
          <w:color w:val="000000"/>
        </w:rPr>
        <w:t>if</w:t>
      </w:r>
      <w:r w:rsidRPr="006C449E">
        <w:rPr>
          <w:color w:val="000000"/>
        </w:rPr>
        <w:t xml:space="preserve"> the use of cannabis within the context of this game did </w:t>
      </w:r>
      <w:r w:rsidRPr="006C449E">
        <w:rPr>
          <w:i/>
          <w:color w:val="000000"/>
        </w:rPr>
        <w:t>not</w:t>
      </w:r>
      <w:r w:rsidRPr="006C449E">
        <w:rPr>
          <w:color w:val="000000"/>
        </w:rPr>
        <w:t xml:space="preserve"> act as an incentive or reward, its impact could </w:t>
      </w:r>
      <w:r>
        <w:rPr>
          <w:color w:val="000000"/>
        </w:rPr>
        <w:t xml:space="preserve">have been </w:t>
      </w:r>
      <w:r w:rsidRPr="006C449E">
        <w:rPr>
          <w:color w:val="000000"/>
        </w:rPr>
        <w:t xml:space="preserve">accommodated within the R 18+ classification. </w:t>
      </w:r>
      <w:r w:rsidRPr="006C449E">
        <w:rPr>
          <w:color w:val="000000"/>
        </w:rPr>
        <w:lastRenderedPageBreak/>
        <w:t xml:space="preserve">Further, </w:t>
      </w:r>
      <w:r w:rsidRPr="001B4F8B">
        <w:rPr>
          <w:i/>
          <w:color w:val="000000"/>
        </w:rPr>
        <w:t>if</w:t>
      </w:r>
      <w:r w:rsidRPr="006C449E">
        <w:rPr>
          <w:color w:val="000000"/>
        </w:rPr>
        <w:t xml:space="preserve"> this instance of drug use was </w:t>
      </w:r>
      <w:r w:rsidRPr="001B4F8B">
        <w:rPr>
          <w:i/>
          <w:color w:val="000000"/>
        </w:rPr>
        <w:t>absent</w:t>
      </w:r>
      <w:r w:rsidRPr="006C449E">
        <w:rPr>
          <w:color w:val="000000"/>
        </w:rPr>
        <w:t xml:space="preserve"> from the game, </w:t>
      </w:r>
      <w:r>
        <w:rPr>
          <w:color w:val="000000"/>
        </w:rPr>
        <w:t xml:space="preserve">then </w:t>
      </w:r>
      <w:proofErr w:type="spellStart"/>
      <w:r w:rsidRPr="001B4F8B">
        <w:rPr>
          <w:i/>
          <w:color w:val="000000"/>
        </w:rPr>
        <w:t>Dayz</w:t>
      </w:r>
      <w:proofErr w:type="spellEnd"/>
      <w:r w:rsidRPr="006C449E">
        <w:rPr>
          <w:color w:val="000000"/>
        </w:rPr>
        <w:t xml:space="preserve"> would be able to be accommodated within</w:t>
      </w:r>
      <w:r>
        <w:rPr>
          <w:color w:val="000000"/>
        </w:rPr>
        <w:t xml:space="preserve"> the MA 15+ classification</w:t>
      </w:r>
      <w:r w:rsidRPr="006C449E">
        <w:rPr>
          <w:color w:val="000000"/>
        </w:rPr>
        <w:t>.</w:t>
      </w:r>
    </w:p>
    <w:p w:rsidR="00B86F04" w:rsidRDefault="00B86F04" w:rsidP="00B86F04">
      <w:pPr>
        <w:rPr>
          <w:szCs w:val="24"/>
        </w:rPr>
      </w:pPr>
      <w:r w:rsidRPr="00B13FC3">
        <w:rPr>
          <w:color w:val="000000"/>
        </w:rPr>
        <w:t>On 28 June 2019, the Council of Attorneys-General agreed that th</w:t>
      </w:r>
      <w:r>
        <w:rPr>
          <w:color w:val="000000"/>
        </w:rPr>
        <w:t>e Australian Government will co</w:t>
      </w:r>
      <w:r w:rsidRPr="00B13FC3">
        <w:rPr>
          <w:color w:val="000000"/>
        </w:rPr>
        <w:t xml:space="preserve">ordinate a public consultation process on reviewing the </w:t>
      </w:r>
      <w:r>
        <w:rPr>
          <w:color w:val="000000"/>
        </w:rPr>
        <w:t xml:space="preserve">Games </w:t>
      </w:r>
      <w:r w:rsidRPr="00B13FC3">
        <w:rPr>
          <w:color w:val="000000"/>
        </w:rPr>
        <w:t>Guidelines to ensure they reflect contemporary Australian community values.</w:t>
      </w:r>
      <w:r>
        <w:rPr>
          <w:color w:val="000000"/>
        </w:rPr>
        <w:t xml:space="preserve"> The review will be undertaken by the Department of Communications and the Arts.</w:t>
      </w:r>
    </w:p>
    <w:p w:rsidR="00B86F04" w:rsidRDefault="00B86F04" w:rsidP="00B86F04">
      <w:pPr>
        <w:spacing w:before="600" w:after="0"/>
        <w:rPr>
          <w:color w:val="000000"/>
        </w:rPr>
      </w:pPr>
      <w:r>
        <w:rPr>
          <w:szCs w:val="24"/>
        </w:rPr>
        <w:t>M</w:t>
      </w:r>
      <w:r w:rsidRPr="00115D50">
        <w:rPr>
          <w:szCs w:val="24"/>
        </w:rPr>
        <w:t>argaret Anderson</w:t>
      </w:r>
    </w:p>
    <w:p w:rsidR="00B86F04" w:rsidRPr="00115D50" w:rsidRDefault="00B86F04" w:rsidP="00B86F04">
      <w:pPr>
        <w:spacing w:after="0"/>
        <w:rPr>
          <w:color w:val="000000"/>
        </w:rPr>
      </w:pPr>
      <w:r w:rsidRPr="00115D50">
        <w:rPr>
          <w:szCs w:val="24"/>
        </w:rPr>
        <w:t>Director</w:t>
      </w:r>
    </w:p>
    <w:p w:rsidR="00B86F04" w:rsidRPr="00115D50" w:rsidRDefault="00B86F04" w:rsidP="00B86F04">
      <w:pPr>
        <w:spacing w:after="0"/>
        <w:rPr>
          <w:szCs w:val="24"/>
        </w:rPr>
      </w:pPr>
      <w:r w:rsidRPr="00115D50">
        <w:rPr>
          <w:szCs w:val="24"/>
        </w:rPr>
        <w:t>Classification Board</w:t>
      </w:r>
    </w:p>
    <w:sectPr w:rsidR="00B86F04" w:rsidRPr="00115D50" w:rsidSect="00B86F04">
      <w:headerReference w:type="default" r:id="rId13"/>
      <w:footerReference w:type="default" r:id="rId14"/>
      <w:type w:val="continuous"/>
      <w:pgSz w:w="11906" w:h="16838"/>
      <w:pgMar w:top="2694" w:right="1440" w:bottom="144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249" w:rsidRDefault="007F1249" w:rsidP="00D5394A">
      <w:pPr>
        <w:spacing w:after="0"/>
      </w:pPr>
      <w:r>
        <w:separator/>
      </w:r>
    </w:p>
  </w:endnote>
  <w:endnote w:type="continuationSeparator" w:id="0">
    <w:p w:rsidR="007F1249" w:rsidRDefault="007F1249" w:rsidP="00D53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322" w:rsidRDefault="00601322" w:rsidP="00C21B3D">
    <w:pPr>
      <w:pStyle w:val="Footer"/>
      <w:tabs>
        <w:tab w:val="left" w:pos="3119"/>
        <w:tab w:val="left" w:pos="5670"/>
      </w:tabs>
      <w:jc w:val="center"/>
    </w:pPr>
    <w:r w:rsidRPr="009257FA">
      <w:rPr>
        <w:sz w:val="18"/>
      </w:rPr>
      <w:t>Locked Bag 3, Haymarket NSW 1240</w:t>
    </w:r>
    <w:r>
      <w:rPr>
        <w:sz w:val="18"/>
      </w:rPr>
      <w:tab/>
    </w:r>
    <w:r w:rsidRPr="009257FA">
      <w:rPr>
        <w:sz w:val="18"/>
      </w:rPr>
      <w:t>Telephone 02 92897100</w:t>
    </w:r>
    <w:r>
      <w:rPr>
        <w:sz w:val="18"/>
      </w:rPr>
      <w:tab/>
    </w:r>
    <w:hyperlink r:id="rId1" w:history="1">
      <w:r w:rsidRPr="009257FA">
        <w:rPr>
          <w:rStyle w:val="Hyperlink"/>
          <w:sz w:val="18"/>
        </w:rPr>
        <w:t>www.classification.gov.au</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322" w:rsidRPr="00C21B3D" w:rsidRDefault="00C21B3D" w:rsidP="00C21B3D">
    <w:pPr>
      <w:pStyle w:val="Footer"/>
      <w:tabs>
        <w:tab w:val="left" w:pos="3119"/>
        <w:tab w:val="left" w:pos="5670"/>
      </w:tabs>
      <w:jc w:val="center"/>
      <w:rPr>
        <w:rStyle w:val="Hyperlink"/>
        <w:color w:val="auto"/>
        <w:sz w:val="18"/>
        <w:u w:val="none"/>
      </w:rPr>
    </w:pPr>
    <w:r w:rsidRPr="009257FA">
      <w:rPr>
        <w:sz w:val="18"/>
      </w:rPr>
      <w:t>Locked Bag 3, Haymarket NSW 1240</w:t>
    </w:r>
    <w:r>
      <w:rPr>
        <w:sz w:val="18"/>
      </w:rPr>
      <w:tab/>
    </w:r>
    <w:r w:rsidRPr="009257FA">
      <w:rPr>
        <w:sz w:val="18"/>
      </w:rPr>
      <w:t>Telephone 02 92897100</w:t>
    </w:r>
    <w:r>
      <w:rPr>
        <w:sz w:val="18"/>
      </w:rPr>
      <w:tab/>
    </w:r>
    <w:hyperlink r:id="rId1" w:history="1">
      <w:r w:rsidRPr="009257FA">
        <w:rPr>
          <w:rStyle w:val="Hyperlink"/>
          <w:sz w:val="18"/>
        </w:rPr>
        <w:t>www.classification.gov.au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249" w:rsidRDefault="007F1249" w:rsidP="00D5394A">
      <w:pPr>
        <w:spacing w:after="0"/>
      </w:pPr>
      <w:r>
        <w:separator/>
      </w:r>
    </w:p>
  </w:footnote>
  <w:footnote w:type="continuationSeparator" w:id="0">
    <w:p w:rsidR="007F1249" w:rsidRDefault="007F1249" w:rsidP="00D539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322" w:rsidRDefault="00601322" w:rsidP="00D5394A">
    <w:pPr>
      <w:pStyle w:val="Header"/>
      <w:ind w:left="-1418"/>
    </w:pPr>
    <w:r>
      <w:rPr>
        <w:noProof/>
        <w:lang w:eastAsia="en-AU"/>
      </w:rPr>
      <w:drawing>
        <wp:inline distT="0" distB="0" distL="0" distR="0" wp14:anchorId="5CECED9A" wp14:editId="5CECED9B">
          <wp:extent cx="7549815" cy="367665"/>
          <wp:effectExtent l="0" t="0" r="0" b="0"/>
          <wp:docPr id="8" name="Picture 8"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assification-header-band-no-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002" cy="368064"/>
                  </a:xfrm>
                  <a:prstGeom prst="rect">
                    <a:avLst/>
                  </a:prstGeom>
                </pic:spPr>
              </pic:pic>
            </a:graphicData>
          </a:graphic>
        </wp:inline>
      </w:drawing>
    </w:r>
  </w:p>
  <w:p w:rsidR="00601322" w:rsidRPr="00A96536" w:rsidRDefault="00601322" w:rsidP="00D5394A">
    <w:pPr>
      <w:pStyle w:val="Header"/>
      <w:tabs>
        <w:tab w:val="clear" w:pos="9026"/>
        <w:tab w:val="right" w:pos="9333"/>
      </w:tabs>
    </w:pPr>
    <w:r>
      <w:t>Classification Board</w:t>
    </w:r>
    <w:r w:rsidRPr="00A96536">
      <w:tab/>
    </w:r>
    <w:r w:rsidRPr="00A96536">
      <w:tab/>
    </w:r>
    <w:r w:rsidR="00B86F04">
      <w:t>13 August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F2D20"/>
    <w:multiLevelType w:val="hybridMultilevel"/>
    <w:tmpl w:val="1AC69F2C"/>
    <w:lvl w:ilvl="0" w:tplc="8DEAB1F2">
      <w:start w:val="1"/>
      <w:numFmt w:val="bullet"/>
      <w:pStyle w:val="Bullet"/>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F82"/>
    <w:rsid w:val="00022C06"/>
    <w:rsid w:val="001472FC"/>
    <w:rsid w:val="0025271A"/>
    <w:rsid w:val="00345377"/>
    <w:rsid w:val="00392BB1"/>
    <w:rsid w:val="003E6E7C"/>
    <w:rsid w:val="004A3220"/>
    <w:rsid w:val="00586F82"/>
    <w:rsid w:val="00600170"/>
    <w:rsid w:val="00601322"/>
    <w:rsid w:val="00604BCF"/>
    <w:rsid w:val="00621601"/>
    <w:rsid w:val="00651CF5"/>
    <w:rsid w:val="0065451C"/>
    <w:rsid w:val="00710E56"/>
    <w:rsid w:val="007E17EA"/>
    <w:rsid w:val="007F1249"/>
    <w:rsid w:val="008E5EFF"/>
    <w:rsid w:val="0090556C"/>
    <w:rsid w:val="009B21FF"/>
    <w:rsid w:val="00A369E0"/>
    <w:rsid w:val="00AC6498"/>
    <w:rsid w:val="00AE4F02"/>
    <w:rsid w:val="00AF751A"/>
    <w:rsid w:val="00B86F04"/>
    <w:rsid w:val="00BB0E59"/>
    <w:rsid w:val="00C21B3D"/>
    <w:rsid w:val="00CB07B4"/>
    <w:rsid w:val="00D5394A"/>
    <w:rsid w:val="00DD5D52"/>
    <w:rsid w:val="00E81D12"/>
    <w:rsid w:val="00EA6D34"/>
    <w:rsid w:val="00ED6FA7"/>
    <w:rsid w:val="00F93472"/>
    <w:rsid w:val="00FB029C"/>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FC29641-4D92-4AE4-B08F-27299ED7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56C"/>
    <w:pPr>
      <w:spacing w:after="240" w:line="240" w:lineRule="auto"/>
    </w:pPr>
  </w:style>
  <w:style w:type="paragraph" w:styleId="Heading1">
    <w:name w:val="heading 1"/>
    <w:basedOn w:val="Normal"/>
    <w:next w:val="Normal"/>
    <w:link w:val="Heading1Char"/>
    <w:uiPriority w:val="9"/>
    <w:qFormat/>
    <w:rsid w:val="0090556C"/>
    <w:pPr>
      <w:keepNext/>
      <w:spacing w:before="400"/>
      <w:outlineLvl w:val="0"/>
    </w:pPr>
    <w:rPr>
      <w:rFonts w:asciiTheme="majorHAnsi" w:eastAsiaTheme="majorEastAsia" w:hAnsiTheme="majorHAnsi" w:cstheme="majorBidi"/>
      <w:b/>
      <w:color w:val="0F293A"/>
      <w:sz w:val="48"/>
      <w:szCs w:val="32"/>
      <w:lang w:eastAsia="en-US"/>
    </w:rPr>
  </w:style>
  <w:style w:type="paragraph" w:styleId="Heading2">
    <w:name w:val="heading 2"/>
    <w:basedOn w:val="Normal"/>
    <w:next w:val="Normal"/>
    <w:link w:val="Heading2Char"/>
    <w:uiPriority w:val="9"/>
    <w:unhideWhenUsed/>
    <w:qFormat/>
    <w:rsid w:val="0090556C"/>
    <w:pPr>
      <w:keepNext/>
      <w:spacing w:before="120"/>
      <w:outlineLvl w:val="1"/>
    </w:pPr>
    <w:rPr>
      <w:rFonts w:asciiTheme="majorHAnsi" w:eastAsiaTheme="majorEastAsia" w:hAnsiTheme="majorHAnsi" w:cstheme="majorBidi"/>
      <w:b/>
      <w:color w:val="07478C"/>
      <w:sz w:val="36"/>
      <w:szCs w:val="26"/>
      <w:lang w:eastAsia="en-US"/>
    </w:rPr>
  </w:style>
  <w:style w:type="paragraph" w:styleId="Heading3">
    <w:name w:val="heading 3"/>
    <w:basedOn w:val="Normal"/>
    <w:next w:val="Normal"/>
    <w:link w:val="Heading3Char"/>
    <w:uiPriority w:val="9"/>
    <w:unhideWhenUsed/>
    <w:qFormat/>
    <w:rsid w:val="0090556C"/>
    <w:pPr>
      <w:keepNext/>
      <w:spacing w:before="120" w:after="120"/>
      <w:outlineLvl w:val="2"/>
    </w:pPr>
    <w:rPr>
      <w:rFonts w:asciiTheme="majorHAnsi" w:eastAsiaTheme="majorEastAsia" w:hAnsiTheme="majorHAnsi" w:cstheme="majorBidi"/>
      <w:b/>
      <w:color w:val="07478C"/>
      <w:sz w:val="30"/>
      <w:szCs w:val="24"/>
      <w:lang w:eastAsia="en-US"/>
    </w:rPr>
  </w:style>
  <w:style w:type="paragraph" w:styleId="Heading4">
    <w:name w:val="heading 4"/>
    <w:basedOn w:val="Normal"/>
    <w:next w:val="Normal"/>
    <w:link w:val="Heading4Char"/>
    <w:uiPriority w:val="9"/>
    <w:unhideWhenUsed/>
    <w:qFormat/>
    <w:rsid w:val="0090556C"/>
    <w:pPr>
      <w:keepNext/>
      <w:spacing w:before="120" w:after="60"/>
      <w:outlineLvl w:val="3"/>
    </w:pPr>
    <w:rPr>
      <w:rFonts w:asciiTheme="majorHAnsi" w:eastAsiaTheme="majorEastAsia" w:hAnsiTheme="majorHAnsi" w:cstheme="majorBidi"/>
      <w:b/>
      <w:iCs/>
      <w:color w:val="07478C"/>
      <w:sz w:val="24"/>
      <w:lang w:eastAsia="en-US"/>
    </w:rPr>
  </w:style>
  <w:style w:type="paragraph" w:styleId="Heading5">
    <w:name w:val="heading 5"/>
    <w:basedOn w:val="Normal"/>
    <w:next w:val="Normal"/>
    <w:link w:val="Heading5Char"/>
    <w:uiPriority w:val="9"/>
    <w:unhideWhenUsed/>
    <w:qFormat/>
    <w:rsid w:val="0090556C"/>
    <w:pPr>
      <w:keepNext/>
      <w:spacing w:after="60"/>
      <w:outlineLvl w:val="4"/>
    </w:pPr>
    <w:rPr>
      <w:rFonts w:asciiTheme="majorHAnsi" w:eastAsiaTheme="majorEastAsia" w:hAnsiTheme="majorHAnsi" w:cstheme="majorBidi"/>
      <w:color w:val="07478C"/>
      <w:lang w:eastAsia="en-US"/>
    </w:rPr>
  </w:style>
  <w:style w:type="paragraph" w:styleId="Heading6">
    <w:name w:val="heading 6"/>
    <w:basedOn w:val="Heading5"/>
    <w:next w:val="Normal"/>
    <w:link w:val="Heading6Char"/>
    <w:uiPriority w:val="9"/>
    <w:unhideWhenUsed/>
    <w:qFormat/>
    <w:rsid w:val="0090556C"/>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94A"/>
    <w:pPr>
      <w:tabs>
        <w:tab w:val="center" w:pos="4513"/>
        <w:tab w:val="right" w:pos="9026"/>
      </w:tabs>
      <w:spacing w:after="0"/>
    </w:pPr>
  </w:style>
  <w:style w:type="character" w:customStyle="1" w:styleId="HeaderChar">
    <w:name w:val="Header Char"/>
    <w:basedOn w:val="DefaultParagraphFont"/>
    <w:link w:val="Header"/>
    <w:uiPriority w:val="99"/>
    <w:rsid w:val="00D5394A"/>
  </w:style>
  <w:style w:type="paragraph" w:styleId="Footer">
    <w:name w:val="footer"/>
    <w:basedOn w:val="Normal"/>
    <w:link w:val="FooterChar"/>
    <w:uiPriority w:val="99"/>
    <w:unhideWhenUsed/>
    <w:rsid w:val="00D5394A"/>
    <w:pPr>
      <w:tabs>
        <w:tab w:val="center" w:pos="4513"/>
        <w:tab w:val="right" w:pos="9026"/>
      </w:tabs>
      <w:spacing w:after="0"/>
    </w:pPr>
  </w:style>
  <w:style w:type="character" w:customStyle="1" w:styleId="FooterChar">
    <w:name w:val="Footer Char"/>
    <w:basedOn w:val="DefaultParagraphFont"/>
    <w:link w:val="Footer"/>
    <w:uiPriority w:val="99"/>
    <w:rsid w:val="00D5394A"/>
  </w:style>
  <w:style w:type="character" w:styleId="Hyperlink">
    <w:name w:val="Hyperlink"/>
    <w:basedOn w:val="DefaultParagraphFont"/>
    <w:uiPriority w:val="99"/>
    <w:unhideWhenUsed/>
    <w:rsid w:val="00D5394A"/>
    <w:rPr>
      <w:color w:val="095EBB"/>
      <w:u w:val="single"/>
    </w:rPr>
  </w:style>
  <w:style w:type="table" w:styleId="TableGrid">
    <w:name w:val="Table Grid"/>
    <w:basedOn w:val="TableNormal"/>
    <w:uiPriority w:val="39"/>
    <w:rsid w:val="00D539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0556C"/>
    <w:rPr>
      <w:rFonts w:asciiTheme="majorHAnsi" w:eastAsiaTheme="majorEastAsia" w:hAnsiTheme="majorHAnsi" w:cstheme="majorBidi"/>
      <w:b/>
      <w:color w:val="07478C"/>
      <w:sz w:val="36"/>
      <w:szCs w:val="26"/>
      <w:lang w:eastAsia="en-US"/>
    </w:rPr>
  </w:style>
  <w:style w:type="character" w:customStyle="1" w:styleId="Heading3Char">
    <w:name w:val="Heading 3 Char"/>
    <w:basedOn w:val="DefaultParagraphFont"/>
    <w:link w:val="Heading3"/>
    <w:uiPriority w:val="9"/>
    <w:rsid w:val="0090556C"/>
    <w:rPr>
      <w:rFonts w:asciiTheme="majorHAnsi" w:eastAsiaTheme="majorEastAsia" w:hAnsiTheme="majorHAnsi" w:cstheme="majorBidi"/>
      <w:b/>
      <w:color w:val="07478C"/>
      <w:sz w:val="30"/>
      <w:szCs w:val="24"/>
      <w:lang w:eastAsia="en-US"/>
    </w:rPr>
  </w:style>
  <w:style w:type="paragraph" w:customStyle="1" w:styleId="Bullet">
    <w:name w:val="Bullet"/>
    <w:basedOn w:val="Normal"/>
    <w:qFormat/>
    <w:rsid w:val="00D5394A"/>
    <w:pPr>
      <w:numPr>
        <w:numId w:val="1"/>
      </w:numPr>
      <w:ind w:left="567" w:hanging="567"/>
      <w:contextualSpacing/>
    </w:pPr>
    <w:rPr>
      <w:rFonts w:eastAsiaTheme="minorHAnsi"/>
      <w:lang w:eastAsia="en-US"/>
    </w:rPr>
  </w:style>
  <w:style w:type="paragraph" w:customStyle="1" w:styleId="Tablerowcolumnheading">
    <w:name w:val="Table row/column heading"/>
    <w:basedOn w:val="Normal"/>
    <w:next w:val="Normal"/>
    <w:rsid w:val="00D5394A"/>
    <w:pPr>
      <w:spacing w:after="0"/>
    </w:pPr>
    <w:rPr>
      <w:rFonts w:eastAsia="Times New Roman" w:cs="Times New Roman"/>
      <w:b/>
      <w:bCs/>
      <w:szCs w:val="20"/>
      <w:lang w:eastAsia="en-US"/>
    </w:rPr>
  </w:style>
  <w:style w:type="paragraph" w:customStyle="1" w:styleId="Checkboxemptybulletpoint">
    <w:name w:val="Check box empty bullet point"/>
    <w:basedOn w:val="Bullet"/>
    <w:qFormat/>
    <w:rsid w:val="00D5394A"/>
    <w:pPr>
      <w:numPr>
        <w:numId w:val="2"/>
      </w:numPr>
      <w:spacing w:after="0"/>
      <w:ind w:left="567" w:hanging="567"/>
    </w:pPr>
  </w:style>
  <w:style w:type="paragraph" w:customStyle="1" w:styleId="Tableheadingrow">
    <w:name w:val="Table heading row"/>
    <w:basedOn w:val="Normal"/>
    <w:qFormat/>
    <w:rsid w:val="0090556C"/>
    <w:pPr>
      <w:spacing w:after="0"/>
    </w:pPr>
    <w:rPr>
      <w:rFonts w:eastAsia="Times New Roman" w:cs="Times New Roman"/>
      <w:b/>
      <w:bCs/>
      <w:szCs w:val="20"/>
      <w:lang w:eastAsia="en-US"/>
    </w:rPr>
  </w:style>
  <w:style w:type="paragraph" w:customStyle="1" w:styleId="Tablerowtext">
    <w:name w:val="Table row text"/>
    <w:basedOn w:val="Normal"/>
    <w:qFormat/>
    <w:rsid w:val="0090556C"/>
    <w:pPr>
      <w:spacing w:after="0"/>
      <w:contextualSpacing/>
    </w:pPr>
    <w:rPr>
      <w:rFonts w:eastAsia="Times New Roman" w:cs="Times New Roman"/>
      <w:szCs w:val="20"/>
      <w:lang w:eastAsia="en-US"/>
    </w:rPr>
  </w:style>
  <w:style w:type="character" w:customStyle="1" w:styleId="Heading1Char">
    <w:name w:val="Heading 1 Char"/>
    <w:basedOn w:val="DefaultParagraphFont"/>
    <w:link w:val="Heading1"/>
    <w:uiPriority w:val="9"/>
    <w:rsid w:val="0090556C"/>
    <w:rPr>
      <w:rFonts w:asciiTheme="majorHAnsi" w:eastAsiaTheme="majorEastAsia" w:hAnsiTheme="majorHAnsi" w:cstheme="majorBidi"/>
      <w:b/>
      <w:color w:val="0F293A"/>
      <w:sz w:val="48"/>
      <w:szCs w:val="32"/>
      <w:lang w:eastAsia="en-US"/>
    </w:rPr>
  </w:style>
  <w:style w:type="paragraph" w:styleId="Quote">
    <w:name w:val="Quote"/>
    <w:basedOn w:val="Normal"/>
    <w:next w:val="Normal"/>
    <w:link w:val="QuoteChar"/>
    <w:uiPriority w:val="29"/>
    <w:qFormat/>
    <w:rsid w:val="0090556C"/>
    <w:pPr>
      <w:ind w:left="567"/>
    </w:pPr>
    <w:rPr>
      <w:rFonts w:eastAsiaTheme="minorHAnsi"/>
      <w:i/>
      <w:iCs/>
      <w:lang w:eastAsia="en-US"/>
    </w:rPr>
  </w:style>
  <w:style w:type="character" w:customStyle="1" w:styleId="QuoteChar">
    <w:name w:val="Quote Char"/>
    <w:basedOn w:val="DefaultParagraphFont"/>
    <w:link w:val="Quote"/>
    <w:uiPriority w:val="29"/>
    <w:rsid w:val="0090556C"/>
    <w:rPr>
      <w:rFonts w:eastAsiaTheme="minorHAnsi"/>
      <w:i/>
      <w:iCs/>
      <w:lang w:eastAsia="en-US"/>
    </w:rPr>
  </w:style>
  <w:style w:type="character" w:customStyle="1" w:styleId="Heading4Char">
    <w:name w:val="Heading 4 Char"/>
    <w:basedOn w:val="DefaultParagraphFont"/>
    <w:link w:val="Heading4"/>
    <w:uiPriority w:val="9"/>
    <w:rsid w:val="0090556C"/>
    <w:rPr>
      <w:rFonts w:asciiTheme="majorHAnsi" w:eastAsiaTheme="majorEastAsia" w:hAnsiTheme="majorHAnsi" w:cstheme="majorBidi"/>
      <w:b/>
      <w:iCs/>
      <w:color w:val="07478C"/>
      <w:sz w:val="24"/>
      <w:lang w:eastAsia="en-US"/>
    </w:rPr>
  </w:style>
  <w:style w:type="paragraph" w:customStyle="1" w:styleId="Tablefigureheading">
    <w:name w:val="Table/figure heading"/>
    <w:basedOn w:val="Normal"/>
    <w:qFormat/>
    <w:rsid w:val="00586F82"/>
    <w:pPr>
      <w:keepNext/>
      <w:spacing w:before="40" w:after="0"/>
    </w:pPr>
    <w:rPr>
      <w:rFonts w:asciiTheme="majorHAnsi" w:eastAsiaTheme="minorHAnsi" w:hAnsiTheme="majorHAnsi"/>
      <w:b/>
      <w:color w:val="626E81"/>
      <w:lang w:eastAsia="en-US"/>
    </w:rPr>
  </w:style>
  <w:style w:type="character" w:customStyle="1" w:styleId="Heading5Char">
    <w:name w:val="Heading 5 Char"/>
    <w:basedOn w:val="DefaultParagraphFont"/>
    <w:link w:val="Heading5"/>
    <w:uiPriority w:val="9"/>
    <w:rsid w:val="0090556C"/>
    <w:rPr>
      <w:rFonts w:asciiTheme="majorHAnsi" w:eastAsiaTheme="majorEastAsia" w:hAnsiTheme="majorHAnsi" w:cstheme="majorBidi"/>
      <w:color w:val="07478C"/>
      <w:lang w:eastAsia="en-US"/>
    </w:rPr>
  </w:style>
  <w:style w:type="character" w:customStyle="1" w:styleId="Heading6Char">
    <w:name w:val="Heading 6 Char"/>
    <w:basedOn w:val="DefaultParagraphFont"/>
    <w:link w:val="Heading6"/>
    <w:uiPriority w:val="9"/>
    <w:rsid w:val="0090556C"/>
    <w:rPr>
      <w:rFonts w:asciiTheme="majorHAnsi" w:eastAsiaTheme="majorEastAsia" w:hAnsiTheme="majorHAnsi" w:cstheme="majorBidi"/>
      <w:i/>
      <w:iCs/>
      <w:color w:val="07478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EFBE8787FA9545A6D27A072289FEAB" ma:contentTypeVersion="1" ma:contentTypeDescription="Create a new document." ma:contentTypeScope="" ma:versionID="e432633e96be6ba8af38a6ac8253cfd5">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BC012-3CBC-4430-B401-71380153EFBA}">
  <ds:schemaRefs>
    <ds:schemaRef ds:uri="http://schemas.microsoft.com/sharepoint/v3/contenttype/forms"/>
  </ds:schemaRefs>
</ds:datastoreItem>
</file>

<file path=customXml/itemProps2.xml><?xml version="1.0" encoding="utf-8"?>
<ds:datastoreItem xmlns:ds="http://schemas.openxmlformats.org/officeDocument/2006/customXml" ds:itemID="{440A6850-9D85-48FC-9D84-85D04483F9F0}">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E53783D9-0FAF-45FD-9102-C41AD4F95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CDB56D-BC3B-4856-8E0A-5C4630CA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10F3CC2.dotm</Template>
  <TotalTime>1</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Media statement—classification history of the game Dayz</vt:lpstr>
    </vt:vector>
  </TitlesOfParts>
  <Company>Department of Communications and the Arts</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statement—classification history of the game Dayz</dc:title>
  <dc:subject/>
  <dc:creator>Department of Communications and the Arts</dc:creator>
  <cp:keywords/>
  <dc:description>8 April 2019</dc:description>
  <cp:lastModifiedBy>Owers, Cameron</cp:lastModifiedBy>
  <cp:revision>2</cp:revision>
  <cp:lastPrinted>2017-07-14T08:52:00Z</cp:lastPrinted>
  <dcterms:created xsi:type="dcterms:W3CDTF">2019-09-29T23:16:00Z</dcterms:created>
  <dcterms:modified xsi:type="dcterms:W3CDTF">2019-09-29T23:16:00Z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0x01010089EFBE8787FA9545A6D27A072289FEAB</vt:lpwstr>
  </property>
  <property fmtid="{D5CDD505-2E9C-101B-9397-08002B2CF9AE}" pid="3" name="TrimRevisionNumber">
    <vt:i4>4</vt:i4>
  </property>
</Properties>
</file>