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166DB5" w:rsidP="00145EAE">
      <w:pPr>
        <w:ind w:left="360"/>
        <w:jc w:val="center"/>
        <w:rPr>
          <w:b/>
          <w:sz w:val="28"/>
          <w:szCs w:val="28"/>
        </w:rPr>
      </w:pPr>
      <w:bookmarkStart w:id="0" w:name="_GoBack"/>
      <w:bookmarkEnd w:id="0"/>
      <w:r w:rsidRPr="006E1389">
        <w:rPr>
          <w:noProof/>
        </w:rPr>
        <w:drawing>
          <wp:inline distT="0" distB="0" distL="0" distR="0">
            <wp:extent cx="2733675" cy="1762125"/>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F31C65" w:rsidRDefault="00F31C65" w:rsidP="00F31C65"/>
    <w:p w:rsidR="00F878CD" w:rsidRPr="00782BDF" w:rsidRDefault="00F878CD" w:rsidP="00F878CD">
      <w:pPr>
        <w:jc w:val="center"/>
        <w:rPr>
          <w:b/>
        </w:rPr>
      </w:pPr>
      <w:r>
        <w:rPr>
          <w:b/>
        </w:rPr>
        <w:t>18 November 2013</w:t>
      </w:r>
    </w:p>
    <w:p w:rsidR="00F878CD" w:rsidRPr="00782BDF" w:rsidRDefault="00F878CD" w:rsidP="00F878CD">
      <w:pPr>
        <w:spacing w:before="120" w:after="120"/>
        <w:jc w:val="center"/>
        <w:rPr>
          <w:b/>
        </w:rPr>
      </w:pPr>
      <w:r w:rsidRPr="00782BDF">
        <w:rPr>
          <w:b/>
        </w:rPr>
        <w:t>23-33 MARY STREET</w:t>
      </w:r>
      <w:r>
        <w:rPr>
          <w:b/>
        </w:rPr>
        <w:br/>
      </w:r>
      <w:r w:rsidRPr="00782BDF">
        <w:rPr>
          <w:b/>
        </w:rPr>
        <w:t>SURRY HILLS, NSW</w:t>
      </w:r>
    </w:p>
    <w:p w:rsidR="00F878CD" w:rsidRDefault="00F878CD" w:rsidP="00F878CD">
      <w:pPr>
        <w:pStyle w:val="NormalWeb"/>
        <w:spacing w:before="0" w:beforeAutospacing="0" w:after="0" w:afterAutospacing="0"/>
        <w:rPr>
          <w:rFonts w:ascii="Times New Roman" w:eastAsia="Times New Roman" w:hAnsi="Times New Roman" w:cs="Times New Roman"/>
          <w:b/>
        </w:rPr>
      </w:pPr>
    </w:p>
    <w:p w:rsidR="00F878CD" w:rsidRDefault="00B20911" w:rsidP="00F878CD">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F878CD" w:rsidRPr="000501D7">
        <w:t xml:space="preserve"> </w:t>
      </w:r>
      <w:r w:rsidR="00F878CD">
        <w:tab/>
      </w:r>
      <w:r w:rsidR="00F878CD">
        <w:tab/>
      </w:r>
      <w:r w:rsidR="00F878CD">
        <w:rPr>
          <w:rFonts w:ascii="Times New Roman" w:hAnsi="Times New Roman" w:cs="Times New Roman"/>
        </w:rPr>
        <w:t xml:space="preserve">Ms Victoria Rubensohn </w:t>
      </w:r>
    </w:p>
    <w:p w:rsidR="00F878CD" w:rsidRDefault="00F878CD" w:rsidP="00F878C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F878CD" w:rsidRDefault="00D234F2" w:rsidP="00F878CD">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w:t>
      </w:r>
      <w:r w:rsidR="00F878CD">
        <w:rPr>
          <w:rFonts w:ascii="Times New Roman" w:hAnsi="Times New Roman" w:cs="Times New Roman"/>
        </w:rPr>
        <w:t xml:space="preserve"> Melissa de Zwart</w:t>
      </w:r>
    </w:p>
    <w:p w:rsidR="00F878CD" w:rsidRPr="000501D7" w:rsidRDefault="00F878CD" w:rsidP="00827A55">
      <w:pPr>
        <w:pStyle w:val="NormalWeb"/>
        <w:spacing w:before="0" w:beforeAutospacing="0" w:after="240" w:afterAutospacing="0"/>
        <w:ind w:left="1440" w:firstLine="720"/>
      </w:pPr>
      <w:r>
        <w:rPr>
          <w:rFonts w:ascii="Times New Roman" w:hAnsi="Times New Roman" w:cs="Times New Roman"/>
        </w:rPr>
        <w:t>Ms Fiona Jolly</w:t>
      </w:r>
    </w:p>
    <w:p w:rsidR="00F878CD" w:rsidRPr="00827A55" w:rsidRDefault="00F878CD" w:rsidP="00827A55">
      <w:pPr>
        <w:spacing w:after="240"/>
        <w:ind w:left="2160" w:hanging="2160"/>
      </w:pPr>
      <w:r w:rsidRPr="00B20911">
        <w:rPr>
          <w:rStyle w:val="Heading2Char"/>
        </w:rPr>
        <w:t>APPLICANT</w:t>
      </w:r>
      <w:r>
        <w:rPr>
          <w:b/>
        </w:rPr>
        <w:tab/>
      </w:r>
      <w:r>
        <w:t>Minister for Justice as requested by the South Australian Attorney-General</w:t>
      </w:r>
    </w:p>
    <w:p w:rsidR="00827A55" w:rsidRDefault="00F878CD" w:rsidP="00827A55">
      <w:r w:rsidRPr="00B20911">
        <w:rPr>
          <w:rStyle w:val="Heading2Char"/>
        </w:rPr>
        <w:t xml:space="preserve">INTERESTED </w:t>
      </w:r>
      <w:r w:rsidRPr="00B20911">
        <w:rPr>
          <w:rStyle w:val="Heading2Char"/>
        </w:rPr>
        <w:br/>
        <w:t>PARTIES</w:t>
      </w:r>
      <w:r w:rsidRPr="000501D7">
        <w:tab/>
      </w:r>
      <w:r w:rsidRPr="000501D7">
        <w:tab/>
      </w:r>
      <w:r w:rsidR="00827A55">
        <w:t xml:space="preserve">IGEA, ACCM and Australian Family Association </w:t>
      </w:r>
    </w:p>
    <w:p w:rsidR="00F878CD" w:rsidRDefault="00827A55" w:rsidP="00827A55">
      <w:pPr>
        <w:spacing w:after="240"/>
        <w:ind w:left="1440" w:firstLine="720"/>
        <w:rPr>
          <w:b/>
        </w:rPr>
      </w:pPr>
      <w:r>
        <w:t>(WA Branch) (AFA)</w:t>
      </w:r>
    </w:p>
    <w:p w:rsidR="00F878CD" w:rsidRPr="000501D7" w:rsidRDefault="00F878CD" w:rsidP="00827A55">
      <w:pPr>
        <w:spacing w:after="240"/>
        <w:ind w:left="2160" w:hanging="2160"/>
      </w:pPr>
      <w:r w:rsidRPr="00B20911">
        <w:rPr>
          <w:rStyle w:val="Heading2Char"/>
        </w:rPr>
        <w:t>BUSINESS</w:t>
      </w:r>
      <w:r w:rsidRPr="000501D7">
        <w:rPr>
          <w:b/>
          <w:bCs/>
        </w:rPr>
        <w:tab/>
      </w:r>
      <w:r w:rsidRPr="000501D7">
        <w:t xml:space="preserve">To review the Classification Board’s decision to classify the </w:t>
      </w:r>
      <w:r>
        <w:t xml:space="preserve">computer game </w:t>
      </w:r>
      <w:r w:rsidRPr="00665517">
        <w:rPr>
          <w:i/>
        </w:rPr>
        <w:t>Gears of War: Judgment</w:t>
      </w:r>
      <w:r>
        <w:t xml:space="preserve"> </w:t>
      </w:r>
      <w:r w:rsidRPr="000501D7">
        <w:t xml:space="preserve">with the </w:t>
      </w:r>
      <w:r>
        <w:t xml:space="preserve">classification MA 15+ and </w:t>
      </w:r>
      <w:r w:rsidRPr="000501D7">
        <w:t xml:space="preserve">consumer advice </w:t>
      </w:r>
      <w:r>
        <w:t xml:space="preserve">‘Strong bloody violence, </w:t>
      </w:r>
      <w:r w:rsidR="00827A55">
        <w:t>G</w:t>
      </w:r>
      <w:r w:rsidR="00CC0869">
        <w:t>aming</w:t>
      </w:r>
      <w:r>
        <w:t xml:space="preserve"> experience may change online’.</w:t>
      </w:r>
    </w:p>
    <w:p w:rsidR="00F878CD" w:rsidRPr="000501D7" w:rsidRDefault="00F878CD" w:rsidP="00B20911">
      <w:pPr>
        <w:pStyle w:val="Heading2"/>
      </w:pPr>
      <w:r w:rsidRPr="000501D7">
        <w:t xml:space="preserve">DECISION AND REASONS FOR DECISION </w:t>
      </w:r>
    </w:p>
    <w:p w:rsidR="00F878CD" w:rsidRPr="000501D7" w:rsidRDefault="00F878CD" w:rsidP="00B20911">
      <w:pPr>
        <w:pStyle w:val="Heading3"/>
      </w:pPr>
      <w:r w:rsidRPr="000501D7">
        <w:t>1. Decision</w:t>
      </w:r>
    </w:p>
    <w:p w:rsidR="00F878CD" w:rsidRPr="00B637F7" w:rsidRDefault="00F878CD" w:rsidP="00F878CD">
      <w:pPr>
        <w:pStyle w:val="BodyText3"/>
        <w:spacing w:before="120"/>
        <w:rPr>
          <w:szCs w:val="24"/>
        </w:rPr>
      </w:pPr>
      <w:r w:rsidRPr="00B637F7">
        <w:rPr>
          <w:sz w:val="24"/>
          <w:szCs w:val="24"/>
        </w:rPr>
        <w:t xml:space="preserve">The Classification Review Board (the Review Board) unanimously classified the computer game </w:t>
      </w:r>
      <w:r w:rsidR="00B637F7" w:rsidRPr="00B637F7">
        <w:rPr>
          <w:i/>
          <w:sz w:val="24"/>
          <w:szCs w:val="24"/>
        </w:rPr>
        <w:t>Gears of War: Judgment</w:t>
      </w:r>
      <w:r w:rsidR="00B637F7" w:rsidRPr="00B637F7">
        <w:rPr>
          <w:sz w:val="24"/>
          <w:szCs w:val="24"/>
        </w:rPr>
        <w:t xml:space="preserve"> MA 15+ and consumer advice ‘Strong bloody violence, </w:t>
      </w:r>
      <w:r w:rsidR="00827A55">
        <w:rPr>
          <w:sz w:val="24"/>
          <w:szCs w:val="24"/>
        </w:rPr>
        <w:t>G</w:t>
      </w:r>
      <w:r w:rsidR="00CC0869" w:rsidRPr="00B637F7">
        <w:rPr>
          <w:sz w:val="24"/>
          <w:szCs w:val="24"/>
        </w:rPr>
        <w:t>aming</w:t>
      </w:r>
      <w:r w:rsidR="00B637F7" w:rsidRPr="00B637F7">
        <w:rPr>
          <w:sz w:val="24"/>
          <w:szCs w:val="24"/>
        </w:rPr>
        <w:t xml:space="preserve"> experience may change online’</w:t>
      </w:r>
    </w:p>
    <w:p w:rsidR="00F878CD" w:rsidRPr="000501D7" w:rsidRDefault="00F878CD" w:rsidP="00B20911">
      <w:pPr>
        <w:pStyle w:val="Heading3"/>
      </w:pPr>
      <w:r w:rsidRPr="000501D7">
        <w:t>2. Legislative provisions</w:t>
      </w:r>
    </w:p>
    <w:p w:rsidR="00F878CD" w:rsidRDefault="00F878CD" w:rsidP="00F878CD">
      <w:pPr>
        <w:pStyle w:val="BodyText"/>
        <w:spacing w:before="120" w:after="120"/>
        <w:rPr>
          <w:sz w:val="24"/>
        </w:rPr>
      </w:pPr>
      <w:r w:rsidRPr="000501D7">
        <w:rPr>
          <w:sz w:val="24"/>
        </w:rPr>
        <w:t xml:space="preserve">The </w:t>
      </w:r>
      <w:r w:rsidRPr="000501D7">
        <w:rPr>
          <w:i/>
          <w:iCs/>
          <w:sz w:val="24"/>
        </w:rPr>
        <w:t>Classification (Publications, Film</w:t>
      </w:r>
      <w:r w:rsidR="00963E94">
        <w:rPr>
          <w:i/>
          <w:iCs/>
          <w:sz w:val="24"/>
        </w:rPr>
        <w:t>s</w:t>
      </w:r>
      <w:r w:rsidRPr="000501D7">
        <w:rPr>
          <w:i/>
          <w:iCs/>
          <w:sz w:val="24"/>
        </w:rPr>
        <w:t xml:space="preserve"> and Computer Games) Act</w:t>
      </w:r>
      <w:r w:rsidRPr="000501D7">
        <w:rPr>
          <w:sz w:val="24"/>
        </w:rPr>
        <w:t xml:space="preserve"> </w:t>
      </w:r>
      <w:r w:rsidRPr="00963E94">
        <w:rPr>
          <w:i/>
          <w:sz w:val="24"/>
        </w:rPr>
        <w:t>1995</w:t>
      </w:r>
      <w:r w:rsidRPr="000501D7">
        <w:rPr>
          <w:sz w:val="24"/>
        </w:rPr>
        <w:t xml:space="preserve">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F878CD" w:rsidRPr="004803EB" w:rsidRDefault="00F878CD" w:rsidP="00F878CD">
      <w:pPr>
        <w:pStyle w:val="BodyText"/>
        <w:spacing w:before="120" w:after="120"/>
        <w:rPr>
          <w:i/>
          <w:sz w:val="24"/>
        </w:rPr>
      </w:pPr>
      <w:r w:rsidRPr="004803EB">
        <w:rPr>
          <w:i/>
          <w:sz w:val="24"/>
        </w:rPr>
        <w:t>The Review Board</w:t>
      </w:r>
    </w:p>
    <w:p w:rsidR="00F878CD" w:rsidRDefault="00F878CD" w:rsidP="00F878CD">
      <w:pPr>
        <w:pStyle w:val="BodyText"/>
        <w:spacing w:before="120" w:after="120"/>
        <w:rPr>
          <w:sz w:val="24"/>
        </w:rPr>
      </w:pPr>
      <w:r>
        <w:rPr>
          <w:sz w:val="24"/>
        </w:rPr>
        <w:t>Part 5 of the Classification Act outlines the provisions relevant to the Review Board and its procedures.</w:t>
      </w:r>
    </w:p>
    <w:p w:rsidR="00F878CD" w:rsidRDefault="00F878CD" w:rsidP="00F878CD">
      <w:pPr>
        <w:pStyle w:val="BodyText"/>
        <w:spacing w:before="120" w:after="120"/>
        <w:rPr>
          <w:sz w:val="24"/>
        </w:rPr>
      </w:pPr>
      <w:r>
        <w:rPr>
          <w:sz w:val="24"/>
        </w:rPr>
        <w:lastRenderedPageBreak/>
        <w:t>Section 42</w:t>
      </w:r>
      <w:r w:rsidR="006747D4">
        <w:rPr>
          <w:sz w:val="24"/>
        </w:rPr>
        <w:t>(1)</w:t>
      </w:r>
      <w:r>
        <w:rPr>
          <w:sz w:val="24"/>
        </w:rPr>
        <w:t xml:space="preserve"> of the Classification Act sets out the persons who may apply for review of a decision:</w:t>
      </w:r>
    </w:p>
    <w:p w:rsidR="00F878CD" w:rsidRDefault="00F878CD" w:rsidP="00F878CD">
      <w:pPr>
        <w:pStyle w:val="BodyText"/>
        <w:numPr>
          <w:ilvl w:val="0"/>
          <w:numId w:val="6"/>
        </w:numPr>
        <w:spacing w:before="120" w:after="120"/>
        <w:rPr>
          <w:sz w:val="24"/>
        </w:rPr>
      </w:pPr>
      <w:r>
        <w:rPr>
          <w:sz w:val="24"/>
        </w:rPr>
        <w:t>the Minister</w:t>
      </w:r>
    </w:p>
    <w:p w:rsidR="00F878CD" w:rsidRDefault="00F878CD" w:rsidP="00F878CD">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F878CD" w:rsidRDefault="00F878CD" w:rsidP="00F878CD">
      <w:pPr>
        <w:pStyle w:val="BodyText"/>
        <w:numPr>
          <w:ilvl w:val="0"/>
          <w:numId w:val="6"/>
        </w:numPr>
        <w:spacing w:before="120" w:after="120"/>
        <w:rPr>
          <w:sz w:val="24"/>
        </w:rPr>
      </w:pPr>
      <w:r>
        <w:rPr>
          <w:sz w:val="24"/>
        </w:rPr>
        <w:t>the publisher of the computer game, or</w:t>
      </w:r>
    </w:p>
    <w:p w:rsidR="00F878CD" w:rsidRDefault="00F878CD" w:rsidP="00F878CD">
      <w:pPr>
        <w:pStyle w:val="BodyText"/>
        <w:numPr>
          <w:ilvl w:val="0"/>
          <w:numId w:val="6"/>
        </w:numPr>
        <w:spacing w:before="120" w:after="120"/>
        <w:rPr>
          <w:sz w:val="24"/>
        </w:rPr>
      </w:pPr>
      <w:r>
        <w:rPr>
          <w:sz w:val="24"/>
        </w:rPr>
        <w:t>a person aggrieved by the decision.</w:t>
      </w:r>
    </w:p>
    <w:p w:rsidR="006747D4" w:rsidRPr="006747D4" w:rsidRDefault="006747D4" w:rsidP="00F878CD">
      <w:pPr>
        <w:pStyle w:val="BodyText"/>
        <w:spacing w:before="120" w:after="120"/>
        <w:rPr>
          <w:sz w:val="24"/>
        </w:rPr>
      </w:pPr>
      <w:r w:rsidRPr="006747D4">
        <w:rPr>
          <w:sz w:val="24"/>
        </w:rPr>
        <w:t>Section 42(2) provides that if a participating Minister asks the Minister, in writing, to apply for a review of a decision, the Minister must do so.</w:t>
      </w:r>
    </w:p>
    <w:p w:rsidR="00F878CD" w:rsidRDefault="00F878CD" w:rsidP="00F878CD">
      <w:pPr>
        <w:pStyle w:val="BodyText"/>
        <w:spacing w:before="120" w:after="120"/>
        <w:rPr>
          <w:sz w:val="24"/>
        </w:rPr>
      </w:pPr>
      <w:r w:rsidRPr="006747D4">
        <w:rPr>
          <w:sz w:val="24"/>
        </w:rPr>
        <w:t>Section 43</w:t>
      </w:r>
      <w:r>
        <w:rPr>
          <w:sz w:val="24"/>
        </w:rPr>
        <w:t xml:space="preserve">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F878CD" w:rsidRPr="004803EB" w:rsidRDefault="00F878CD" w:rsidP="00F878CD">
      <w:pPr>
        <w:pStyle w:val="BodyText"/>
        <w:spacing w:before="120" w:after="120"/>
        <w:rPr>
          <w:i/>
          <w:sz w:val="24"/>
        </w:rPr>
      </w:pPr>
      <w:r w:rsidRPr="004803EB">
        <w:rPr>
          <w:i/>
          <w:sz w:val="24"/>
        </w:rPr>
        <w:t>Classification of Computer Games</w:t>
      </w:r>
      <w:r>
        <w:rPr>
          <w:i/>
          <w:sz w:val="24"/>
        </w:rPr>
        <w:t xml:space="preserve"> under the Classification Act</w:t>
      </w:r>
    </w:p>
    <w:p w:rsidR="00F878CD" w:rsidRPr="000501D7" w:rsidRDefault="00F878CD" w:rsidP="00F878CD">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F878CD" w:rsidRPr="000501D7" w:rsidRDefault="00F878CD" w:rsidP="00F878CD">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F878CD" w:rsidRDefault="00F878CD" w:rsidP="00F878CD">
      <w:pPr>
        <w:pStyle w:val="BodyText"/>
        <w:numPr>
          <w:ilvl w:val="0"/>
          <w:numId w:val="8"/>
        </w:numPr>
        <w:spacing w:before="120" w:after="120"/>
        <w:rPr>
          <w:sz w:val="24"/>
        </w:rPr>
      </w:pPr>
      <w:r w:rsidRPr="004803EB">
        <w:rPr>
          <w:sz w:val="24"/>
        </w:rPr>
        <w:t>the standards of morality, decency and propriety generally accepted by reasonable adults; and</w:t>
      </w:r>
    </w:p>
    <w:p w:rsidR="00F878CD" w:rsidRDefault="00F878CD" w:rsidP="00F878CD">
      <w:pPr>
        <w:pStyle w:val="BodyText"/>
        <w:numPr>
          <w:ilvl w:val="0"/>
          <w:numId w:val="8"/>
        </w:numPr>
        <w:spacing w:before="120" w:after="120"/>
        <w:rPr>
          <w:sz w:val="24"/>
        </w:rPr>
      </w:pPr>
      <w:r w:rsidRPr="004803EB">
        <w:rPr>
          <w:sz w:val="24"/>
        </w:rPr>
        <w:t>the literary, artistic or educational merit (if any) of the computer game; and</w:t>
      </w:r>
    </w:p>
    <w:p w:rsidR="00F878CD" w:rsidRDefault="00F878CD" w:rsidP="00F878CD">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F878CD" w:rsidRPr="004803EB" w:rsidRDefault="00F878CD" w:rsidP="00F878CD">
      <w:pPr>
        <w:pStyle w:val="BodyText"/>
        <w:numPr>
          <w:ilvl w:val="0"/>
          <w:numId w:val="8"/>
        </w:numPr>
        <w:spacing w:before="120" w:after="120"/>
        <w:rPr>
          <w:sz w:val="24"/>
        </w:rPr>
      </w:pPr>
      <w:r w:rsidRPr="004803EB">
        <w:rPr>
          <w:sz w:val="24"/>
        </w:rPr>
        <w:t>the persons or class of persons to or amongst whom it is published or is intended or likely to be published.</w:t>
      </w:r>
    </w:p>
    <w:p w:rsidR="00F878CD" w:rsidRPr="004803EB" w:rsidRDefault="00F878CD" w:rsidP="00F878CD">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723D86" w:rsidRPr="006747D4" w:rsidRDefault="006747D4" w:rsidP="00723D86">
      <w:pPr>
        <w:pStyle w:val="BodyText"/>
        <w:spacing w:before="120" w:after="120"/>
        <w:rPr>
          <w:color w:val="FF0000"/>
          <w:sz w:val="24"/>
        </w:rPr>
      </w:pPr>
      <w:r w:rsidRPr="006747D4">
        <w:rPr>
          <w:sz w:val="24"/>
        </w:rPr>
        <w:t>Relevantly, the Computer Games Table of the Code under paragraph 3 provides that:</w:t>
      </w:r>
    </w:p>
    <w:p w:rsidR="00F878CD" w:rsidRPr="00723D86" w:rsidRDefault="006747D4" w:rsidP="006747D4">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r w:rsidR="00723D86" w:rsidRPr="00723D86">
        <w:rPr>
          <w:sz w:val="22"/>
          <w:szCs w:val="22"/>
        </w:rPr>
        <w:t>.</w:t>
      </w:r>
    </w:p>
    <w:p w:rsidR="00F878CD" w:rsidRPr="00661F55" w:rsidRDefault="00F878CD" w:rsidP="00F878CD">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F878CD" w:rsidRDefault="00F878CD" w:rsidP="00F878CD">
      <w:pPr>
        <w:pStyle w:val="BodyText"/>
        <w:numPr>
          <w:ilvl w:val="0"/>
          <w:numId w:val="7"/>
        </w:numPr>
        <w:spacing w:before="120" w:after="120"/>
        <w:rPr>
          <w:sz w:val="24"/>
        </w:rPr>
      </w:pPr>
      <w:r w:rsidRPr="00661F55">
        <w:rPr>
          <w:sz w:val="24"/>
        </w:rPr>
        <w:t>adults should be able to read, he</w:t>
      </w:r>
      <w:r>
        <w:rPr>
          <w:sz w:val="24"/>
        </w:rPr>
        <w:t>ar, see and play what they want</w:t>
      </w:r>
      <w:r w:rsidR="006747D4">
        <w:rPr>
          <w:sz w:val="24"/>
        </w:rPr>
        <w:t>;</w:t>
      </w:r>
    </w:p>
    <w:p w:rsidR="00F878CD" w:rsidRDefault="00F878CD" w:rsidP="00F878CD">
      <w:pPr>
        <w:pStyle w:val="BodyText"/>
        <w:numPr>
          <w:ilvl w:val="0"/>
          <w:numId w:val="7"/>
        </w:numPr>
        <w:spacing w:before="120" w:after="120"/>
        <w:rPr>
          <w:sz w:val="24"/>
        </w:rPr>
      </w:pPr>
      <w:r w:rsidRPr="00661F55">
        <w:rPr>
          <w:sz w:val="24"/>
        </w:rPr>
        <w:t>minors should be protected from material likely to harm or disturb them</w:t>
      </w:r>
      <w:r w:rsidR="001F739C">
        <w:rPr>
          <w:sz w:val="24"/>
        </w:rPr>
        <w:t>;</w:t>
      </w:r>
    </w:p>
    <w:p w:rsidR="00F878CD" w:rsidRDefault="00F878CD" w:rsidP="00F878CD">
      <w:pPr>
        <w:pStyle w:val="BodyText"/>
        <w:numPr>
          <w:ilvl w:val="0"/>
          <w:numId w:val="7"/>
        </w:numPr>
        <w:spacing w:before="120" w:after="120"/>
        <w:rPr>
          <w:sz w:val="24"/>
        </w:rPr>
      </w:pPr>
      <w:r w:rsidRPr="00661F55">
        <w:rPr>
          <w:sz w:val="24"/>
        </w:rPr>
        <w:t>everyone should be protected from exposure to unsolicited material that they find offensive</w:t>
      </w:r>
      <w:r w:rsidR="001F739C">
        <w:rPr>
          <w:sz w:val="24"/>
        </w:rPr>
        <w:t>;</w:t>
      </w:r>
    </w:p>
    <w:p w:rsidR="00F878CD" w:rsidRDefault="00F878CD" w:rsidP="00F878CD">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F878CD" w:rsidRDefault="00F878CD" w:rsidP="00F878CD">
      <w:pPr>
        <w:pStyle w:val="BodyText"/>
        <w:numPr>
          <w:ilvl w:val="1"/>
          <w:numId w:val="7"/>
        </w:numPr>
        <w:spacing w:before="120" w:after="120"/>
        <w:rPr>
          <w:sz w:val="24"/>
        </w:rPr>
      </w:pPr>
      <w:r w:rsidRPr="00661F55">
        <w:rPr>
          <w:sz w:val="24"/>
        </w:rPr>
        <w:lastRenderedPageBreak/>
        <w:t>depictions that condone or incite violenc</w:t>
      </w:r>
      <w:r w:rsidRPr="0050067E">
        <w:rPr>
          <w:sz w:val="24"/>
        </w:rPr>
        <w:t>e, particularly sexual violence</w:t>
      </w:r>
      <w:r w:rsidR="001F739C">
        <w:rPr>
          <w:sz w:val="24"/>
        </w:rPr>
        <w:t>;</w:t>
      </w:r>
      <w:r w:rsidRPr="0050067E">
        <w:rPr>
          <w:sz w:val="24"/>
        </w:rPr>
        <w:t xml:space="preserve"> and</w:t>
      </w:r>
      <w:r>
        <w:rPr>
          <w:sz w:val="24"/>
        </w:rPr>
        <w:t>,</w:t>
      </w:r>
    </w:p>
    <w:p w:rsidR="00F878CD" w:rsidRPr="0050067E" w:rsidRDefault="00F878CD" w:rsidP="00F878CD">
      <w:pPr>
        <w:pStyle w:val="BodyText"/>
        <w:numPr>
          <w:ilvl w:val="1"/>
          <w:numId w:val="7"/>
        </w:numPr>
        <w:spacing w:before="120" w:after="120"/>
        <w:rPr>
          <w:sz w:val="24"/>
        </w:rPr>
      </w:pPr>
      <w:r w:rsidRPr="00661F55">
        <w:rPr>
          <w:sz w:val="24"/>
        </w:rPr>
        <w:t>the portrayal of persons in a demeaning manner.</w:t>
      </w:r>
    </w:p>
    <w:p w:rsidR="00F878CD" w:rsidRPr="004803EB" w:rsidRDefault="00F878CD" w:rsidP="00F878CD">
      <w:pPr>
        <w:pStyle w:val="BodyText"/>
        <w:spacing w:before="120" w:after="120"/>
        <w:rPr>
          <w:i/>
          <w:sz w:val="24"/>
        </w:rPr>
      </w:pPr>
      <w:r w:rsidRPr="004803EB">
        <w:rPr>
          <w:i/>
          <w:sz w:val="24"/>
        </w:rPr>
        <w:t>The Guidelines</w:t>
      </w:r>
    </w:p>
    <w:p w:rsidR="00F878CD" w:rsidRPr="000501D7" w:rsidRDefault="00F878CD" w:rsidP="00F878CD">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F878CD" w:rsidRPr="000501D7" w:rsidRDefault="00F878CD" w:rsidP="00F878CD">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F878CD" w:rsidRPr="000501D7" w:rsidRDefault="00F878CD" w:rsidP="00F878CD">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F878CD" w:rsidRPr="000501D7" w:rsidRDefault="00F878CD" w:rsidP="00F878CD">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F878CD" w:rsidRDefault="00F878CD" w:rsidP="00F878CD">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F878CD" w:rsidRPr="00665517" w:rsidRDefault="00F878CD" w:rsidP="00B20911">
      <w:pPr>
        <w:pStyle w:val="Heading3"/>
      </w:pPr>
      <w:r w:rsidRPr="00665517">
        <w:t>3. Procedure</w:t>
      </w:r>
    </w:p>
    <w:p w:rsidR="00F878CD" w:rsidRPr="00665517" w:rsidRDefault="00F878CD" w:rsidP="00827A55">
      <w:pPr>
        <w:spacing w:after="120"/>
      </w:pPr>
      <w:r w:rsidRPr="00665517">
        <w:t xml:space="preserve">Four members of the Review Board met on Monday 18 November 2013 in response to the receipt of an application from the Minister on 7 November 2013 to conduct the review of the computer game </w:t>
      </w:r>
      <w:r w:rsidRPr="00665517">
        <w:rPr>
          <w:i/>
        </w:rPr>
        <w:t>Gears of War:</w:t>
      </w:r>
      <w:r w:rsidR="00B637F7">
        <w:rPr>
          <w:i/>
        </w:rPr>
        <w:t xml:space="preserve"> </w:t>
      </w:r>
      <w:r w:rsidRPr="00665517">
        <w:rPr>
          <w:i/>
        </w:rPr>
        <w:t>Judgment</w:t>
      </w:r>
      <w:r w:rsidRPr="00665517">
        <w:t>, which had previously been classified MA 15+ by the Classification Board.  The Review Board determined that the application was a valid application.</w:t>
      </w:r>
    </w:p>
    <w:p w:rsidR="0023456D" w:rsidRDefault="0023456D" w:rsidP="00827A55">
      <w:pPr>
        <w:spacing w:after="120"/>
      </w:pPr>
      <w:r>
        <w:t>The Review Board was provided</w:t>
      </w:r>
      <w:r w:rsidR="00682A41">
        <w:t xml:space="preserve"> a written submission from IGEA, </w:t>
      </w:r>
      <w:r>
        <w:t>ACCM</w:t>
      </w:r>
      <w:r w:rsidR="00682A41">
        <w:t xml:space="preserve"> and </w:t>
      </w:r>
      <w:r w:rsidR="00827A55">
        <w:t>AFA</w:t>
      </w:r>
      <w:r w:rsidR="00682A41">
        <w:t>.</w:t>
      </w:r>
    </w:p>
    <w:p w:rsidR="0023456D" w:rsidRDefault="0023456D" w:rsidP="00827A55">
      <w:pPr>
        <w:spacing w:after="120"/>
      </w:pPr>
      <w:r>
        <w:t>The Review Board received an oral submission from Ron Curry and Joshua Cavaleri from IGEA.</w:t>
      </w:r>
    </w:p>
    <w:p w:rsidR="00723D86" w:rsidRDefault="00723D86" w:rsidP="00827A55">
      <w:pPr>
        <w:spacing w:after="120"/>
      </w:pPr>
      <w:r>
        <w:t>The Review Board received an oral submission by telephone from Professor Elizabeth Handsley, Chair of the ACCM, on behalf of the ACCM and a subsequent supplementary written submission from Professor Handsley on behalf of ACCM.</w:t>
      </w:r>
    </w:p>
    <w:p w:rsidR="00F878CD" w:rsidRDefault="00F878CD" w:rsidP="00827A55">
      <w:pPr>
        <w:spacing w:after="120"/>
      </w:pPr>
      <w:r w:rsidRPr="00661F55">
        <w:t>T</w:t>
      </w:r>
      <w:r w:rsidRPr="004803EB">
        <w:t>he</w:t>
      </w:r>
      <w:r w:rsidRPr="00661F55">
        <w:t xml:space="preserve"> Review</w:t>
      </w:r>
      <w:r w:rsidRPr="006E71AB">
        <w:t xml:space="preserve"> Board </w:t>
      </w:r>
      <w:r w:rsidRPr="009B5D35">
        <w:t xml:space="preserve">viewed a </w:t>
      </w:r>
      <w:r w:rsidRPr="006E71AB">
        <w:t xml:space="preserve">lengthy live demonstration </w:t>
      </w:r>
      <w:r>
        <w:t>of gameplay</w:t>
      </w:r>
      <w:r w:rsidRPr="009B5D35">
        <w:t xml:space="preserve"> and viewed</w:t>
      </w:r>
      <w:r w:rsidRPr="006E71AB">
        <w:t xml:space="preserve"> </w:t>
      </w:r>
      <w:r w:rsidRPr="009B5D35">
        <w:t xml:space="preserve">recorded </w:t>
      </w:r>
      <w:r w:rsidRPr="006E71AB">
        <w:t>game</w:t>
      </w:r>
      <w:r w:rsidRPr="009B5D35">
        <w:t>play</w:t>
      </w:r>
      <w:r w:rsidRPr="006E71AB">
        <w:t xml:space="preserve"> footage.</w:t>
      </w:r>
      <w:r w:rsidRPr="009B5D35">
        <w:t xml:space="preserve">  </w:t>
      </w:r>
    </w:p>
    <w:p w:rsidR="00F878CD" w:rsidRPr="000501D7" w:rsidRDefault="00F878CD" w:rsidP="00827A55">
      <w:pPr>
        <w:spacing w:after="120"/>
      </w:pPr>
      <w:r w:rsidRPr="000501D7">
        <w:t>The Review Bo</w:t>
      </w:r>
      <w:r>
        <w:t>ard then considered the matter.</w:t>
      </w:r>
    </w:p>
    <w:p w:rsidR="00F878CD" w:rsidRDefault="00F878CD" w:rsidP="00B20911">
      <w:pPr>
        <w:pStyle w:val="Heading3"/>
      </w:pPr>
      <w:r w:rsidRPr="000501D7">
        <w:t xml:space="preserve">4. Evidence and other material taken into account </w:t>
      </w:r>
    </w:p>
    <w:p w:rsidR="00F878CD" w:rsidRPr="000501D7" w:rsidRDefault="00F878CD" w:rsidP="00F878CD">
      <w:pPr>
        <w:pStyle w:val="BodyText"/>
        <w:spacing w:before="120" w:after="120"/>
        <w:jc w:val="both"/>
        <w:rPr>
          <w:sz w:val="24"/>
        </w:rPr>
      </w:pPr>
      <w:r w:rsidRPr="000501D7">
        <w:rPr>
          <w:sz w:val="24"/>
        </w:rPr>
        <w:t>In reaching its decision</w:t>
      </w:r>
      <w:r>
        <w:rPr>
          <w:sz w:val="24"/>
        </w:rPr>
        <w:t>,</w:t>
      </w:r>
      <w:r w:rsidRPr="000501D7">
        <w:rPr>
          <w:sz w:val="24"/>
        </w:rPr>
        <w:t xml:space="preserve"> the Review Board had regard to the following: </w:t>
      </w:r>
    </w:p>
    <w:p w:rsidR="00F878CD" w:rsidRPr="00665517" w:rsidRDefault="00F878CD" w:rsidP="00F878CD">
      <w:pPr>
        <w:pStyle w:val="BodyText"/>
        <w:numPr>
          <w:ilvl w:val="0"/>
          <w:numId w:val="1"/>
        </w:numPr>
        <w:tabs>
          <w:tab w:val="left" w:pos="1080"/>
        </w:tabs>
        <w:autoSpaceDE/>
        <w:autoSpaceDN/>
        <w:adjustRightInd/>
        <w:spacing w:before="120" w:after="120"/>
        <w:ind w:left="1077"/>
        <w:rPr>
          <w:sz w:val="24"/>
        </w:rPr>
      </w:pPr>
      <w:r w:rsidRPr="00665517">
        <w:rPr>
          <w:sz w:val="24"/>
        </w:rPr>
        <w:t>the Minister’s application for review</w:t>
      </w:r>
    </w:p>
    <w:p w:rsidR="00F878CD" w:rsidRPr="00665517" w:rsidRDefault="00F878CD" w:rsidP="00F878CD">
      <w:pPr>
        <w:pStyle w:val="BodyText"/>
        <w:numPr>
          <w:ilvl w:val="0"/>
          <w:numId w:val="1"/>
        </w:numPr>
        <w:tabs>
          <w:tab w:val="left" w:pos="1080"/>
        </w:tabs>
        <w:autoSpaceDE/>
        <w:autoSpaceDN/>
        <w:adjustRightInd/>
        <w:spacing w:before="120" w:after="120"/>
        <w:ind w:left="1077"/>
        <w:rPr>
          <w:sz w:val="24"/>
        </w:rPr>
      </w:pPr>
      <w:r w:rsidRPr="00665517">
        <w:rPr>
          <w:sz w:val="24"/>
        </w:rPr>
        <w:t>IGEA’s written and oral submissions</w:t>
      </w:r>
    </w:p>
    <w:p w:rsidR="00F878CD" w:rsidRDefault="00F878CD" w:rsidP="00F878CD">
      <w:pPr>
        <w:pStyle w:val="BodyText"/>
        <w:numPr>
          <w:ilvl w:val="0"/>
          <w:numId w:val="1"/>
        </w:numPr>
        <w:tabs>
          <w:tab w:val="left" w:pos="1080"/>
        </w:tabs>
        <w:autoSpaceDE/>
        <w:autoSpaceDN/>
        <w:adjustRightInd/>
        <w:spacing w:before="120" w:after="120"/>
        <w:ind w:left="1077"/>
        <w:rPr>
          <w:sz w:val="24"/>
        </w:rPr>
      </w:pPr>
      <w:r w:rsidRPr="00665517">
        <w:rPr>
          <w:sz w:val="24"/>
        </w:rPr>
        <w:t>ACCM’s written and oral submissions</w:t>
      </w:r>
    </w:p>
    <w:p w:rsidR="00723D86" w:rsidRPr="00665517" w:rsidRDefault="00723D86" w:rsidP="00F878CD">
      <w:pPr>
        <w:pStyle w:val="BodyText"/>
        <w:numPr>
          <w:ilvl w:val="0"/>
          <w:numId w:val="1"/>
        </w:numPr>
        <w:tabs>
          <w:tab w:val="left" w:pos="1080"/>
        </w:tabs>
        <w:autoSpaceDE/>
        <w:autoSpaceDN/>
        <w:adjustRightInd/>
        <w:spacing w:before="120" w:after="120"/>
        <w:ind w:left="1077"/>
        <w:rPr>
          <w:sz w:val="24"/>
        </w:rPr>
      </w:pPr>
      <w:r>
        <w:rPr>
          <w:sz w:val="24"/>
        </w:rPr>
        <w:t>AFA’s written submission</w:t>
      </w:r>
    </w:p>
    <w:p w:rsidR="00F878CD" w:rsidRPr="00665517" w:rsidRDefault="00F878CD" w:rsidP="00F878CD">
      <w:pPr>
        <w:pStyle w:val="BodyText"/>
        <w:numPr>
          <w:ilvl w:val="0"/>
          <w:numId w:val="1"/>
        </w:numPr>
        <w:tabs>
          <w:tab w:val="left" w:pos="1080"/>
        </w:tabs>
        <w:autoSpaceDE/>
        <w:autoSpaceDN/>
        <w:adjustRightInd/>
        <w:spacing w:before="120" w:after="120"/>
        <w:ind w:left="1077"/>
        <w:rPr>
          <w:sz w:val="24"/>
        </w:rPr>
      </w:pPr>
      <w:r w:rsidRPr="00665517">
        <w:rPr>
          <w:sz w:val="24"/>
        </w:rPr>
        <w:t xml:space="preserve">the computer game, </w:t>
      </w:r>
      <w:r w:rsidRPr="00665517">
        <w:rPr>
          <w:i/>
          <w:sz w:val="24"/>
        </w:rPr>
        <w:t>Gears of War: Judgment</w:t>
      </w:r>
      <w:r w:rsidR="00682A41" w:rsidRPr="00682A41">
        <w:rPr>
          <w:sz w:val="24"/>
        </w:rPr>
        <w:t>, and</w:t>
      </w:r>
    </w:p>
    <w:p w:rsidR="00F878CD" w:rsidRDefault="00F878CD" w:rsidP="00F878CD">
      <w:pPr>
        <w:pStyle w:val="BodyText"/>
        <w:numPr>
          <w:ilvl w:val="0"/>
          <w:numId w:val="1"/>
        </w:numPr>
        <w:tabs>
          <w:tab w:val="left" w:pos="1080"/>
        </w:tabs>
        <w:autoSpaceDE/>
        <w:autoSpaceDN/>
        <w:adjustRightInd/>
        <w:spacing w:before="120" w:after="120"/>
        <w:ind w:left="1077"/>
        <w:rPr>
          <w:sz w:val="24"/>
        </w:rPr>
      </w:pPr>
      <w:r>
        <w:rPr>
          <w:sz w:val="24"/>
        </w:rPr>
        <w:t>t</w:t>
      </w:r>
      <w:r w:rsidRPr="000501D7">
        <w:rPr>
          <w:sz w:val="24"/>
        </w:rPr>
        <w:t xml:space="preserve">he relevant provisions in the </w:t>
      </w:r>
      <w:r>
        <w:rPr>
          <w:sz w:val="24"/>
        </w:rPr>
        <w:t xml:space="preserve">Classification </w:t>
      </w:r>
      <w:r w:rsidRPr="000501D7">
        <w:rPr>
          <w:sz w:val="24"/>
        </w:rPr>
        <w:t>Act</w:t>
      </w:r>
      <w:r>
        <w:rPr>
          <w:sz w:val="24"/>
        </w:rPr>
        <w:t>, the Code and the Guidelines</w:t>
      </w:r>
      <w:r w:rsidR="00682A41">
        <w:rPr>
          <w:sz w:val="24"/>
        </w:rPr>
        <w:t>.</w:t>
      </w:r>
    </w:p>
    <w:p w:rsidR="002F5733" w:rsidRDefault="002F5733" w:rsidP="00B20911">
      <w:pPr>
        <w:pStyle w:val="Heading3"/>
      </w:pPr>
      <w:r>
        <w:lastRenderedPageBreak/>
        <w:t>5. Background</w:t>
      </w:r>
    </w:p>
    <w:p w:rsidR="00682A41" w:rsidRDefault="002F5733" w:rsidP="002F5733">
      <w:pPr>
        <w:spacing w:before="120" w:after="120"/>
        <w:rPr>
          <w:b/>
        </w:rPr>
      </w:pPr>
      <w:r>
        <w:t xml:space="preserve">The Review Board noted the Board’s decision report of </w:t>
      </w:r>
      <w:r>
        <w:rPr>
          <w:i/>
        </w:rPr>
        <w:t>Gears of War: Judgment.</w:t>
      </w:r>
    </w:p>
    <w:p w:rsidR="00F878CD" w:rsidRDefault="002F5733" w:rsidP="00B20911">
      <w:pPr>
        <w:pStyle w:val="Heading3"/>
      </w:pPr>
      <w:r>
        <w:t>6</w:t>
      </w:r>
      <w:r w:rsidR="00F878CD">
        <w:t>.</w:t>
      </w:r>
      <w:r w:rsidR="00F878CD" w:rsidRPr="000501D7">
        <w:t xml:space="preserve"> Synopsis</w:t>
      </w:r>
    </w:p>
    <w:p w:rsidR="00F878CD" w:rsidRDefault="00F878CD" w:rsidP="00827A55">
      <w:pPr>
        <w:spacing w:after="120"/>
      </w:pPr>
      <w:r>
        <w:rPr>
          <w:i/>
        </w:rPr>
        <w:t>Gears of War: Judgment</w:t>
      </w:r>
      <w:r>
        <w:t xml:space="preserve"> is a military-styled</w:t>
      </w:r>
      <w:r w:rsidR="00B637F7">
        <w:t>, science fiction, third-person</w:t>
      </w:r>
      <w:r>
        <w:t xml:space="preserve"> shooter game</w:t>
      </w:r>
      <w:r w:rsidR="00B637F7">
        <w:t>.</w:t>
      </w:r>
      <w:r>
        <w:t xml:space="preserve">  The player, as Damon Baird, a member of Kilo Squad, engages in battle against </w:t>
      </w:r>
      <w:r w:rsidR="00B637F7">
        <w:t>a range of alien enemies, in particular</w:t>
      </w:r>
      <w:r>
        <w:t xml:space="preserve"> the Locust Horde</w:t>
      </w:r>
      <w:r w:rsidR="00B637F7">
        <w:t xml:space="preserve">, </w:t>
      </w:r>
      <w:r>
        <w:t xml:space="preserve"> in an attempt to save the remaining human inhabitant</w:t>
      </w:r>
      <w:r w:rsidR="00B637F7">
        <w:t>s</w:t>
      </w:r>
      <w:r>
        <w:t xml:space="preserve"> of the fictional Earth-like planet, Sera.</w:t>
      </w:r>
      <w:r w:rsidR="00B637F7">
        <w:t xml:space="preserve">  </w:t>
      </w:r>
    </w:p>
    <w:p w:rsidR="00F878CD" w:rsidRPr="000501D7" w:rsidRDefault="002F5733" w:rsidP="00B20911">
      <w:pPr>
        <w:pStyle w:val="Heading3"/>
      </w:pPr>
      <w:r>
        <w:t>7</w:t>
      </w:r>
      <w:r w:rsidR="00F878CD">
        <w:t>.</w:t>
      </w:r>
      <w:r w:rsidR="00F878CD" w:rsidRPr="000501D7">
        <w:t xml:space="preserve"> Findings on material questions of fact</w:t>
      </w:r>
    </w:p>
    <w:p w:rsidR="00F878CD" w:rsidRPr="000501D7" w:rsidRDefault="00F878CD" w:rsidP="00827A55">
      <w:pPr>
        <w:spacing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F878CD" w:rsidRDefault="00F878CD" w:rsidP="00827A55">
      <w:pPr>
        <w:spacing w:after="120"/>
        <w:rPr>
          <w:color w:val="FF0000"/>
        </w:rPr>
      </w:pPr>
      <w:r w:rsidRPr="000501D7">
        <w:t xml:space="preserve">(a) Themes – </w:t>
      </w:r>
      <w:r>
        <w:t>The game contained themes that can be accommodated at a lower classification.</w:t>
      </w:r>
    </w:p>
    <w:p w:rsidR="00F878CD" w:rsidRDefault="00B637F7" w:rsidP="00827A55">
      <w:pPr>
        <w:spacing w:after="120"/>
      </w:pPr>
      <w:r w:rsidRPr="000501D7">
        <w:t xml:space="preserve"> </w:t>
      </w:r>
      <w:r w:rsidR="00F878CD" w:rsidRPr="000501D7">
        <w:t xml:space="preserve">(b) Violence – </w:t>
      </w:r>
      <w:r w:rsidR="00F878CD">
        <w:t xml:space="preserve">The game depicts unrealistic violence from a first person perspective </w:t>
      </w:r>
      <w:r w:rsidR="00D234F2">
        <w:t>against</w:t>
      </w:r>
      <w:r w:rsidR="00F878CD">
        <w:t xml:space="preserve"> a range of alien enemies including humanoids, zombies, and giant centipedes.</w:t>
      </w:r>
      <w:r w:rsidR="001D6168">
        <w:t xml:space="preserve"> </w:t>
      </w:r>
      <w:r w:rsidR="00F878CD">
        <w:t>The player uses a range of</w:t>
      </w:r>
      <w:r w:rsidR="001D6168">
        <w:t xml:space="preserve"> exaggerated</w:t>
      </w:r>
      <w:r w:rsidR="00F878CD">
        <w:t xml:space="preserve"> weaponry inclu</w:t>
      </w:r>
      <w:r>
        <w:t xml:space="preserve">ding guns, rifles, grenades, </w:t>
      </w:r>
      <w:r w:rsidR="00F878CD">
        <w:t>chainsaws and bayonets.</w:t>
      </w:r>
      <w:r w:rsidR="001D6168">
        <w:t xml:space="preserve"> </w:t>
      </w:r>
      <w:r w:rsidR="002F5733">
        <w:t xml:space="preserve"> </w:t>
      </w:r>
      <w:r w:rsidR="00D234F2">
        <w:t>G</w:t>
      </w:r>
      <w:r w:rsidR="00F878CD">
        <w:t>ame-play</w:t>
      </w:r>
      <w:r w:rsidR="001D6168">
        <w:t xml:space="preserve"> </w:t>
      </w:r>
      <w:r w:rsidR="00D234F2">
        <w:t>includes</w:t>
      </w:r>
      <w:r w:rsidR="00F878CD">
        <w:t xml:space="preserve"> opportunities to undertake close-range executions of a range of alien creatures which results in significant </w:t>
      </w:r>
      <w:r w:rsidR="00B32676">
        <w:t xml:space="preserve">and </w:t>
      </w:r>
      <w:r w:rsidR="001418A4">
        <w:t>unreal</w:t>
      </w:r>
      <w:r w:rsidR="00F878CD">
        <w:t xml:space="preserve"> stylised blood splatter; ranging </w:t>
      </w:r>
      <w:r w:rsidR="00D234F2">
        <w:t>in colour from</w:t>
      </w:r>
      <w:r w:rsidR="00F878CD">
        <w:t xml:space="preserve"> blue to</w:t>
      </w:r>
      <w:r w:rsidR="00F878CD" w:rsidRPr="00322F77">
        <w:t xml:space="preserve"> </w:t>
      </w:r>
      <w:r w:rsidR="00F878CD">
        <w:t>deep red, which splashes onto th</w:t>
      </w:r>
      <w:r>
        <w:t>e player</w:t>
      </w:r>
      <w:r w:rsidR="001418A4">
        <w:t>’</w:t>
      </w:r>
      <w:r>
        <w:t>s viewing screen</w:t>
      </w:r>
      <w:r w:rsidR="00D234F2">
        <w:t>,</w:t>
      </w:r>
      <w:r w:rsidR="00F878CD">
        <w:t xml:space="preserve"> </w:t>
      </w:r>
      <w:r w:rsidR="00D234F2">
        <w:t>before</w:t>
      </w:r>
      <w:r w:rsidR="00F878CD">
        <w:t xml:space="preserve"> quickly dissipat</w:t>
      </w:r>
      <w:r w:rsidR="00D234F2">
        <w:t>ing</w:t>
      </w:r>
      <w:r w:rsidR="00F878CD">
        <w:t xml:space="preserve">. </w:t>
      </w:r>
      <w:r w:rsidR="002F5733">
        <w:t xml:space="preserve"> </w:t>
      </w:r>
      <w:r w:rsidR="00F878CD">
        <w:t xml:space="preserve">After an alien’s death their remains disintegrate and disappear. </w:t>
      </w:r>
      <w:r w:rsidR="002F5733">
        <w:t xml:space="preserve"> </w:t>
      </w:r>
      <w:r w:rsidR="00F878CD">
        <w:t xml:space="preserve">Whilst </w:t>
      </w:r>
      <w:r w:rsidR="00D234F2">
        <w:t xml:space="preserve">an attack </w:t>
      </w:r>
      <w:r w:rsidR="00F878CD">
        <w:t>on d</w:t>
      </w:r>
      <w:r>
        <w:t xml:space="preserve">ead humans creates </w:t>
      </w:r>
      <w:r w:rsidR="00D234F2">
        <w:t xml:space="preserve">unrealistic blood </w:t>
      </w:r>
      <w:r>
        <w:t>splatter,</w:t>
      </w:r>
      <w:r w:rsidR="00F878CD">
        <w:t xml:space="preserve"> no further </w:t>
      </w:r>
      <w:r w:rsidR="00D234F2">
        <w:t>post mortem damage</w:t>
      </w:r>
      <w:r w:rsidR="00F878CD">
        <w:t xml:space="preserve"> occurs.</w:t>
      </w:r>
    </w:p>
    <w:p w:rsidR="00F878CD" w:rsidRDefault="00F878CD" w:rsidP="00827A55">
      <w:pPr>
        <w:spacing w:after="120"/>
      </w:pPr>
      <w:r>
        <w:t>Although frequent, depictions of injury and blood are unrealistic and lacking detail</w:t>
      </w:r>
      <w:r w:rsidR="001D6168">
        <w:t>.</w:t>
      </w:r>
    </w:p>
    <w:p w:rsidR="00F878CD" w:rsidRDefault="00F878CD" w:rsidP="00827A55">
      <w:pPr>
        <w:spacing w:after="120"/>
      </w:pPr>
      <w:r>
        <w:t xml:space="preserve">In multiplayer mode, violence against fellow soldiers is </w:t>
      </w:r>
      <w:r w:rsidR="001418A4">
        <w:t>possible;</w:t>
      </w:r>
      <w:r>
        <w:t xml:space="preserve"> however this gameplay shows no more blood-splatter and gore than alien deaths.</w:t>
      </w:r>
    </w:p>
    <w:p w:rsidR="00F878CD" w:rsidRDefault="001D6168" w:rsidP="00827A55">
      <w:pPr>
        <w:spacing w:after="120"/>
      </w:pPr>
      <w:r w:rsidRPr="001D6168">
        <w:t xml:space="preserve">The game contains violence that is strong in </w:t>
      </w:r>
      <w:r w:rsidR="001418A4">
        <w:t>impact and justified by context.  T</w:t>
      </w:r>
      <w:r w:rsidR="001418A4" w:rsidRPr="001D6168">
        <w:t>he</w:t>
      </w:r>
      <w:r w:rsidR="00F878CD" w:rsidRPr="001D6168">
        <w:t xml:space="preserve"> impact of this element is no higher than </w:t>
      </w:r>
      <w:r w:rsidRPr="001D6168">
        <w:t>strong</w:t>
      </w:r>
      <w:r w:rsidR="00F878CD" w:rsidRPr="001D6168">
        <w:t xml:space="preserve"> and can be accommodated at the </w:t>
      </w:r>
      <w:r w:rsidRPr="001D6168">
        <w:t>MA</w:t>
      </w:r>
      <w:r w:rsidR="00827A55">
        <w:t> </w:t>
      </w:r>
      <w:r w:rsidRPr="001D6168">
        <w:t>15</w:t>
      </w:r>
      <w:r w:rsidR="00CC0869" w:rsidRPr="001D6168">
        <w:t>+ level</w:t>
      </w:r>
      <w:r w:rsidR="00F878CD" w:rsidRPr="001D6168">
        <w:t>.</w:t>
      </w:r>
      <w:r w:rsidR="00B637F7" w:rsidRPr="001D6168">
        <w:t xml:space="preserve"> </w:t>
      </w:r>
    </w:p>
    <w:p w:rsidR="00F878CD" w:rsidRDefault="00F878CD" w:rsidP="00827A55">
      <w:pPr>
        <w:spacing w:after="120"/>
      </w:pPr>
      <w:r>
        <w:t>(c</w:t>
      </w:r>
      <w:r w:rsidRPr="000501D7">
        <w:t>) Sex –</w:t>
      </w:r>
      <w:r>
        <w:t xml:space="preserve"> There was no sex in the game.</w:t>
      </w:r>
      <w:r w:rsidRPr="000501D7">
        <w:t xml:space="preserve"> </w:t>
      </w:r>
    </w:p>
    <w:p w:rsidR="00F878CD" w:rsidRPr="000501D7" w:rsidRDefault="00F878CD" w:rsidP="00827A55">
      <w:pPr>
        <w:spacing w:after="120"/>
      </w:pPr>
      <w:r w:rsidRPr="000501D7">
        <w:t>(</w:t>
      </w:r>
      <w:r>
        <w:t>d</w:t>
      </w:r>
      <w:r w:rsidRPr="000501D7">
        <w:t>) Language –</w:t>
      </w:r>
      <w:r>
        <w:t xml:space="preserve"> The game contained coarse language that can be accommodated at a lower classification.</w:t>
      </w:r>
    </w:p>
    <w:p w:rsidR="00F878CD" w:rsidRDefault="00F878CD" w:rsidP="00827A55">
      <w:pPr>
        <w:spacing w:after="120"/>
      </w:pPr>
      <w:r w:rsidRPr="000501D7">
        <w:t>(e) Drug Use –</w:t>
      </w:r>
      <w:r>
        <w:t xml:space="preserve"> There was no drug use in the game.</w:t>
      </w:r>
    </w:p>
    <w:p w:rsidR="00F878CD" w:rsidRPr="000501D7" w:rsidRDefault="00F878CD" w:rsidP="00827A55">
      <w:pPr>
        <w:spacing w:after="120"/>
      </w:pPr>
      <w:r w:rsidRPr="000501D7">
        <w:t>(f) Nudity –</w:t>
      </w:r>
      <w:r w:rsidRPr="00A42B34">
        <w:rPr>
          <w:color w:val="FF0000"/>
        </w:rPr>
        <w:t xml:space="preserve"> </w:t>
      </w:r>
      <w:r>
        <w:t>There was no nudity in the game.</w:t>
      </w:r>
    </w:p>
    <w:p w:rsidR="00F878CD" w:rsidRDefault="002F5733" w:rsidP="00B20911">
      <w:pPr>
        <w:pStyle w:val="Heading3"/>
      </w:pPr>
      <w:r>
        <w:t>8</w:t>
      </w:r>
      <w:r w:rsidR="00F878CD">
        <w:t>.</w:t>
      </w:r>
      <w:r w:rsidR="00F878CD" w:rsidRPr="000501D7">
        <w:t xml:space="preserve"> Reasons for the decision </w:t>
      </w:r>
    </w:p>
    <w:p w:rsidR="00F878CD" w:rsidRPr="00D137FE" w:rsidRDefault="00F878CD" w:rsidP="00827A55">
      <w:pPr>
        <w:spacing w:after="120"/>
        <w:rPr>
          <w:b/>
        </w:rPr>
      </w:pPr>
      <w:r w:rsidRPr="002464A1">
        <w:t xml:space="preserve">The </w:t>
      </w:r>
      <w:r>
        <w:t xml:space="preserve">Review Board unanimously decided that the impact of the classifiable </w:t>
      </w:r>
      <w:r w:rsidRPr="00D16DA8">
        <w:t xml:space="preserve">elements is </w:t>
      </w:r>
      <w:r w:rsidR="001D6168">
        <w:t xml:space="preserve">no higher than strong. </w:t>
      </w:r>
      <w:r w:rsidR="002F5733">
        <w:t xml:space="preserve"> </w:t>
      </w:r>
      <w:r w:rsidR="001D6168">
        <w:t>The violence in the game</w:t>
      </w:r>
      <w:r w:rsidR="00711746">
        <w:t xml:space="preserve"> against a range of unrealistic enemies,</w:t>
      </w:r>
      <w:r w:rsidR="001D6168">
        <w:t xml:space="preserve"> although frequent, was unrealistic and </w:t>
      </w:r>
      <w:r w:rsidR="00711746">
        <w:t>stylised.</w:t>
      </w:r>
    </w:p>
    <w:p w:rsidR="00F878CD" w:rsidRPr="000501D7" w:rsidRDefault="002F5733" w:rsidP="00B20911">
      <w:pPr>
        <w:pStyle w:val="Heading3"/>
      </w:pPr>
      <w:r>
        <w:t>9</w:t>
      </w:r>
      <w:r w:rsidR="00F878CD">
        <w:t>.</w:t>
      </w:r>
      <w:r w:rsidR="00F878CD" w:rsidRPr="000501D7">
        <w:t xml:space="preserve"> Summary</w:t>
      </w:r>
    </w:p>
    <w:p w:rsidR="00F878CD" w:rsidRPr="00A42B34" w:rsidRDefault="0092068A" w:rsidP="00827A55">
      <w:pPr>
        <w:spacing w:after="240"/>
        <w:rPr>
          <w:color w:val="FF0000"/>
        </w:rPr>
      </w:pPr>
      <w:r w:rsidRPr="0048101D">
        <w:t>Violence is permitted in the MA</w:t>
      </w:r>
      <w:r w:rsidR="002F5733">
        <w:t xml:space="preserve"> </w:t>
      </w:r>
      <w:r w:rsidRPr="0048101D">
        <w:t xml:space="preserve">15+ context provided that it is justified by context. </w:t>
      </w:r>
      <w:r w:rsidR="00F878CD">
        <w:t xml:space="preserve">The Review Board decided that the computer game should be classified </w:t>
      </w:r>
      <w:r w:rsidR="001D6168">
        <w:t>MA</w:t>
      </w:r>
      <w:r w:rsidR="002F5733">
        <w:t xml:space="preserve"> </w:t>
      </w:r>
      <w:r w:rsidR="001D6168">
        <w:t xml:space="preserve">15+ </w:t>
      </w:r>
      <w:r w:rsidR="001D6168" w:rsidRPr="001D6168">
        <w:t xml:space="preserve">and consumer advice ‘Strong bloody violence, </w:t>
      </w:r>
      <w:r w:rsidR="00CC0869" w:rsidRPr="001D6168">
        <w:t>gaming</w:t>
      </w:r>
      <w:r w:rsidR="00723D86">
        <w:t xml:space="preserve"> experience may change online’.</w:t>
      </w:r>
    </w:p>
    <w:p w:rsidR="008B1008" w:rsidRDefault="008B1008" w:rsidP="00F878CD">
      <w:pPr>
        <w:jc w:val="center"/>
      </w:pPr>
    </w:p>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45C" w:rsidRDefault="0000645C" w:rsidP="00514206">
      <w:r>
        <w:separator/>
      </w:r>
    </w:p>
  </w:endnote>
  <w:endnote w:type="continuationSeparator" w:id="0">
    <w:p w:rsidR="0000645C" w:rsidRDefault="0000645C"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166DB5">
      <w:rPr>
        <w:noProof/>
      </w:rPr>
      <w:t>2</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45C" w:rsidRDefault="0000645C" w:rsidP="00514206">
      <w:r>
        <w:separator/>
      </w:r>
    </w:p>
  </w:footnote>
  <w:footnote w:type="continuationSeparator" w:id="0">
    <w:p w:rsidR="0000645C" w:rsidRDefault="0000645C"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0645C"/>
    <w:rsid w:val="0001621C"/>
    <w:rsid w:val="00057698"/>
    <w:rsid w:val="00063D16"/>
    <w:rsid w:val="000744E9"/>
    <w:rsid w:val="00085A3E"/>
    <w:rsid w:val="000916DE"/>
    <w:rsid w:val="000960BA"/>
    <w:rsid w:val="001418A4"/>
    <w:rsid w:val="00145EAE"/>
    <w:rsid w:val="00166DB5"/>
    <w:rsid w:val="001A6DFD"/>
    <w:rsid w:val="001D6168"/>
    <w:rsid w:val="001F101D"/>
    <w:rsid w:val="001F6A2E"/>
    <w:rsid w:val="001F739C"/>
    <w:rsid w:val="00210C12"/>
    <w:rsid w:val="0023456D"/>
    <w:rsid w:val="002464A1"/>
    <w:rsid w:val="00277CA4"/>
    <w:rsid w:val="002C60F3"/>
    <w:rsid w:val="002F5733"/>
    <w:rsid w:val="00322F77"/>
    <w:rsid w:val="00332BFE"/>
    <w:rsid w:val="00360AAE"/>
    <w:rsid w:val="003D2DB3"/>
    <w:rsid w:val="003E707B"/>
    <w:rsid w:val="00421B5D"/>
    <w:rsid w:val="004842EC"/>
    <w:rsid w:val="00497145"/>
    <w:rsid w:val="004A582B"/>
    <w:rsid w:val="00514206"/>
    <w:rsid w:val="00515595"/>
    <w:rsid w:val="0056528E"/>
    <w:rsid w:val="005C2943"/>
    <w:rsid w:val="005C2ABF"/>
    <w:rsid w:val="005C5710"/>
    <w:rsid w:val="005F6359"/>
    <w:rsid w:val="006219F0"/>
    <w:rsid w:val="00661F2F"/>
    <w:rsid w:val="006747D4"/>
    <w:rsid w:val="00682A41"/>
    <w:rsid w:val="00706E88"/>
    <w:rsid w:val="00711746"/>
    <w:rsid w:val="00723D86"/>
    <w:rsid w:val="00724A60"/>
    <w:rsid w:val="00762C62"/>
    <w:rsid w:val="007B0A14"/>
    <w:rsid w:val="007E1467"/>
    <w:rsid w:val="007F6F67"/>
    <w:rsid w:val="0080379E"/>
    <w:rsid w:val="00827A55"/>
    <w:rsid w:val="008439D7"/>
    <w:rsid w:val="00856C59"/>
    <w:rsid w:val="00874D1B"/>
    <w:rsid w:val="008832B1"/>
    <w:rsid w:val="008953B4"/>
    <w:rsid w:val="008B1008"/>
    <w:rsid w:val="008C7071"/>
    <w:rsid w:val="008D7176"/>
    <w:rsid w:val="0092068A"/>
    <w:rsid w:val="00936DC2"/>
    <w:rsid w:val="00960E55"/>
    <w:rsid w:val="00963E94"/>
    <w:rsid w:val="009F7982"/>
    <w:rsid w:val="00A137D7"/>
    <w:rsid w:val="00A712ED"/>
    <w:rsid w:val="00A93BA2"/>
    <w:rsid w:val="00AC47B9"/>
    <w:rsid w:val="00AD605E"/>
    <w:rsid w:val="00AE2E7A"/>
    <w:rsid w:val="00B20911"/>
    <w:rsid w:val="00B32676"/>
    <w:rsid w:val="00B637F7"/>
    <w:rsid w:val="00BE1BEA"/>
    <w:rsid w:val="00C51B44"/>
    <w:rsid w:val="00C6399F"/>
    <w:rsid w:val="00CA22A2"/>
    <w:rsid w:val="00CC0869"/>
    <w:rsid w:val="00CC5DC0"/>
    <w:rsid w:val="00CC6F0E"/>
    <w:rsid w:val="00D05BD1"/>
    <w:rsid w:val="00D137FE"/>
    <w:rsid w:val="00D16DA8"/>
    <w:rsid w:val="00D234F2"/>
    <w:rsid w:val="00D649BC"/>
    <w:rsid w:val="00D67DAE"/>
    <w:rsid w:val="00DC2E21"/>
    <w:rsid w:val="00E14EA8"/>
    <w:rsid w:val="00E76F92"/>
    <w:rsid w:val="00EE3169"/>
    <w:rsid w:val="00EE4A6E"/>
    <w:rsid w:val="00EF04E2"/>
    <w:rsid w:val="00EF0522"/>
    <w:rsid w:val="00F12719"/>
    <w:rsid w:val="00F31C65"/>
    <w:rsid w:val="00F73432"/>
    <w:rsid w:val="00F878CD"/>
    <w:rsid w:val="00FD20AB"/>
    <w:rsid w:val="00FE1FC7"/>
    <w:rsid w:val="00FF3D73"/>
    <w:rsid w:val="00FF4C4B"/>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7DE88D3-A0E9-4210-B1D8-46DB0724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B20911"/>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B20911"/>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customStyle="1" w:styleId="Heading2Char">
    <w:name w:val="Heading 2 Char"/>
    <w:link w:val="Heading2"/>
    <w:uiPriority w:val="9"/>
    <w:rsid w:val="00B20911"/>
    <w:rPr>
      <w:rFonts w:ascii="Times New Roman" w:eastAsia="Times New Roman" w:hAnsi="Times New Roman"/>
      <w:b/>
      <w:sz w:val="24"/>
      <w:szCs w:val="24"/>
      <w:lang w:eastAsia="en-US"/>
    </w:rPr>
  </w:style>
  <w:style w:type="character" w:customStyle="1" w:styleId="Heading3Char">
    <w:name w:val="Heading 3 Char"/>
    <w:link w:val="Heading3"/>
    <w:uiPriority w:val="9"/>
    <w:rsid w:val="00B2091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5096">
      <w:bodyDiv w:val="1"/>
      <w:marLeft w:val="0"/>
      <w:marRight w:val="0"/>
      <w:marTop w:val="0"/>
      <w:marBottom w:val="0"/>
      <w:divBdr>
        <w:top w:val="none" w:sz="0" w:space="0" w:color="auto"/>
        <w:left w:val="none" w:sz="0" w:space="0" w:color="auto"/>
        <w:bottom w:val="none" w:sz="0" w:space="0" w:color="auto"/>
        <w:right w:val="none" w:sz="0" w:space="0" w:color="auto"/>
      </w:divBdr>
    </w:div>
    <w:div w:id="15959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9B2E76-2FDE-43A7-B33C-B96719CC5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7B0A7-F4D3-479A-B162-2C00D11E631C}">
  <ds:schemaRefs>
    <ds:schemaRef ds:uri="http://schemas.microsoft.com/sharepoint/v3/contenttype/forms"/>
  </ds:schemaRefs>
</ds:datastoreItem>
</file>

<file path=customXml/itemProps3.xml><?xml version="1.0" encoding="utf-8"?>
<ds:datastoreItem xmlns:ds="http://schemas.openxmlformats.org/officeDocument/2006/customXml" ds:itemID="{568A3EDA-F360-435F-99AF-9419123528F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Decisions and reasons for decision—Gears of war</vt:lpstr>
    </vt:vector>
  </TitlesOfParts>
  <Company>Australian Attorney General's Department</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Decisions and reasons for decision—Gears of war</dc:title>
  <dc:subject/>
  <dc:creator>Kim</dc:creator>
  <cp:keywords/>
  <cp:lastModifiedBy>Hodsdon, Marnie</cp:lastModifiedBy>
  <cp:revision>2</cp:revision>
  <cp:lastPrinted>2013-12-13T01:55:00Z</cp:lastPrinted>
  <dcterms:created xsi:type="dcterms:W3CDTF">2019-08-15T02:44:00Z</dcterms:created>
  <dcterms:modified xsi:type="dcterms:W3CDTF">2019-08-15T02:44:00Z</dcterms:modified>
</cp:coreProperties>
</file>