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0F4" w:rsidRDefault="005113AA" w:rsidP="005113AA">
      <w:pPr>
        <w:ind w:left="-1418"/>
        <w:sectPr w:rsidR="00C550F4" w:rsidSect="00C550F4">
          <w:footerReference w:type="default" r:id="rId8"/>
          <w:pgSz w:w="11906" w:h="16838"/>
          <w:pgMar w:top="0" w:right="1274" w:bottom="1440" w:left="1440" w:header="708" w:footer="283" w:gutter="0"/>
          <w:cols w:space="708"/>
          <w:docGrid w:linePitch="360"/>
        </w:sectPr>
      </w:pPr>
      <w:r>
        <w:rPr>
          <w:noProof/>
          <w:lang w:eastAsia="en-AU"/>
        </w:rPr>
        <w:drawing>
          <wp:inline distT="0" distB="0" distL="0" distR="0" wp14:anchorId="615D3811" wp14:editId="503CC103">
            <wp:extent cx="7560000" cy="1368469"/>
            <wp:effectExtent l="0" t="0" r="3175" b="3175"/>
            <wp:docPr id="2" name="Picture 2" descr="Logo: Australian Government,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comms &amp; Arts hea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136846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rsidR="003C5D02" w:rsidRPr="005113AA" w:rsidRDefault="003A75BD" w:rsidP="004645BA">
      <w:pPr>
        <w:pStyle w:val="Heading1"/>
        <w:spacing w:before="600"/>
      </w:pPr>
      <w:bookmarkStart w:id="0" w:name="_GoBack"/>
      <w:r>
        <w:t>2018 classification survey report: loot boxes and simulated gambling in games</w:t>
      </w:r>
    </w:p>
    <w:bookmarkEnd w:id="0"/>
    <w:p w:rsidR="003A75BD" w:rsidRPr="0058271E" w:rsidRDefault="003A75BD" w:rsidP="003A75BD">
      <w:pPr>
        <w:pStyle w:val="Heading2"/>
      </w:pPr>
      <w:r w:rsidRPr="0058271E">
        <w:t>Background</w:t>
      </w:r>
    </w:p>
    <w:p w:rsidR="003A75BD" w:rsidRPr="0058271E" w:rsidRDefault="003A75BD" w:rsidP="003A75BD">
      <w:r w:rsidRPr="0058271E">
        <w:t>In October and November 2018 the department conducted a quantitative research project, involving an online survey of over 2000 parents on a range of classification issues (n= 2,018). Respondent characteristics were as follows:</w:t>
      </w:r>
    </w:p>
    <w:p w:rsidR="003A75BD" w:rsidRPr="0058271E" w:rsidRDefault="003A75BD" w:rsidP="003A75BD">
      <w:pPr>
        <w:pStyle w:val="Listparagraphbullets"/>
      </w:pPr>
      <w:r w:rsidRPr="0058271E">
        <w:t>parents of children in age segments: 4</w:t>
      </w:r>
      <w:r w:rsidR="00A03CDE">
        <w:t>–</w:t>
      </w:r>
      <w:r w:rsidRPr="0058271E">
        <w:t>5 years, 6</w:t>
      </w:r>
      <w:r w:rsidR="00A03CDE">
        <w:t>–</w:t>
      </w:r>
      <w:r w:rsidRPr="0058271E">
        <w:t>8 years, 9</w:t>
      </w:r>
      <w:r w:rsidR="00A03CDE">
        <w:t>–</w:t>
      </w:r>
      <w:r w:rsidRPr="0058271E">
        <w:t>12 years, 13</w:t>
      </w:r>
      <w:r w:rsidR="00A03CDE">
        <w:t>–</w:t>
      </w:r>
      <w:r w:rsidRPr="0058271E">
        <w:t>14 years, 15</w:t>
      </w:r>
      <w:r w:rsidR="00A03CDE">
        <w:t>–</w:t>
      </w:r>
      <w:r w:rsidRPr="0058271E">
        <w:t>17 years</w:t>
      </w:r>
    </w:p>
    <w:p w:rsidR="003A75BD" w:rsidRPr="0058271E" w:rsidRDefault="003A75BD" w:rsidP="003A75BD">
      <w:pPr>
        <w:pStyle w:val="Listparagraphbullets"/>
      </w:pPr>
      <w:r w:rsidRPr="0058271E">
        <w:t>mixture of socioeconomic status, geographic location and cultural backgrounds</w:t>
      </w:r>
    </w:p>
    <w:p w:rsidR="003A75BD" w:rsidRPr="0058271E" w:rsidRDefault="003A75BD" w:rsidP="003A75BD">
      <w:pPr>
        <w:pStyle w:val="Listparagraphbullets"/>
      </w:pPr>
      <w:r w:rsidRPr="0058271E">
        <w:t>minimum quotas in relation to media use, to ensure users of mobile and console/PC</w:t>
      </w:r>
      <w:r w:rsidR="00A03CDE">
        <w:t xml:space="preserve"> games, film and online content</w:t>
      </w:r>
    </w:p>
    <w:p w:rsidR="003A75BD" w:rsidRPr="0058271E" w:rsidRDefault="003A75BD" w:rsidP="003A75BD">
      <w:pPr>
        <w:pStyle w:val="Listparagraphbullets"/>
      </w:pPr>
      <w:r w:rsidRPr="0058271E">
        <w:t>Screeners for classification use: those who ‘never’ use classification excluded (leaving those who rarely, sometimes and often use classification) to enable informed consideration of classification response across topics covered.</w:t>
      </w:r>
    </w:p>
    <w:p w:rsidR="003A75BD" w:rsidRPr="0058271E" w:rsidRDefault="003A75BD" w:rsidP="003A75BD">
      <w:r w:rsidRPr="0058271E">
        <w:t xml:space="preserve">The following is an extract of the survey results relating to loot boxes and simulated gambling, which supplements the findings of the qualitative research commissioned from Whereto Research Based Consulting, titled </w:t>
      </w:r>
      <w:r w:rsidRPr="003A75BD">
        <w:rPr>
          <w:i/>
        </w:rPr>
        <w:t>Computer Games Content Research: January 2019</w:t>
      </w:r>
      <w:r w:rsidRPr="0058271E">
        <w:t>.</w:t>
      </w:r>
    </w:p>
    <w:p w:rsidR="003A75BD" w:rsidRPr="0058271E" w:rsidRDefault="003A75BD" w:rsidP="003A75BD">
      <w:pPr>
        <w:pStyle w:val="Heading2"/>
      </w:pPr>
      <w:r w:rsidRPr="0058271E">
        <w:t>Loot boxes</w:t>
      </w:r>
    </w:p>
    <w:p w:rsidR="003A75BD" w:rsidRPr="0058271E" w:rsidRDefault="003A75BD" w:rsidP="003A75BD">
      <w:pPr>
        <w:pStyle w:val="Heading3"/>
      </w:pPr>
      <w:r w:rsidRPr="0058271E">
        <w:t>Familiarity with loot boxes</w:t>
      </w:r>
    </w:p>
    <w:p w:rsidR="003A75BD" w:rsidRPr="0058271E" w:rsidRDefault="003A75BD" w:rsidP="003A75BD">
      <w:r w:rsidRPr="0058271E">
        <w:t>Familiarity with loot boxes among the sample was very limited. Approximately half the respondents (51%) were unfamiliar with loot boxes and a further 24% were only slightly familiar with them (see Table 1).</w:t>
      </w:r>
    </w:p>
    <w:p w:rsidR="003A75BD" w:rsidRPr="0058271E" w:rsidRDefault="003A75BD" w:rsidP="003A75BD">
      <w:pPr>
        <w:pStyle w:val="Tablefigureheading"/>
      </w:pPr>
      <w:r w:rsidRPr="0058271E">
        <w:t>Table 1: respondent familiarity with loot boxes (n= 2,018)</w:t>
      </w:r>
    </w:p>
    <w:p w:rsidR="003A75BD" w:rsidRDefault="003A75BD" w:rsidP="004645BA">
      <w:pPr>
        <w:keepNext/>
        <w:spacing w:after="0"/>
      </w:pPr>
      <w:r>
        <w:rPr>
          <w:noProof/>
          <w:lang w:eastAsia="en-AU"/>
        </w:rPr>
        <w:drawing>
          <wp:inline distT="0" distB="0" distL="0" distR="0" wp14:anchorId="15DAB49F" wp14:editId="44FDB052">
            <wp:extent cx="4173415" cy="2538918"/>
            <wp:effectExtent l="0" t="0" r="0" b="0"/>
            <wp:docPr id="1" name="Picture 1" descr="Table 1: respondent familiarity with loot boxes&#10;&#10;Table 1 shows a bar graph of the respondent's familiarity with loot boxes.&#10;&#10;The category &quot;Not at all familiar&quot; has a response of 51%. &#10;The category &quot;Slightly familiar&quot; has a response of 24%. &#10;The category &quot;Moderately familiar&quot; has a response of 14%. &#10;The category &quot;Very familiar&quot; has a response of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0922" cy="2555652"/>
                    </a:xfrm>
                    <a:prstGeom prst="rect">
                      <a:avLst/>
                    </a:prstGeom>
                  </pic:spPr>
                </pic:pic>
              </a:graphicData>
            </a:graphic>
          </wp:inline>
        </w:drawing>
      </w:r>
    </w:p>
    <w:p w:rsidR="003A75BD" w:rsidRDefault="003A75BD" w:rsidP="003A75BD">
      <w:pPr>
        <w:pStyle w:val="Sourcenote"/>
      </w:pPr>
      <w:r w:rsidRPr="001A16A9">
        <w:t>Source: Department of Communications and the Arts parent survey, October 2018.</w:t>
      </w:r>
    </w:p>
    <w:p w:rsidR="003A75BD" w:rsidRPr="001A16A9" w:rsidRDefault="003A75BD" w:rsidP="003A75BD">
      <w:pPr>
        <w:pStyle w:val="Heading2"/>
      </w:pPr>
      <w:r w:rsidRPr="001A16A9">
        <w:lastRenderedPageBreak/>
        <w:t>Perceptions of loot boxes</w:t>
      </w:r>
    </w:p>
    <w:p w:rsidR="003A75BD" w:rsidRPr="001A16A9" w:rsidRDefault="003A75BD" w:rsidP="00A03CDE">
      <w:r w:rsidRPr="001A16A9">
        <w:t>Among those parents who had some familiarity with loot boxes:</w:t>
      </w:r>
    </w:p>
    <w:p w:rsidR="003A75BD" w:rsidRPr="001A16A9" w:rsidRDefault="003A75BD" w:rsidP="003A75BD">
      <w:pPr>
        <w:pStyle w:val="Listparagraphbullets"/>
      </w:pPr>
      <w:r w:rsidRPr="001A16A9">
        <w:t xml:space="preserve">a majority (71%) agreed that game developers should publish the odds of winning loot boxes </w:t>
      </w:r>
    </w:p>
    <w:p w:rsidR="003A75BD" w:rsidRPr="001A16A9" w:rsidRDefault="003A75BD" w:rsidP="003A75BD">
      <w:pPr>
        <w:pStyle w:val="Listparagraphbullets"/>
      </w:pPr>
      <w:r w:rsidRPr="001A16A9">
        <w:t>just over half (55%) agreed that loot boxes were akin to gambling and should be treated as such</w:t>
      </w:r>
    </w:p>
    <w:p w:rsidR="003A75BD" w:rsidRPr="001A16A9" w:rsidRDefault="003A75BD" w:rsidP="003A75BD">
      <w:pPr>
        <w:pStyle w:val="Listparagraphbullets"/>
      </w:pPr>
      <w:r w:rsidRPr="001A16A9">
        <w:t>the same percentage (55%) also believed that some loot boxes were potentially more harmful than others</w:t>
      </w:r>
    </w:p>
    <w:p w:rsidR="003A75BD" w:rsidRPr="001A16A9" w:rsidRDefault="003A75BD" w:rsidP="003A75BD">
      <w:pPr>
        <w:pStyle w:val="Listparagraphbullets"/>
      </w:pPr>
      <w:r w:rsidRPr="001A16A9">
        <w:t>smaller percentages agreed loot boxes were harmful to children (48%) and adults (31%).</w:t>
      </w:r>
    </w:p>
    <w:p w:rsidR="003A75BD" w:rsidRPr="001A16A9" w:rsidRDefault="003A75BD" w:rsidP="003A75BD">
      <w:r w:rsidRPr="001A16A9">
        <w:t>See Table 2 below.</w:t>
      </w:r>
    </w:p>
    <w:p w:rsidR="003A75BD" w:rsidRPr="001A16A9" w:rsidRDefault="003A75BD" w:rsidP="003A75BD">
      <w:pPr>
        <w:pStyle w:val="Tablefigureheading"/>
      </w:pPr>
      <w:r w:rsidRPr="001A16A9">
        <w:t>Table 2: respondent views on loot boxes (n= 894)</w:t>
      </w:r>
    </w:p>
    <w:p w:rsidR="003A75BD" w:rsidRDefault="003A75BD" w:rsidP="004645BA">
      <w:pPr>
        <w:keepNext/>
        <w:spacing w:after="0"/>
      </w:pPr>
      <w:r>
        <w:rPr>
          <w:noProof/>
          <w:lang w:eastAsia="en-AU"/>
        </w:rPr>
        <w:drawing>
          <wp:inline distT="0" distB="0" distL="0" distR="0" wp14:anchorId="71579662" wp14:editId="09D12005">
            <wp:extent cx="4094025" cy="2520462"/>
            <wp:effectExtent l="0" t="0" r="1905" b="0"/>
            <wp:docPr id="3" name="Picture 3" descr="Table 2: respondent views on loot boxes (n=894)&#10;&#10;Table 2 is a bar graph that shows respondent views expressed as a percentage in relation to the following phrases: &#10;Games developers should be required to publish the odds of winning the desired loot-box prizes (71%)&#10;Some loot boxes are potentially more harmful than others (55%)&#10;Loot boxes are akin to gambling and should be treated as such (55%) &#10;Loot boxes are harmful to children and young people (48%)&#10;Loot boxes are harmful to adult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5643" cy="2539927"/>
                    </a:xfrm>
                    <a:prstGeom prst="rect">
                      <a:avLst/>
                    </a:prstGeom>
                  </pic:spPr>
                </pic:pic>
              </a:graphicData>
            </a:graphic>
          </wp:inline>
        </w:drawing>
      </w:r>
    </w:p>
    <w:p w:rsidR="003A75BD" w:rsidRDefault="003A75BD" w:rsidP="003A75BD">
      <w:pPr>
        <w:pStyle w:val="Sourcenote"/>
      </w:pPr>
      <w:r>
        <w:t>Source: Department of Communications and the Arts parent survey, October 2018.</w:t>
      </w:r>
    </w:p>
    <w:p w:rsidR="003A75BD" w:rsidRPr="001A16A9" w:rsidRDefault="003A75BD" w:rsidP="003A75BD">
      <w:pPr>
        <w:pStyle w:val="Heading2"/>
      </w:pPr>
      <w:r w:rsidRPr="001A16A9">
        <w:t>Views on classifi</w:t>
      </w:r>
      <w:r w:rsidR="00A03CDE">
        <w:t>cation of games with loot boxes</w:t>
      </w:r>
    </w:p>
    <w:p w:rsidR="003A75BD" w:rsidRPr="001A16A9" w:rsidRDefault="003A75BD" w:rsidP="00A03CDE">
      <w:pPr>
        <w:keepNext/>
        <w:keepLines/>
      </w:pPr>
      <w:r w:rsidRPr="001A16A9">
        <w:t>When these parents were asked the lowest suitable classification for a game with loot boxes, results indicated few considered it necessary to restrict access to games purely due to the presence of loot boxes. Across the categories, only 12% said MA 15+ should be the lowest classification for such a game and only 5% chose R 18+, compared with 31% for PG (see Table 3 below)</w:t>
      </w:r>
      <w:r>
        <w:t>.</w:t>
      </w:r>
    </w:p>
    <w:p w:rsidR="003A75BD" w:rsidRPr="001A16A9" w:rsidRDefault="003A75BD" w:rsidP="003A75BD">
      <w:pPr>
        <w:pStyle w:val="Tablefigureheading"/>
      </w:pPr>
      <w:r w:rsidRPr="001A16A9">
        <w:t>Table 3: respondent views on classification of loot boxes (n= 894)</w:t>
      </w:r>
    </w:p>
    <w:p w:rsidR="003A75BD" w:rsidRDefault="003A75BD" w:rsidP="004645BA">
      <w:pPr>
        <w:keepNext/>
        <w:spacing w:after="0"/>
      </w:pPr>
      <w:r>
        <w:rPr>
          <w:noProof/>
          <w:lang w:eastAsia="en-AU"/>
        </w:rPr>
        <w:drawing>
          <wp:inline distT="0" distB="0" distL="0" distR="0" wp14:anchorId="7BCDD06D" wp14:editId="4BF0CBDA">
            <wp:extent cx="4067908" cy="2584929"/>
            <wp:effectExtent l="0" t="0" r="0" b="6350"/>
            <wp:docPr id="4" name="Picture 4" descr="Table 3: respondent views on classification of loot boxes (n=894)&#10;&#10;Table 3 is a bar graph that shows respondent views on what the lowest suitable classification for a game with loot boxes should be. PG classification (31%); M classification (19%); Shouldn't affect classification (13%); MA 15+ classification (12%); G classification (10%); Unsure (9%); R 18+ classification (5%); Other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3376" cy="2613821"/>
                    </a:xfrm>
                    <a:prstGeom prst="rect">
                      <a:avLst/>
                    </a:prstGeom>
                  </pic:spPr>
                </pic:pic>
              </a:graphicData>
            </a:graphic>
          </wp:inline>
        </w:drawing>
      </w:r>
    </w:p>
    <w:p w:rsidR="003A75BD" w:rsidRDefault="003A75BD" w:rsidP="003A75BD">
      <w:pPr>
        <w:pStyle w:val="Sourcenote"/>
      </w:pPr>
      <w:r>
        <w:t>Source: Department of Communications and the Arts parent survey, October 2018.</w:t>
      </w:r>
    </w:p>
    <w:p w:rsidR="003A75BD" w:rsidRPr="001A16A9" w:rsidRDefault="003A75BD" w:rsidP="003A75BD">
      <w:pPr>
        <w:pStyle w:val="Heading2"/>
      </w:pPr>
      <w:r w:rsidRPr="001A16A9">
        <w:lastRenderedPageBreak/>
        <w:t>Views on games with simulated gambling</w:t>
      </w:r>
    </w:p>
    <w:p w:rsidR="003A75BD" w:rsidRPr="001A16A9" w:rsidRDefault="003A75BD" w:rsidP="004645BA">
      <w:pPr>
        <w:keepLines/>
      </w:pPr>
      <w:r w:rsidRPr="001A16A9">
        <w:t>Parents were asked separately about interactive game content that simulated gambling, such as simulated ‘slots’ games, and games including simulated gambling content in combination with other kinds of play (e.g. puzzles or quests).</w:t>
      </w:r>
    </w:p>
    <w:p w:rsidR="003A75BD" w:rsidRPr="001A16A9" w:rsidRDefault="003A75BD" w:rsidP="004645BA">
      <w:pPr>
        <w:keepLines/>
      </w:pPr>
      <w:r w:rsidRPr="001A16A9">
        <w:t>In relation to purely simulated gambling games, a substantial proportion of parents believed such games should be classified R 18+ (40%), while 20% or fewer thought these games should be given lower classifications. There was also support (though less pronounced) for restriction of games that included, but did not entirely consist of, simulated gambling content. See Table 4 below.</w:t>
      </w:r>
    </w:p>
    <w:p w:rsidR="003A75BD" w:rsidRDefault="003A75BD" w:rsidP="003A75BD">
      <w:pPr>
        <w:pStyle w:val="Tablefigureheading"/>
      </w:pPr>
      <w:r w:rsidRPr="001A16A9">
        <w:t>Table 4: respondent views on classification of simulated gambling games (n= 2,018)</w:t>
      </w:r>
    </w:p>
    <w:p w:rsidR="003A75BD" w:rsidRDefault="003A75BD" w:rsidP="003A75BD">
      <w:pPr>
        <w:spacing w:after="0"/>
      </w:pPr>
      <w:r>
        <w:rPr>
          <w:noProof/>
          <w:lang w:eastAsia="en-AU"/>
        </w:rPr>
        <w:drawing>
          <wp:inline distT="0" distB="0" distL="0" distR="0" wp14:anchorId="2003CA64" wp14:editId="032B798B">
            <wp:extent cx="4097215" cy="2714984"/>
            <wp:effectExtent l="0" t="0" r="0" b="9525"/>
            <wp:docPr id="5" name="Picture 5" descr="Table 4: respondent views on classification of simulated gambling games (n=2,018)&#10;&#10;Table 4 shows respondent views about the suitable classification for interactive game content that was &quot;purely simulated gambling games&quot;, such as simulated ‘slots’ games, and the responses to &quot;other games that included simulated gambling.&quot;  &#10;&#10;R 18+ (40% purely simulated gambling games vs 28% other games with simulated gambling) &#10;MA 15+ (20% purely simulated gambling games vs 22% other games with simulated gambling) &#10;M (15% purely simulated gambling games vs 19% other games with simulated gambling) &#10;PG (10% purely simulated gambling games vs 14% other games with simulated gambling) &#10;Unsure (9% purely simulated gambling games vs 10% other games with simulated gambling) &#10;G (3% purely simulated gambling games vs 4% other games with simulated gambling) &#10;Shouldn't affect classification (2% purely simulated gambling games vs 3% other games with simulated gamb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20132" cy="2730170"/>
                    </a:xfrm>
                    <a:prstGeom prst="rect">
                      <a:avLst/>
                    </a:prstGeom>
                  </pic:spPr>
                </pic:pic>
              </a:graphicData>
            </a:graphic>
          </wp:inline>
        </w:drawing>
      </w:r>
    </w:p>
    <w:p w:rsidR="003A75BD" w:rsidRDefault="003A75BD" w:rsidP="003A75BD">
      <w:pPr>
        <w:pStyle w:val="Sourcenote"/>
      </w:pPr>
      <w:r>
        <w:t>Source: Department of Communications and the Arts parent survey, October 2018.</w:t>
      </w:r>
    </w:p>
    <w:p w:rsidR="003A75BD" w:rsidRDefault="003A75BD" w:rsidP="003A75BD">
      <w:pPr>
        <w:pStyle w:val="Heading2"/>
      </w:pPr>
      <w:r>
        <w:t>Key findings</w:t>
      </w:r>
    </w:p>
    <w:p w:rsidR="003A75BD" w:rsidRDefault="003A75BD" w:rsidP="003A75BD">
      <w:r>
        <w:t>Taken together, the key findings emerging from the qualitative research by Whereto consultants and the quantitative survey results include the following:</w:t>
      </w:r>
    </w:p>
    <w:p w:rsidR="003A75BD" w:rsidRDefault="003A75BD" w:rsidP="003A75BD">
      <w:pPr>
        <w:pStyle w:val="Listparagraphbullets"/>
      </w:pPr>
      <w:r>
        <w:t>Loot boxes are primarily of concern to regular adult gamers and parents of young gamers, while there is still a lack of awareness of them in the broader population. For example, half of the parents surveyed (51%) were ‘not at all familiar’ with loot boxes, while loot boxes were top of mind for gamers and parents of gamers who took part in the qualitative research.</w:t>
      </w:r>
    </w:p>
    <w:p w:rsidR="003A75BD" w:rsidRDefault="003A75BD" w:rsidP="003A75BD">
      <w:pPr>
        <w:pStyle w:val="Listparagraphbullets"/>
      </w:pPr>
      <w:r>
        <w:t>Some types of loot boxes are considered concerning to gamers and certain parents, while other loot boxes are less so. This was indicated in both qualitative and quantitative studies.</w:t>
      </w:r>
    </w:p>
    <w:p w:rsidR="003A75BD" w:rsidRDefault="003A75BD" w:rsidP="003A75BD">
      <w:pPr>
        <w:pStyle w:val="Listparagraphbullets"/>
      </w:pPr>
      <w:r>
        <w:t>The qualitative research indicates that concerns about some loot boxes primarily relate to a perception that these resemble gambling. Many gamers also have concerns about the fairness of loot boxes, particularly when they confer in game advantages.</w:t>
      </w:r>
    </w:p>
    <w:p w:rsidR="003A75BD" w:rsidRPr="00902DD9" w:rsidRDefault="003A75BD" w:rsidP="003A75BD">
      <w:pPr>
        <w:pStyle w:val="Listparagraphbullets"/>
      </w:pPr>
      <w:r w:rsidRPr="00902DD9">
        <w:t>In the qualitative research, the types of loot box identified as resembling gambling include those that can be purchased with ‘real world’ money (directly or with purchased in-game currency) and  those where items of substantial value to players (such as tradeable items or in-game advantages) are</w:t>
      </w:r>
      <w:r w:rsidR="004645BA">
        <w:t xml:space="preserve"> at stake.</w:t>
      </w:r>
    </w:p>
    <w:p w:rsidR="003A75BD" w:rsidRDefault="003A75BD" w:rsidP="004645BA">
      <w:pPr>
        <w:pStyle w:val="Listparagraphbullets"/>
        <w:keepLines/>
      </w:pPr>
      <w:r>
        <w:lastRenderedPageBreak/>
        <w:t xml:space="preserve">There are varying views about an appropriate classification response to loot boxes. Gamers and parents of young gamers who took part in the qualitative research tend to believe that perceived ‘gambling-like’ loot boxes are suitable for mature or even adult audiences only and should be classified as such. In comparison, among the survey respondents views were more mixed. While about half (55%) agreed that ‘loot boxes are akin to gambling and should be treated as such’, the same percentage also agreed that ‘some loot boxes are potentially more harmful than others’. When asked about a minimum classification for loot box games, only 5% indicated </w:t>
      </w:r>
      <w:r w:rsidR="004645BA">
        <w:t>R 18+ and 12% indicated MA 15+.</w:t>
      </w:r>
    </w:p>
    <w:p w:rsidR="003A75BD" w:rsidRDefault="003A75BD" w:rsidP="003A75BD">
      <w:pPr>
        <w:pStyle w:val="Listparagraphbullets"/>
      </w:pPr>
      <w:r>
        <w:t xml:space="preserve">In comparison, the view that games which replicate casino style play are suitable only for mature or adult audiences was consistent across both studies. </w:t>
      </w:r>
    </w:p>
    <w:p w:rsidR="003A75BD" w:rsidRPr="00007A3E" w:rsidRDefault="003A75BD" w:rsidP="00007A3E"/>
    <w:sectPr w:rsidR="003A75BD" w:rsidRPr="00007A3E" w:rsidSect="004645BA">
      <w:headerReference w:type="default" r:id="rId14"/>
      <w:type w:val="continuous"/>
      <w:pgSz w:w="11906" w:h="16838"/>
      <w:pgMar w:top="1276" w:right="1133" w:bottom="1134" w:left="1440"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5BD" w:rsidRDefault="003A75BD" w:rsidP="005113AA">
      <w:pPr>
        <w:spacing w:after="0"/>
      </w:pPr>
      <w:r>
        <w:separator/>
      </w:r>
    </w:p>
  </w:endnote>
  <w:endnote w:type="continuationSeparator" w:id="0">
    <w:p w:rsidR="003A75BD" w:rsidRDefault="003A75BD" w:rsidP="0051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3E" w:rsidRDefault="00007A3E" w:rsidP="005113AA">
    <w:pPr>
      <w:pStyle w:val="Footer"/>
      <w:tabs>
        <w:tab w:val="clear" w:pos="4513"/>
        <w:tab w:val="clear" w:pos="9026"/>
        <w:tab w:val="center" w:pos="4536"/>
        <w:tab w:val="right" w:pos="9498"/>
      </w:tabs>
      <w:ind w:left="-1440" w:right="-613"/>
    </w:pPr>
    <w:r>
      <w:rPr>
        <w:noProof/>
        <w:lang w:eastAsia="en-AU"/>
      </w:rPr>
      <w:drawing>
        <wp:inline distT="0" distB="0" distL="0" distR="0" wp14:anchorId="62D81090" wp14:editId="16004858">
          <wp:extent cx="7596000" cy="400057"/>
          <wp:effectExtent l="0" t="0" r="5080" b="0"/>
          <wp:docPr id="21" name="Picture 21" descr="Decorative banner with departmental logo." title="Decorative banner with departme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057"/>
                  </a:xfrm>
                  <a:prstGeom prst="rect">
                    <a:avLst/>
                  </a:prstGeom>
                </pic:spPr>
              </pic:pic>
            </a:graphicData>
          </a:graphic>
        </wp:inline>
      </w:drawing>
    </w:r>
  </w:p>
  <w:p w:rsidR="00007A3E" w:rsidRPr="0037566A" w:rsidRDefault="003A75BD" w:rsidP="005113AA">
    <w:pPr>
      <w:pStyle w:val="Footer"/>
      <w:tabs>
        <w:tab w:val="clear" w:pos="4513"/>
        <w:tab w:val="clear" w:pos="9026"/>
        <w:tab w:val="center" w:pos="4536"/>
        <w:tab w:val="right" w:pos="9498"/>
      </w:tabs>
      <w:ind w:right="-613"/>
      <w:rPr>
        <w:sz w:val="18"/>
        <w:szCs w:val="18"/>
      </w:rPr>
    </w:pPr>
    <w:r w:rsidRPr="003A75BD">
      <w:rPr>
        <w:sz w:val="18"/>
        <w:szCs w:val="18"/>
      </w:rPr>
      <w:t>2018 classification survey report:</w:t>
    </w:r>
    <w:r w:rsidR="00007A3E">
      <w:tab/>
    </w:r>
    <w:hyperlink r:id="rId2" w:history="1">
      <w:r w:rsidR="00007A3E" w:rsidRPr="002725BE">
        <w:rPr>
          <w:rStyle w:val="Hyperlink"/>
          <w:sz w:val="18"/>
          <w:szCs w:val="18"/>
        </w:rPr>
        <w:t>www.communications.gov.au</w:t>
      </w:r>
    </w:hyperlink>
  </w:p>
  <w:p w:rsidR="00007A3E" w:rsidRPr="00943D91" w:rsidRDefault="003A75BD" w:rsidP="005113AA">
    <w:pPr>
      <w:pStyle w:val="Footer"/>
      <w:tabs>
        <w:tab w:val="clear" w:pos="4513"/>
        <w:tab w:val="clear" w:pos="9026"/>
        <w:tab w:val="center" w:pos="4536"/>
        <w:tab w:val="right" w:pos="9498"/>
      </w:tabs>
      <w:ind w:right="-46"/>
      <w:rPr>
        <w:rStyle w:val="Hyperlink"/>
        <w:color w:val="auto"/>
        <w:sz w:val="18"/>
        <w:szCs w:val="18"/>
      </w:rPr>
    </w:pPr>
    <w:r w:rsidRPr="003A75BD">
      <w:rPr>
        <w:sz w:val="18"/>
        <w:szCs w:val="18"/>
      </w:rPr>
      <w:t>loot boxes and simulated gambling in games</w:t>
    </w:r>
    <w:r w:rsidR="00007A3E">
      <w:rPr>
        <w:sz w:val="18"/>
        <w:szCs w:val="18"/>
      </w:rPr>
      <w:tab/>
    </w:r>
    <w:hyperlink r:id="rId3" w:history="1">
      <w:r w:rsidR="00007A3E" w:rsidRPr="0037566A">
        <w:rPr>
          <w:rStyle w:val="Hyperlink"/>
          <w:sz w:val="18"/>
          <w:szCs w:val="18"/>
        </w:rPr>
        <w:t>www.arts.gov.au</w:t>
      </w:r>
    </w:hyperlink>
    <w:r w:rsidR="00007A3E" w:rsidRPr="0037566A">
      <w:rPr>
        <w:sz w:val="18"/>
        <w:szCs w:val="18"/>
      </w:rPr>
      <w:tab/>
    </w:r>
    <w:sdt>
      <w:sdtPr>
        <w:rPr>
          <w:sz w:val="18"/>
          <w:szCs w:val="18"/>
        </w:rPr>
        <w:id w:val="1063991811"/>
        <w:docPartObj>
          <w:docPartGallery w:val="Page Numbers (Top of Page)"/>
          <w:docPartUnique/>
        </w:docPartObj>
      </w:sdtPr>
      <w:sdtEndPr/>
      <w:sdtContent>
        <w:r w:rsidR="00007A3E" w:rsidRPr="0037566A">
          <w:rPr>
            <w:sz w:val="18"/>
            <w:szCs w:val="18"/>
          </w:rPr>
          <w:t xml:space="preserve">Page </w:t>
        </w:r>
        <w:r w:rsidR="00007A3E" w:rsidRPr="0037566A">
          <w:rPr>
            <w:bCs/>
            <w:sz w:val="18"/>
            <w:szCs w:val="18"/>
          </w:rPr>
          <w:fldChar w:fldCharType="begin"/>
        </w:r>
        <w:r w:rsidR="00007A3E" w:rsidRPr="0037566A">
          <w:rPr>
            <w:bCs/>
            <w:sz w:val="18"/>
            <w:szCs w:val="18"/>
          </w:rPr>
          <w:instrText xml:space="preserve"> PAGE </w:instrText>
        </w:r>
        <w:r w:rsidR="00007A3E" w:rsidRPr="0037566A">
          <w:rPr>
            <w:bCs/>
            <w:sz w:val="18"/>
            <w:szCs w:val="18"/>
          </w:rPr>
          <w:fldChar w:fldCharType="separate"/>
        </w:r>
        <w:r w:rsidR="004645BA">
          <w:rPr>
            <w:bCs/>
            <w:noProof/>
            <w:sz w:val="18"/>
            <w:szCs w:val="18"/>
          </w:rPr>
          <w:t>1</w:t>
        </w:r>
        <w:r w:rsidR="00007A3E" w:rsidRPr="0037566A">
          <w:rPr>
            <w:bCs/>
            <w:sz w:val="18"/>
            <w:szCs w:val="18"/>
          </w:rPr>
          <w:fldChar w:fldCharType="end"/>
        </w:r>
        <w:r w:rsidR="00007A3E" w:rsidRPr="0037566A">
          <w:rPr>
            <w:sz w:val="18"/>
            <w:szCs w:val="18"/>
          </w:rPr>
          <w:t xml:space="preserve"> of </w:t>
        </w:r>
        <w:r w:rsidR="00007A3E" w:rsidRPr="0037566A">
          <w:rPr>
            <w:bCs/>
            <w:sz w:val="18"/>
            <w:szCs w:val="18"/>
          </w:rPr>
          <w:fldChar w:fldCharType="begin"/>
        </w:r>
        <w:r w:rsidR="00007A3E" w:rsidRPr="0037566A">
          <w:rPr>
            <w:bCs/>
            <w:sz w:val="18"/>
            <w:szCs w:val="18"/>
          </w:rPr>
          <w:instrText xml:space="preserve"> NUMPAGES  </w:instrText>
        </w:r>
        <w:r w:rsidR="00007A3E" w:rsidRPr="0037566A">
          <w:rPr>
            <w:bCs/>
            <w:sz w:val="18"/>
            <w:szCs w:val="18"/>
          </w:rPr>
          <w:fldChar w:fldCharType="separate"/>
        </w:r>
        <w:r w:rsidR="004645BA">
          <w:rPr>
            <w:bCs/>
            <w:noProof/>
            <w:sz w:val="18"/>
            <w:szCs w:val="18"/>
          </w:rPr>
          <w:t>4</w:t>
        </w:r>
        <w:r w:rsidR="00007A3E" w:rsidRPr="0037566A">
          <w:rPr>
            <w:bCs/>
            <w:sz w:val="18"/>
            <w:szCs w:val="18"/>
          </w:rPr>
          <w:fldChar w:fldCharType="end"/>
        </w:r>
      </w:sdtContent>
    </w:sdt>
  </w:p>
  <w:p w:rsidR="00007A3E" w:rsidRPr="00007A3E" w:rsidRDefault="00007A3E" w:rsidP="005113AA">
    <w:pPr>
      <w:pStyle w:val="Footer"/>
      <w:tabs>
        <w:tab w:val="clear" w:pos="4513"/>
        <w:tab w:val="clear" w:pos="9026"/>
        <w:tab w:val="center" w:pos="4536"/>
        <w:tab w:val="right" w:pos="9498"/>
      </w:tabs>
      <w:ind w:right="-613"/>
      <w:rPr>
        <w:rStyle w:val="Hyperlink"/>
        <w:color w:val="auto"/>
        <w:sz w:val="18"/>
        <w:szCs w:val="18"/>
      </w:rPr>
    </w:pPr>
    <w:r>
      <w:tab/>
    </w:r>
    <w:hyperlink r:id="rId4" w:history="1">
      <w:r w:rsidRPr="0037566A">
        <w:rPr>
          <w:rStyle w:val="Hyperlink"/>
          <w:sz w:val="18"/>
          <w:szCs w:val="18"/>
        </w:rPr>
        <w:t>www.classification.gov.au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5BD" w:rsidRDefault="003A75BD" w:rsidP="005113AA">
      <w:pPr>
        <w:spacing w:after="0"/>
      </w:pPr>
      <w:r>
        <w:separator/>
      </w:r>
    </w:p>
  </w:footnote>
  <w:footnote w:type="continuationSeparator" w:id="0">
    <w:p w:rsidR="003A75BD" w:rsidRDefault="003A75BD" w:rsidP="005113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F4" w:rsidRPr="00AD7475" w:rsidRDefault="00C550F4" w:rsidP="005113AA">
    <w:pPr>
      <w:pStyle w:val="Header"/>
      <w:tabs>
        <w:tab w:val="clear" w:pos="9026"/>
        <w:tab w:val="right" w:pos="9333"/>
      </w:tabs>
      <w:ind w:right="-46"/>
      <w:rPr>
        <w:color w:val="001C40"/>
      </w:rPr>
    </w:pPr>
    <w:r w:rsidRPr="00AD7475">
      <w:rPr>
        <w:color w:val="001C40"/>
      </w:rPr>
      <w:t>Department of Communications and the Arts</w:t>
    </w:r>
    <w:r w:rsidRPr="00AD7475">
      <w:rPr>
        <w:color w:val="001C40"/>
      </w:rPr>
      <w:tab/>
    </w:r>
    <w:r w:rsidRPr="00AD7475">
      <w:rPr>
        <w:color w:val="001C40"/>
      </w:rPr>
      <w:tab/>
    </w:r>
    <w:r w:rsidR="003A75BD">
      <w:rPr>
        <w:color w:val="001C40"/>
      </w:rPr>
      <w:t>November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C4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0A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0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C8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AF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EA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40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A2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8827E7D"/>
    <w:multiLevelType w:val="hybridMultilevel"/>
    <w:tmpl w:val="7DB6181E"/>
    <w:lvl w:ilvl="0" w:tplc="8968F9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BD"/>
    <w:rsid w:val="00007A3E"/>
    <w:rsid w:val="0007496D"/>
    <w:rsid w:val="001370A9"/>
    <w:rsid w:val="00175036"/>
    <w:rsid w:val="001E5F93"/>
    <w:rsid w:val="001F3128"/>
    <w:rsid w:val="003A75BD"/>
    <w:rsid w:val="003C5D02"/>
    <w:rsid w:val="003D193C"/>
    <w:rsid w:val="004119F7"/>
    <w:rsid w:val="004645BA"/>
    <w:rsid w:val="005113AA"/>
    <w:rsid w:val="00716BB9"/>
    <w:rsid w:val="00800F3F"/>
    <w:rsid w:val="0081105B"/>
    <w:rsid w:val="008142F0"/>
    <w:rsid w:val="009423F3"/>
    <w:rsid w:val="00943D91"/>
    <w:rsid w:val="00A03CDE"/>
    <w:rsid w:val="00A4412F"/>
    <w:rsid w:val="00B420C8"/>
    <w:rsid w:val="00BB7E85"/>
    <w:rsid w:val="00C54D61"/>
    <w:rsid w:val="00C550F4"/>
    <w:rsid w:val="00CE0589"/>
    <w:rsid w:val="00E43838"/>
    <w:rsid w:val="00E5532B"/>
    <w:rsid w:val="00E928E3"/>
    <w:rsid w:val="00EB296B"/>
    <w:rsid w:val="00EC12D8"/>
    <w:rsid w:val="00F63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689E5D-F8CA-497F-AEC7-5FA6C9BF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DE"/>
    <w:pPr>
      <w:spacing w:line="240" w:lineRule="auto"/>
    </w:pPr>
  </w:style>
  <w:style w:type="paragraph" w:styleId="Heading1">
    <w:name w:val="heading 1"/>
    <w:basedOn w:val="Normal"/>
    <w:next w:val="Normal"/>
    <w:link w:val="Heading1Char"/>
    <w:uiPriority w:val="9"/>
    <w:qFormat/>
    <w:rsid w:val="00A03CDE"/>
    <w:pPr>
      <w:keepNext/>
      <w:spacing w:before="120" w:after="120"/>
      <w:outlineLvl w:val="0"/>
    </w:pPr>
    <w:rPr>
      <w:rFonts w:ascii="Calibri Light" w:eastAsia="MingLiU" w:hAnsi="Calibri Light" w:cs="Mangal"/>
      <w:b/>
      <w:color w:val="001C40"/>
      <w:sz w:val="48"/>
      <w:szCs w:val="32"/>
    </w:rPr>
  </w:style>
  <w:style w:type="paragraph" w:styleId="Heading2">
    <w:name w:val="heading 2"/>
    <w:basedOn w:val="Normal"/>
    <w:next w:val="Normal"/>
    <w:link w:val="Heading2Char"/>
    <w:uiPriority w:val="9"/>
    <w:unhideWhenUsed/>
    <w:qFormat/>
    <w:rsid w:val="00C54D61"/>
    <w:pPr>
      <w:keepNext/>
      <w:spacing w:after="120"/>
      <w:outlineLvl w:val="1"/>
    </w:pPr>
    <w:rPr>
      <w:rFonts w:ascii="Calibri Light" w:eastAsia="MingLiU" w:hAnsi="Calibri Light" w:cs="Mangal"/>
      <w:b/>
      <w:color w:val="001C40"/>
      <w:sz w:val="36"/>
      <w:szCs w:val="26"/>
    </w:rPr>
  </w:style>
  <w:style w:type="paragraph" w:styleId="Heading3">
    <w:name w:val="heading 3"/>
    <w:basedOn w:val="Normal"/>
    <w:next w:val="Normal"/>
    <w:link w:val="Heading3Char"/>
    <w:uiPriority w:val="9"/>
    <w:unhideWhenUsed/>
    <w:qFormat/>
    <w:rsid w:val="00C54D61"/>
    <w:pPr>
      <w:keepNext/>
      <w:spacing w:after="120"/>
      <w:outlineLvl w:val="2"/>
    </w:pPr>
    <w:rPr>
      <w:rFonts w:ascii="Calibri Light" w:eastAsia="MingLiU" w:hAnsi="Calibri Light" w:cs="Mangal"/>
      <w:b/>
      <w:color w:val="001C40"/>
      <w:sz w:val="30"/>
      <w:szCs w:val="24"/>
    </w:rPr>
  </w:style>
  <w:style w:type="paragraph" w:styleId="Heading4">
    <w:name w:val="heading 4"/>
    <w:basedOn w:val="Normal"/>
    <w:next w:val="Normal"/>
    <w:link w:val="Heading4Char"/>
    <w:uiPriority w:val="9"/>
    <w:unhideWhenUsed/>
    <w:qFormat/>
    <w:rsid w:val="00E5532B"/>
    <w:pPr>
      <w:keepNext/>
      <w:keepLines/>
      <w:spacing w:after="120"/>
      <w:outlineLvl w:val="3"/>
    </w:pPr>
    <w:rPr>
      <w:rFonts w:ascii="Calibri Light" w:eastAsia="MingLiU" w:hAnsi="Calibri Light" w:cs="Mangal"/>
      <w:b/>
      <w:bCs/>
      <w:color w:val="001C40"/>
      <w:sz w:val="24"/>
      <w:szCs w:val="24"/>
      <w:lang w:eastAsia="zh-TW"/>
    </w:rPr>
  </w:style>
  <w:style w:type="paragraph" w:styleId="Heading5">
    <w:name w:val="heading 5"/>
    <w:basedOn w:val="Normal"/>
    <w:next w:val="Normal"/>
    <w:link w:val="Heading5Char"/>
    <w:uiPriority w:val="9"/>
    <w:unhideWhenUsed/>
    <w:qFormat/>
    <w:rsid w:val="00E5532B"/>
    <w:pPr>
      <w:keepNext/>
      <w:keepLines/>
      <w:spacing w:after="60"/>
      <w:outlineLvl w:val="4"/>
    </w:pPr>
    <w:rPr>
      <w:rFonts w:ascii="Calibri Light" w:eastAsia="MingLiU" w:hAnsi="Calibri Light" w:cs="Mangal"/>
      <w:b/>
      <w:color w:val="001C4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3AA"/>
    <w:pPr>
      <w:tabs>
        <w:tab w:val="center" w:pos="4513"/>
        <w:tab w:val="right" w:pos="9026"/>
      </w:tabs>
      <w:spacing w:after="0"/>
    </w:pPr>
  </w:style>
  <w:style w:type="character" w:customStyle="1" w:styleId="HeaderChar">
    <w:name w:val="Header Char"/>
    <w:basedOn w:val="DefaultParagraphFont"/>
    <w:link w:val="Header"/>
    <w:uiPriority w:val="99"/>
    <w:rsid w:val="005113AA"/>
  </w:style>
  <w:style w:type="paragraph" w:styleId="Footer">
    <w:name w:val="footer"/>
    <w:basedOn w:val="Normal"/>
    <w:link w:val="FooterChar"/>
    <w:uiPriority w:val="99"/>
    <w:unhideWhenUsed/>
    <w:rsid w:val="005113AA"/>
    <w:pPr>
      <w:tabs>
        <w:tab w:val="center" w:pos="4513"/>
        <w:tab w:val="right" w:pos="9026"/>
      </w:tabs>
      <w:spacing w:after="0"/>
    </w:pPr>
  </w:style>
  <w:style w:type="character" w:customStyle="1" w:styleId="FooterChar">
    <w:name w:val="Footer Char"/>
    <w:basedOn w:val="DefaultParagraphFont"/>
    <w:link w:val="Footer"/>
    <w:uiPriority w:val="99"/>
    <w:rsid w:val="005113AA"/>
  </w:style>
  <w:style w:type="character" w:styleId="Hyperlink">
    <w:name w:val="Hyperlink"/>
    <w:basedOn w:val="DefaultParagraphFont"/>
    <w:uiPriority w:val="99"/>
    <w:unhideWhenUsed/>
    <w:rsid w:val="005113AA"/>
    <w:rPr>
      <w:color w:val="155589"/>
      <w:u w:val="single"/>
    </w:rPr>
  </w:style>
  <w:style w:type="character" w:customStyle="1" w:styleId="Heading1Char">
    <w:name w:val="Heading 1 Char"/>
    <w:basedOn w:val="DefaultParagraphFont"/>
    <w:link w:val="Heading1"/>
    <w:uiPriority w:val="9"/>
    <w:rsid w:val="00A03CDE"/>
    <w:rPr>
      <w:rFonts w:ascii="Calibri Light" w:eastAsia="MingLiU" w:hAnsi="Calibri Light" w:cs="Mangal"/>
      <w:b/>
      <w:color w:val="001C40"/>
      <w:sz w:val="48"/>
      <w:szCs w:val="32"/>
    </w:rPr>
  </w:style>
  <w:style w:type="character" w:customStyle="1" w:styleId="Heading2Char">
    <w:name w:val="Heading 2 Char"/>
    <w:basedOn w:val="DefaultParagraphFont"/>
    <w:link w:val="Heading2"/>
    <w:uiPriority w:val="9"/>
    <w:rsid w:val="00C54D61"/>
    <w:rPr>
      <w:rFonts w:ascii="Calibri Light" w:eastAsia="MingLiU" w:hAnsi="Calibri Light" w:cs="Mangal"/>
      <w:b/>
      <w:color w:val="001C40"/>
      <w:sz w:val="36"/>
      <w:szCs w:val="26"/>
    </w:rPr>
  </w:style>
  <w:style w:type="character" w:customStyle="1" w:styleId="Heading3Char">
    <w:name w:val="Heading 3 Char"/>
    <w:basedOn w:val="DefaultParagraphFont"/>
    <w:link w:val="Heading3"/>
    <w:uiPriority w:val="9"/>
    <w:rsid w:val="00C54D61"/>
    <w:rPr>
      <w:rFonts w:ascii="Calibri Light" w:eastAsia="MingLiU" w:hAnsi="Calibri Light" w:cs="Mangal"/>
      <w:b/>
      <w:color w:val="001C40"/>
      <w:sz w:val="30"/>
      <w:szCs w:val="24"/>
    </w:rPr>
  </w:style>
  <w:style w:type="character" w:customStyle="1" w:styleId="Heading4Char">
    <w:name w:val="Heading 4 Char"/>
    <w:basedOn w:val="DefaultParagraphFont"/>
    <w:link w:val="Heading4"/>
    <w:uiPriority w:val="9"/>
    <w:rsid w:val="00E5532B"/>
    <w:rPr>
      <w:rFonts w:ascii="Calibri Light" w:eastAsia="MingLiU" w:hAnsi="Calibri Light" w:cs="Mangal"/>
      <w:b/>
      <w:bCs/>
      <w:color w:val="001C40"/>
      <w:sz w:val="24"/>
      <w:szCs w:val="24"/>
      <w:lang w:eastAsia="zh-TW"/>
    </w:rPr>
  </w:style>
  <w:style w:type="character" w:customStyle="1" w:styleId="Heading5Char">
    <w:name w:val="Heading 5 Char"/>
    <w:basedOn w:val="DefaultParagraphFont"/>
    <w:link w:val="Heading5"/>
    <w:uiPriority w:val="9"/>
    <w:rsid w:val="00E5532B"/>
    <w:rPr>
      <w:rFonts w:ascii="Calibri Light" w:eastAsia="MingLiU" w:hAnsi="Calibri Light" w:cs="Mangal"/>
      <w:b/>
      <w:color w:val="001C40"/>
      <w:lang w:eastAsia="zh-TW"/>
    </w:rPr>
  </w:style>
  <w:style w:type="paragraph" w:styleId="FootnoteText">
    <w:name w:val="footnote text"/>
    <w:basedOn w:val="Normal"/>
    <w:link w:val="FootnoteTextChar"/>
    <w:uiPriority w:val="99"/>
    <w:semiHidden/>
    <w:unhideWhenUsed/>
    <w:rsid w:val="005113AA"/>
    <w:pPr>
      <w:spacing w:after="0"/>
    </w:pPr>
    <w:rPr>
      <w:sz w:val="20"/>
      <w:szCs w:val="20"/>
    </w:rPr>
  </w:style>
  <w:style w:type="character" w:customStyle="1" w:styleId="FootnoteTextChar">
    <w:name w:val="Footnote Text Char"/>
    <w:basedOn w:val="DefaultParagraphFont"/>
    <w:link w:val="FootnoteText"/>
    <w:uiPriority w:val="99"/>
    <w:semiHidden/>
    <w:rsid w:val="005113AA"/>
    <w:rPr>
      <w:sz w:val="20"/>
      <w:szCs w:val="20"/>
    </w:rPr>
  </w:style>
  <w:style w:type="table" w:customStyle="1" w:styleId="TableGrid1">
    <w:name w:val="Table Grid1"/>
    <w:basedOn w:val="TableNormal"/>
    <w:next w:val="TableGrid"/>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113AA"/>
    <w:rPr>
      <w:vertAlign w:val="superscript"/>
    </w:rPr>
  </w:style>
  <w:style w:type="table" w:styleId="TableGrid">
    <w:name w:val="Table Grid"/>
    <w:basedOn w:val="TableNormal"/>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63D35"/>
    <w:pPr>
      <w:keepNext/>
      <w:spacing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customStyle="1" w:styleId="Tablerowcolumnheadingcentred">
    <w:name w:val="Table row/column heading centred"/>
    <w:basedOn w:val="Normal"/>
    <w:next w:val="Normal"/>
    <w:rsid w:val="00800F3F"/>
    <w:pPr>
      <w:spacing w:after="0"/>
      <w:jc w:val="center"/>
    </w:pPr>
    <w:rPr>
      <w:rFonts w:eastAsia="Times New Roman" w:cs="Times New Roman"/>
      <w:b/>
      <w:bCs/>
      <w:szCs w:val="20"/>
    </w:rPr>
  </w:style>
  <w:style w:type="paragraph" w:customStyle="1" w:styleId="Tabletext">
    <w:name w:val="Table text"/>
    <w:basedOn w:val="Tabletextcentred"/>
    <w:qFormat/>
    <w:rsid w:val="00800F3F"/>
    <w:pPr>
      <w:jc w:val="left"/>
    </w:pPr>
  </w:style>
  <w:style w:type="paragraph" w:customStyle="1" w:styleId="Tablerowcolumnheading">
    <w:name w:val="Table row/column heading"/>
    <w:basedOn w:val="Normal"/>
    <w:next w:val="Normal"/>
    <w:rsid w:val="00800F3F"/>
    <w:pPr>
      <w:spacing w:after="0"/>
    </w:pPr>
    <w:rPr>
      <w:rFonts w:eastAsia="Times New Roman" w:cs="Times New Roman"/>
      <w:b/>
      <w:bCs/>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styleId="NoSpacing">
    <w:name w:val="No Spacing"/>
    <w:uiPriority w:val="1"/>
    <w:qFormat/>
    <w:rsid w:val="00800F3F"/>
    <w:pPr>
      <w:spacing w:after="0" w:line="240" w:lineRule="auto"/>
    </w:pPr>
  </w:style>
  <w:style w:type="paragraph" w:customStyle="1" w:styleId="Heading2notshowing">
    <w:name w:val="Heading 2—not showing"/>
    <w:basedOn w:val="Heading2"/>
    <w:qFormat/>
    <w:rsid w:val="00943D91"/>
    <w:rPr>
      <w:sz w:val="32"/>
    </w:rPr>
  </w:style>
  <w:style w:type="paragraph" w:styleId="ListParagraph">
    <w:name w:val="List Paragraph"/>
    <w:aliases w:val="List Paragraph—numbers"/>
    <w:basedOn w:val="Normal"/>
    <w:uiPriority w:val="34"/>
    <w:qFormat/>
    <w:rsid w:val="0007496D"/>
    <w:pPr>
      <w:numPr>
        <w:numId w:val="14"/>
      </w:numPr>
      <w:ind w:left="567" w:hanging="567"/>
      <w:contextualSpacing/>
    </w:pPr>
  </w:style>
  <w:style w:type="paragraph" w:customStyle="1" w:styleId="Listparagraphbullets">
    <w:name w:val="List paragraph—bullets"/>
    <w:basedOn w:val="ListParagraph"/>
    <w:qFormat/>
    <w:rsid w:val="00A03CDE"/>
    <w:pPr>
      <w:numPr>
        <w:numId w:val="13"/>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943D91"/>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1">
    <w:name w:val="toc 1"/>
    <w:basedOn w:val="Normal"/>
    <w:next w:val="Normal"/>
    <w:autoRedefine/>
    <w:uiPriority w:val="39"/>
    <w:unhideWhenUsed/>
    <w:rsid w:val="00F63D35"/>
    <w:pPr>
      <w:keepNext/>
      <w:tabs>
        <w:tab w:val="right" w:leader="dot" w:pos="9072"/>
      </w:tabs>
      <w:spacing w:before="120" w:after="0"/>
      <w:ind w:left="284" w:right="567" w:hanging="284"/>
    </w:pPr>
    <w:rPr>
      <w:b/>
      <w:color w:val="001C40"/>
    </w:rPr>
  </w:style>
  <w:style w:type="paragraph" w:styleId="TOC2">
    <w:name w:val="toc 2"/>
    <w:basedOn w:val="Normal"/>
    <w:next w:val="Normal"/>
    <w:autoRedefine/>
    <w:uiPriority w:val="39"/>
    <w:unhideWhenUsed/>
    <w:rsid w:val="00F63D35"/>
    <w:pPr>
      <w:tabs>
        <w:tab w:val="right" w:leader="dot" w:pos="9072"/>
      </w:tabs>
      <w:spacing w:after="0"/>
      <w:ind w:left="851" w:right="567" w:hanging="284"/>
    </w:pPr>
  </w:style>
  <w:style w:type="paragraph" w:styleId="TOC3">
    <w:name w:val="toc 3"/>
    <w:basedOn w:val="Normal"/>
    <w:next w:val="Normal"/>
    <w:autoRedefine/>
    <w:uiPriority w:val="39"/>
    <w:unhideWhenUsed/>
    <w:rsid w:val="00F63D35"/>
    <w:pPr>
      <w:tabs>
        <w:tab w:val="right" w:leader="dot" w:pos="9072"/>
      </w:tabs>
      <w:spacing w:after="0"/>
      <w:ind w:left="1418" w:right="567" w:hanging="284"/>
    </w:pPr>
  </w:style>
  <w:style w:type="paragraph" w:styleId="TOC4">
    <w:name w:val="toc 4"/>
    <w:basedOn w:val="Normal"/>
    <w:next w:val="Normal"/>
    <w:autoRedefine/>
    <w:uiPriority w:val="39"/>
    <w:unhideWhenUsed/>
    <w:rsid w:val="00F63D35"/>
    <w:pPr>
      <w:tabs>
        <w:tab w:val="right" w:leader="dot" w:pos="9072"/>
        <w:tab w:val="right" w:leader="dot" w:pos="9182"/>
      </w:tabs>
      <w:spacing w:after="0"/>
      <w:ind w:right="567"/>
    </w:pPr>
  </w:style>
  <w:style w:type="paragraph" w:customStyle="1" w:styleId="Normal-disclaimerpage">
    <w:name w:val="Normal - disclaimer page"/>
    <w:basedOn w:val="Normal"/>
    <w:qFormat/>
    <w:rsid w:val="00F63D35"/>
    <w:pPr>
      <w:spacing w:after="120"/>
    </w:pPr>
    <w:rPr>
      <w:rFonts w:ascii="Calibri" w:eastAsia="PMingLiU" w:hAnsi="Calibri" w:cs="Mangal"/>
      <w:sz w:val="21"/>
      <w:lang w:eastAsia="zh-TW"/>
    </w:rPr>
  </w:style>
  <w:style w:type="character" w:styleId="FollowedHyperlink">
    <w:name w:val="FollowedHyperlink"/>
    <w:basedOn w:val="DefaultParagraphFont"/>
    <w:uiPriority w:val="99"/>
    <w:semiHidden/>
    <w:unhideWhenUsed/>
    <w:rsid w:val="00C550F4"/>
    <w:rPr>
      <w:color w:val="155589" w:themeColor="followedHyperlink"/>
      <w:u w:val="single"/>
    </w:rPr>
  </w:style>
  <w:style w:type="paragraph" w:customStyle="1" w:styleId="Bulletlevel1">
    <w:name w:val="Bullet level 1"/>
    <w:basedOn w:val="Normal"/>
    <w:qFormat/>
    <w:rsid w:val="003A75BD"/>
    <w:pPr>
      <w:numPr>
        <w:numId w:val="15"/>
      </w:numPr>
      <w:ind w:left="567" w:hanging="56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rts.gov.au" TargetMode="External"/><Relationship Id="rId2" Type="http://schemas.openxmlformats.org/officeDocument/2006/relationships/hyperlink" Target="http://www.communications.gov.au" TargetMode="External"/><Relationship Id="rId1" Type="http://schemas.openxmlformats.org/officeDocument/2006/relationships/image" Target="media/image1.png"/><Relationship Id="rId4" Type="http://schemas.openxmlformats.org/officeDocument/2006/relationships/hyperlink" Target="http://www.classific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department--document--template--2019.dotx"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8B3AC3-EBA6-41A3-A0A2-57C5EEC719F0}"/>
</file>

<file path=customXml/itemProps2.xml><?xml version="1.0" encoding="utf-8"?>
<ds:datastoreItem xmlns:ds="http://schemas.openxmlformats.org/officeDocument/2006/customXml" ds:itemID="{CA86956E-A135-4C13-86F0-9EC94E28A78E}"/>
</file>

<file path=customXml/itemProps3.xml><?xml version="1.0" encoding="utf-8"?>
<ds:datastoreItem xmlns:ds="http://schemas.openxmlformats.org/officeDocument/2006/customXml" ds:itemID="{B084843D-8D99-4379-B099-6F61752936D1}"/>
</file>

<file path=customXml/itemProps4.xml><?xml version="1.0" encoding="utf-8"?>
<ds:datastoreItem xmlns:ds="http://schemas.openxmlformats.org/officeDocument/2006/customXml" ds:itemID="{EE84EA19-131E-4085-89CE-E9D0BE00B68E}"/>
</file>

<file path=docProps/app.xml><?xml version="1.0" encoding="utf-8"?>
<Properties xmlns="http://schemas.openxmlformats.org/officeDocument/2006/extended-properties" xmlns:vt="http://schemas.openxmlformats.org/officeDocument/2006/docPropsVTypes">
  <Template>department--document--template--2019.dotx</Template>
  <TotalTime>26</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classification survey report: loot boxes and simulated gambling in games</dc:title>
  <dc:subject/>
  <dc:creator>Department of Communications and the Arts</dc:creator>
  <cp:keywords/>
  <dc:description>25 January 2019</dc:description>
  <cp:lastModifiedBy>Department of Communications and the Arts</cp:lastModifiedBy>
  <cp:revision>1</cp:revision>
  <dcterms:created xsi:type="dcterms:W3CDTF">2019-02-07T02:53:00Z</dcterms:created>
  <dcterms:modified xsi:type="dcterms:W3CDTF">2019-02-07T03:36:00Z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ies>
</file>