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F349" w14:textId="77777777" w:rsidR="00CB423E" w:rsidRPr="00850EB4" w:rsidRDefault="00CB423E" w:rsidP="006E41C6">
      <w:pPr>
        <w:pStyle w:val="BodyText"/>
      </w:pPr>
    </w:p>
    <w:p w14:paraId="086206CC" w14:textId="6BE2DD72" w:rsidR="00CB423E" w:rsidRPr="0030107C" w:rsidRDefault="00306B44" w:rsidP="0076320B">
      <w:pPr>
        <w:pStyle w:val="ReportTitle"/>
        <w:spacing w:before="240"/>
      </w:pPr>
      <w:r>
        <w:t>H</w:t>
      </w:r>
      <w:r w:rsidR="00ED53CE">
        <w:t>arms associated with</w:t>
      </w:r>
      <w:r w:rsidR="00CB423E" w:rsidRPr="6D4C8F02">
        <w:t xml:space="preserve"> loot boxes, </w:t>
      </w:r>
      <w:r w:rsidR="0099434E">
        <w:t xml:space="preserve">simulated </w:t>
      </w:r>
      <w:proofErr w:type="gramStart"/>
      <w:r w:rsidR="0099434E">
        <w:t>gambling</w:t>
      </w:r>
      <w:proofErr w:type="gramEnd"/>
      <w:r w:rsidR="00CB423E" w:rsidRPr="6D4C8F02">
        <w:t xml:space="preserve"> </w:t>
      </w:r>
      <w:r w:rsidR="000B4DA9" w:rsidRPr="6D4C8F02">
        <w:t xml:space="preserve">and </w:t>
      </w:r>
      <w:r w:rsidR="00DF7C98">
        <w:t xml:space="preserve">other </w:t>
      </w:r>
      <w:r w:rsidR="000B4DA9" w:rsidRPr="6D4C8F02">
        <w:t>in</w:t>
      </w:r>
      <w:r w:rsidR="00004E11">
        <w:t>-</w:t>
      </w:r>
      <w:r w:rsidR="000B4DA9" w:rsidRPr="6D4C8F02">
        <w:t>game purchases</w:t>
      </w:r>
      <w:r w:rsidR="00CB423E" w:rsidRPr="6D4C8F02">
        <w:t xml:space="preserve"> </w:t>
      </w:r>
      <w:r w:rsidR="0030107C" w:rsidRPr="6D4C8F02">
        <w:t>in video game</w:t>
      </w:r>
      <w:r w:rsidR="0030107C" w:rsidRPr="00D6013E">
        <w:t>s</w:t>
      </w:r>
      <w:r>
        <w:t>: a review of the evidence</w:t>
      </w:r>
    </w:p>
    <w:p w14:paraId="33AB7A54" w14:textId="77777777" w:rsidR="00CB423E" w:rsidRDefault="00CB423E" w:rsidP="006E41C6">
      <w:pPr>
        <w:pStyle w:val="BodyText"/>
      </w:pPr>
    </w:p>
    <w:p w14:paraId="1E777F9C" w14:textId="7DD3AA2E" w:rsidR="00EB46CE" w:rsidRPr="00583276" w:rsidRDefault="00F251F7" w:rsidP="009C67DB">
      <w:pPr>
        <w:pStyle w:val="Reportauthors"/>
        <w:spacing w:before="0" w:after="120"/>
      </w:pPr>
      <w:r>
        <w:t>Nancy Greer, Cailem Murr</w:t>
      </w:r>
      <w:r w:rsidR="00A22620">
        <w:t xml:space="preserve">ay </w:t>
      </w:r>
      <w:proofErr w:type="gramStart"/>
      <w:r w:rsidR="00876B3F">
        <w:t>Boyle</w:t>
      </w:r>
      <w:proofErr w:type="gramEnd"/>
      <w:r w:rsidR="00680A77">
        <w:t xml:space="preserve"> </w:t>
      </w:r>
      <w:r w:rsidR="000D4E33">
        <w:t xml:space="preserve">and </w:t>
      </w:r>
      <w:r w:rsidR="00680A77">
        <w:t>Rebecca Jenkinson</w:t>
      </w:r>
    </w:p>
    <w:p w14:paraId="397ECA2C" w14:textId="6F1D2780" w:rsidR="00EB46CE" w:rsidRDefault="009C67DB" w:rsidP="009C67DB">
      <w:pPr>
        <w:pStyle w:val="Authoraffiliation"/>
      </w:pPr>
      <w:r>
        <w:t>A</w:t>
      </w:r>
      <w:r w:rsidR="00EB46CE">
        <w:t>ustralian Gambling Research Centre</w:t>
      </w:r>
    </w:p>
    <w:p w14:paraId="6B7345CE" w14:textId="4C814D44" w:rsidR="00C82A2E" w:rsidRDefault="00C82A2E" w:rsidP="009C67DB">
      <w:pPr>
        <w:pStyle w:val="Authoraffiliation"/>
        <w:spacing w:after="240"/>
      </w:pPr>
      <w:r w:rsidRPr="00B05718">
        <w:t>Australian Institute of Family Studies</w:t>
      </w:r>
    </w:p>
    <w:p w14:paraId="177DF59C" w14:textId="1FBF029B" w:rsidR="009C67DB" w:rsidRPr="009C67DB" w:rsidRDefault="009C67DB" w:rsidP="009C67DB">
      <w:pPr>
        <w:pStyle w:val="Reportauthors"/>
        <w:spacing w:before="0"/>
      </w:pPr>
      <w:r w:rsidRPr="00527D97">
        <w:t>June 2022</w:t>
      </w:r>
    </w:p>
    <w:p w14:paraId="4049DFC7" w14:textId="4B57C223" w:rsidR="00C5318D" w:rsidRPr="00C5318D" w:rsidRDefault="00C5318D" w:rsidP="006E41C6">
      <w:pPr>
        <w:pStyle w:val="BodyText"/>
      </w:pPr>
    </w:p>
    <w:p w14:paraId="6D1ABD84" w14:textId="77777777" w:rsidR="00B66604" w:rsidRDefault="00CA7574" w:rsidP="00DC4EDC">
      <w:pPr>
        <w:pStyle w:val="PlaceholderImage"/>
        <w:spacing w:line="240" w:lineRule="auto"/>
      </w:pPr>
      <w:r>
        <w:rPr>
          <w:noProof/>
          <w:lang w:eastAsia="en-AU" w:bidi="ar-SA"/>
        </w:rPr>
        <w:drawing>
          <wp:inline distT="0" distB="0" distL="0" distR="0" wp14:anchorId="6536F15F" wp14:editId="59BA14FE">
            <wp:extent cx="3060000" cy="3060000"/>
            <wp:effectExtent l="0" t="0" r="7620" b="762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60000" cy="3060000"/>
                    </a:xfrm>
                    <a:prstGeom prst="rect">
                      <a:avLst/>
                    </a:prstGeom>
                    <a:noFill/>
                    <a:ln>
                      <a:noFill/>
                    </a:ln>
                  </pic:spPr>
                </pic:pic>
              </a:graphicData>
            </a:graphic>
          </wp:inline>
        </w:drawing>
      </w:r>
    </w:p>
    <w:p w14:paraId="382580C7" w14:textId="77777777" w:rsidR="003B41E4" w:rsidRDefault="003B41E4" w:rsidP="003B41E4">
      <w:pPr>
        <w:pStyle w:val="Authoraffiliation"/>
        <w:rPr>
          <w:lang w:bidi="ar-SA"/>
        </w:rPr>
      </w:pPr>
    </w:p>
    <w:p w14:paraId="3C4193BA" w14:textId="37D66D22" w:rsidR="003A2FE4" w:rsidRPr="00850EB4" w:rsidRDefault="003A2FE4" w:rsidP="00D30A91">
      <w:pPr>
        <w:pStyle w:val="StaffInfoHeading"/>
        <w:sectPr w:rsidR="003A2FE4" w:rsidRPr="00850EB4" w:rsidSect="004B331F">
          <w:headerReference w:type="default" r:id="rId12"/>
          <w:footerReference w:type="default" r:id="rId13"/>
          <w:headerReference w:type="first" r:id="rId14"/>
          <w:footerReference w:type="first" r:id="rId15"/>
          <w:pgSz w:w="11901" w:h="16840"/>
          <w:pgMar w:top="1418" w:right="1701" w:bottom="1418" w:left="1701" w:header="1701" w:footer="680" w:gutter="0"/>
          <w:cols w:space="708"/>
          <w:noEndnote/>
          <w:titlePg/>
        </w:sectPr>
      </w:pPr>
    </w:p>
    <w:p w14:paraId="3ACD1DF0" w14:textId="77777777" w:rsidR="003A2FE4" w:rsidRDefault="003A2FE4" w:rsidP="003A2FE4">
      <w:pPr>
        <w:pStyle w:val="Heading1"/>
      </w:pPr>
      <w:bookmarkStart w:id="0" w:name="_Toc97649943"/>
      <w:bookmarkStart w:id="1" w:name="_Toc106359499"/>
      <w:r>
        <w:lastRenderedPageBreak/>
        <w:t>Acknowledg</w:t>
      </w:r>
      <w:r w:rsidR="00006E23">
        <w:t>e</w:t>
      </w:r>
      <w:r>
        <w:t>ments</w:t>
      </w:r>
      <w:bookmarkEnd w:id="0"/>
      <w:bookmarkEnd w:id="1"/>
    </w:p>
    <w:p w14:paraId="04EEAEA4" w14:textId="77777777" w:rsidR="00CA7574" w:rsidRDefault="0064548F" w:rsidP="00897FF2">
      <w:pPr>
        <w:pStyle w:val="BodyText"/>
      </w:pPr>
      <w:r w:rsidRPr="0064548F">
        <w:t>Th</w:t>
      </w:r>
      <w:r w:rsidR="00574428">
        <w:t xml:space="preserve">e </w:t>
      </w:r>
      <w:r w:rsidR="00CB423E">
        <w:t xml:space="preserve">Australian Gambling Research Centre </w:t>
      </w:r>
      <w:r w:rsidR="00B82E87">
        <w:t xml:space="preserve">(AGRC) </w:t>
      </w:r>
      <w:r w:rsidR="00CB423E">
        <w:t xml:space="preserve">was established under the Commonwealth </w:t>
      </w:r>
      <w:r w:rsidR="00CB423E" w:rsidRPr="00A76268">
        <w:rPr>
          <w:i/>
          <w:iCs/>
        </w:rPr>
        <w:t>Gambling Measures Act 2012</w:t>
      </w:r>
      <w:r w:rsidR="00CB423E">
        <w:t xml:space="preserve">. Our gambling research program reflects the Act, embodies a national perspective, and has a strong family focus. We are part of the Australian Institute of Family Studies (AIFS) and would like to acknowledge AIFS for supporting this work. </w:t>
      </w:r>
      <w:r w:rsidR="00B82E87">
        <w:t>Special thanks go to</w:t>
      </w:r>
      <w:r w:rsidR="009B0CD1">
        <w:t xml:space="preserve"> </w:t>
      </w:r>
      <w:r w:rsidR="00461A28">
        <w:t xml:space="preserve">Dr Nerida </w:t>
      </w:r>
      <w:r w:rsidR="00501FCA">
        <w:t>Joss</w:t>
      </w:r>
      <w:r w:rsidR="00951F0D">
        <w:t xml:space="preserve">, </w:t>
      </w:r>
      <w:r w:rsidR="00820AAF">
        <w:t xml:space="preserve">Gillian </w:t>
      </w:r>
      <w:proofErr w:type="gramStart"/>
      <w:r w:rsidR="00820AAF">
        <w:t>Lord</w:t>
      </w:r>
      <w:proofErr w:type="gramEnd"/>
      <w:r w:rsidR="00820AAF">
        <w:t xml:space="preserve"> and</w:t>
      </w:r>
      <w:r w:rsidR="00951F0D">
        <w:t xml:space="preserve"> our colleagues in the AGRC</w:t>
      </w:r>
      <w:r w:rsidR="00AF1649">
        <w:t xml:space="preserve"> for their </w:t>
      </w:r>
      <w:r w:rsidR="00876204">
        <w:t xml:space="preserve">guidance and </w:t>
      </w:r>
      <w:r w:rsidR="00AF1649">
        <w:t>contribution</w:t>
      </w:r>
      <w:r w:rsidR="00F804D9">
        <w:t>s</w:t>
      </w:r>
      <w:r w:rsidR="00951F0D">
        <w:t>.</w:t>
      </w:r>
      <w:r w:rsidR="00820AAF">
        <w:t xml:space="preserve"> </w:t>
      </w:r>
      <w:r w:rsidR="00CB423E">
        <w:t xml:space="preserve">This research was commissioned by the Australian Government </w:t>
      </w:r>
      <w:r w:rsidR="00CB423E" w:rsidRPr="00CB423E">
        <w:t>Department of Infrastructure, Transport, Regional Development and Communications (DITRDC)</w:t>
      </w:r>
      <w:r w:rsidR="00CB423E">
        <w:t>.</w:t>
      </w:r>
    </w:p>
    <w:p w14:paraId="3AE9C4F7" w14:textId="77777777" w:rsidR="0016259D" w:rsidRDefault="0016259D" w:rsidP="00897FF2">
      <w:pPr>
        <w:pStyle w:val="BodyText"/>
      </w:pPr>
    </w:p>
    <w:p w14:paraId="7760D34B" w14:textId="77777777" w:rsidR="0016259D" w:rsidRDefault="0016259D" w:rsidP="00897FF2">
      <w:pPr>
        <w:pStyle w:val="BodyText"/>
      </w:pPr>
    </w:p>
    <w:p w14:paraId="2DE9B6FE" w14:textId="77777777" w:rsidR="0016259D" w:rsidRDefault="0016259D" w:rsidP="00897FF2">
      <w:pPr>
        <w:pStyle w:val="BodyText"/>
      </w:pPr>
    </w:p>
    <w:p w14:paraId="6D2CF213" w14:textId="77777777" w:rsidR="0016259D" w:rsidRDefault="0016259D" w:rsidP="00897FF2">
      <w:pPr>
        <w:pStyle w:val="BodyText"/>
      </w:pPr>
    </w:p>
    <w:p w14:paraId="3E503C51" w14:textId="77777777" w:rsidR="0016259D" w:rsidRDefault="0016259D" w:rsidP="00897FF2">
      <w:pPr>
        <w:pStyle w:val="BodyText"/>
      </w:pPr>
    </w:p>
    <w:p w14:paraId="13D0A0BA" w14:textId="77777777" w:rsidR="0016259D" w:rsidRDefault="0016259D" w:rsidP="00897FF2">
      <w:pPr>
        <w:pStyle w:val="BodyText"/>
      </w:pPr>
    </w:p>
    <w:p w14:paraId="080195EC" w14:textId="77777777" w:rsidR="0016259D" w:rsidRDefault="0016259D" w:rsidP="0016259D"/>
    <w:p w14:paraId="3F38BD4E" w14:textId="77777777" w:rsidR="0016259D" w:rsidRDefault="0016259D" w:rsidP="0016259D"/>
    <w:p w14:paraId="1FFCA921" w14:textId="77777777" w:rsidR="0016259D" w:rsidRDefault="0016259D" w:rsidP="0016259D"/>
    <w:p w14:paraId="4C5946D5" w14:textId="77777777" w:rsidR="0016259D" w:rsidRDefault="0016259D" w:rsidP="0016259D"/>
    <w:p w14:paraId="35E96B2B" w14:textId="77777777" w:rsidR="0016259D" w:rsidRDefault="0016259D" w:rsidP="0016259D"/>
    <w:p w14:paraId="4C7837AD" w14:textId="77777777" w:rsidR="0016259D" w:rsidRDefault="0016259D" w:rsidP="0016259D"/>
    <w:p w14:paraId="0D6B90F1" w14:textId="77777777" w:rsidR="0016259D" w:rsidRDefault="0016259D" w:rsidP="0016259D"/>
    <w:p w14:paraId="11A917ED" w14:textId="77777777" w:rsidR="000F5FA1" w:rsidRDefault="000F5FA1" w:rsidP="0016259D"/>
    <w:p w14:paraId="02FEF175" w14:textId="1F07ACF3" w:rsidR="0016259D" w:rsidRDefault="0016259D" w:rsidP="006E41C6">
      <w:pPr>
        <w:pStyle w:val="BodyText"/>
        <w:rPr>
          <w:rFonts w:ascii="Calibri" w:hAnsi="Calibri"/>
          <w:color w:val="auto"/>
        </w:rPr>
      </w:pPr>
      <w:r>
        <w:t>© Commonwealth of Australia 2022</w:t>
      </w:r>
    </w:p>
    <w:p w14:paraId="0981DA84" w14:textId="77777777" w:rsidR="0016259D" w:rsidRDefault="0016259D" w:rsidP="006E41C6">
      <w:pPr>
        <w:pStyle w:val="BodyText"/>
      </w:pPr>
      <w:proofErr w:type="gramStart"/>
      <w:r>
        <w:t>With the exception of</w:t>
      </w:r>
      <w:proofErr w:type="gramEnd"/>
      <w:r>
        <w:t xml:space="preserve"> AIFS branding, the Commonwealth Coat of Arms, content provided by third parties, and any material protected by a trademark. All textual material presented in this publication is provided under a Creative Commons Attribution 4.0 International licence (CC BY 4.0) creativecommons.org/licenses/by/4.0/. You may copy, </w:t>
      </w:r>
      <w:proofErr w:type="gramStart"/>
      <w:r>
        <w:t>distribute</w:t>
      </w:r>
      <w:proofErr w:type="gramEnd"/>
      <w:r>
        <w:t xml:space="preserve"> and build upon this work for commercial and non-commercial purposes; however, you must attribute the Commonwealth of Australia as the copyright holder of the work. Content that is copyrighted by a third party is subject to the licensing arrangements of the original owner.</w:t>
      </w:r>
    </w:p>
    <w:p w14:paraId="55A8B898" w14:textId="77777777" w:rsidR="0016259D" w:rsidRDefault="0016259D" w:rsidP="006E41C6">
      <w:pPr>
        <w:pStyle w:val="BodyText"/>
      </w:pPr>
      <w:r>
        <w:t>Views expressed in this publication are those of the authors and may not reflect those of the Australian Institute of Family Studies or the Australian Government.</w:t>
      </w:r>
    </w:p>
    <w:p w14:paraId="44BE8A5B" w14:textId="77777777" w:rsidR="0016259D" w:rsidRDefault="0016259D" w:rsidP="006E41C6">
      <w:pPr>
        <w:pStyle w:val="BodyText"/>
      </w:pPr>
      <w:r>
        <w:t>Australian Institute of Family Studies</w:t>
      </w:r>
    </w:p>
    <w:p w14:paraId="5CCEAC3C" w14:textId="77777777" w:rsidR="0016259D" w:rsidRDefault="0016259D" w:rsidP="006E41C6">
      <w:pPr>
        <w:pStyle w:val="BodyText"/>
      </w:pPr>
      <w:r>
        <w:t>Level 4, 40 City Road, Southbank VIC 3006 Australia</w:t>
      </w:r>
    </w:p>
    <w:p w14:paraId="7FB25834" w14:textId="0243966A" w:rsidR="0016259D" w:rsidRDefault="0016259D" w:rsidP="006E41C6">
      <w:pPr>
        <w:pStyle w:val="BodyText"/>
      </w:pPr>
      <w:r>
        <w:t xml:space="preserve">Phone: (03) 9214 </w:t>
      </w:r>
      <w:r w:rsidR="00D74A4D">
        <w:t>7888 Internet</w:t>
      </w:r>
      <w:r>
        <w:t>: aifs.gov.au</w:t>
      </w:r>
    </w:p>
    <w:p w14:paraId="77EEBDFF" w14:textId="190A7972" w:rsidR="0016259D" w:rsidRDefault="0016259D" w:rsidP="006E41C6">
      <w:pPr>
        <w:pStyle w:val="BodyText"/>
      </w:pPr>
      <w:r>
        <w:t>Edited by Katharine Day</w:t>
      </w:r>
      <w:r w:rsidR="00D74A4D">
        <w:t>.</w:t>
      </w:r>
    </w:p>
    <w:p w14:paraId="6A025215" w14:textId="2726BA95" w:rsidR="0016259D" w:rsidRPr="00BF156A" w:rsidRDefault="0016259D" w:rsidP="00897FF2">
      <w:pPr>
        <w:pStyle w:val="BodyText"/>
        <w:sectPr w:rsidR="0016259D" w:rsidRPr="00BF156A" w:rsidSect="004B331F">
          <w:pgSz w:w="11901" w:h="16840"/>
          <w:pgMar w:top="1418" w:right="1701" w:bottom="1418" w:left="1701" w:header="1701" w:footer="680" w:gutter="0"/>
          <w:cols w:space="708"/>
          <w:noEndnote/>
          <w:titlePg/>
        </w:sectPr>
      </w:pPr>
    </w:p>
    <w:p w14:paraId="7613DDEC" w14:textId="04BAD9FB" w:rsidR="008128E5" w:rsidRDefault="008128E5" w:rsidP="00846DB2">
      <w:pPr>
        <w:pStyle w:val="ContentsHeading"/>
        <w:spacing w:before="120"/>
      </w:pPr>
      <w:r>
        <w:lastRenderedPageBreak/>
        <w:t>Contents</w:t>
      </w:r>
    </w:p>
    <w:p w14:paraId="02EBFD45" w14:textId="4B50DC92" w:rsidR="002C769A" w:rsidRDefault="002F774A">
      <w:pPr>
        <w:pStyle w:val="TOC1"/>
        <w:rPr>
          <w:rFonts w:asciiTheme="minorHAnsi" w:hAnsiTheme="minorHAnsi" w:cstheme="minorBidi"/>
          <w:bCs w:val="0"/>
          <w:noProof/>
          <w:color w:val="auto"/>
          <w:sz w:val="22"/>
          <w:lang w:eastAsia="en-AU"/>
        </w:rPr>
      </w:pPr>
      <w:r>
        <w:fldChar w:fldCharType="begin"/>
      </w:r>
      <w:r>
        <w:instrText xml:space="preserve"> TOC \o "1-2" </w:instrText>
      </w:r>
      <w:r>
        <w:fldChar w:fldCharType="separate"/>
      </w:r>
      <w:r w:rsidR="002C769A">
        <w:rPr>
          <w:noProof/>
        </w:rPr>
        <w:t>Acknowledgements</w:t>
      </w:r>
      <w:r w:rsidR="002C769A">
        <w:rPr>
          <w:noProof/>
        </w:rPr>
        <w:tab/>
      </w:r>
      <w:r w:rsidR="002C769A">
        <w:rPr>
          <w:noProof/>
        </w:rPr>
        <w:fldChar w:fldCharType="begin"/>
      </w:r>
      <w:r w:rsidR="002C769A">
        <w:rPr>
          <w:noProof/>
        </w:rPr>
        <w:instrText xml:space="preserve"> PAGEREF _Toc106359499 \h </w:instrText>
      </w:r>
      <w:r w:rsidR="002C769A">
        <w:rPr>
          <w:noProof/>
        </w:rPr>
      </w:r>
      <w:r w:rsidR="002C769A">
        <w:rPr>
          <w:noProof/>
        </w:rPr>
        <w:fldChar w:fldCharType="separate"/>
      </w:r>
      <w:r w:rsidR="00814E92">
        <w:rPr>
          <w:noProof/>
        </w:rPr>
        <w:t>2</w:t>
      </w:r>
      <w:r w:rsidR="002C769A">
        <w:rPr>
          <w:noProof/>
        </w:rPr>
        <w:fldChar w:fldCharType="end"/>
      </w:r>
    </w:p>
    <w:p w14:paraId="325FFC63" w14:textId="1A1C9736" w:rsidR="002C769A" w:rsidRDefault="002C769A">
      <w:pPr>
        <w:pStyle w:val="TOC1"/>
        <w:rPr>
          <w:rFonts w:asciiTheme="minorHAnsi" w:hAnsiTheme="minorHAnsi" w:cstheme="minorBidi"/>
          <w:bCs w:val="0"/>
          <w:noProof/>
          <w:color w:val="auto"/>
          <w:sz w:val="22"/>
          <w:lang w:eastAsia="en-AU"/>
        </w:rPr>
      </w:pPr>
      <w:r>
        <w:rPr>
          <w:noProof/>
        </w:rPr>
        <w:t>Executive summary</w:t>
      </w:r>
      <w:r>
        <w:rPr>
          <w:noProof/>
        </w:rPr>
        <w:tab/>
      </w:r>
      <w:r>
        <w:rPr>
          <w:noProof/>
        </w:rPr>
        <w:fldChar w:fldCharType="begin"/>
      </w:r>
      <w:r>
        <w:rPr>
          <w:noProof/>
        </w:rPr>
        <w:instrText xml:space="preserve"> PAGEREF _Toc106359500 \h </w:instrText>
      </w:r>
      <w:r>
        <w:rPr>
          <w:noProof/>
        </w:rPr>
      </w:r>
      <w:r>
        <w:rPr>
          <w:noProof/>
        </w:rPr>
        <w:fldChar w:fldCharType="separate"/>
      </w:r>
      <w:r w:rsidR="00814E92">
        <w:rPr>
          <w:noProof/>
        </w:rPr>
        <w:t>4</w:t>
      </w:r>
      <w:r>
        <w:rPr>
          <w:noProof/>
        </w:rPr>
        <w:fldChar w:fldCharType="end"/>
      </w:r>
    </w:p>
    <w:p w14:paraId="27621DE9" w14:textId="4E12285B" w:rsidR="002C769A" w:rsidRDefault="002C769A">
      <w:pPr>
        <w:pStyle w:val="TOC2"/>
        <w:rPr>
          <w:rFonts w:asciiTheme="minorHAnsi" w:hAnsiTheme="minorHAnsi" w:cstheme="minorBidi"/>
          <w:iCs w:val="0"/>
          <w:noProof/>
          <w:color w:val="auto"/>
          <w:sz w:val="22"/>
          <w:lang w:eastAsia="en-AU"/>
        </w:rPr>
      </w:pPr>
      <w:r>
        <w:rPr>
          <w:noProof/>
        </w:rPr>
        <w:t>Background</w:t>
      </w:r>
      <w:r>
        <w:rPr>
          <w:noProof/>
        </w:rPr>
        <w:tab/>
      </w:r>
      <w:r>
        <w:rPr>
          <w:noProof/>
        </w:rPr>
        <w:fldChar w:fldCharType="begin"/>
      </w:r>
      <w:r>
        <w:rPr>
          <w:noProof/>
        </w:rPr>
        <w:instrText xml:space="preserve"> PAGEREF _Toc106359501 \h </w:instrText>
      </w:r>
      <w:r>
        <w:rPr>
          <w:noProof/>
        </w:rPr>
      </w:r>
      <w:r>
        <w:rPr>
          <w:noProof/>
        </w:rPr>
        <w:fldChar w:fldCharType="separate"/>
      </w:r>
      <w:r w:rsidR="00814E92">
        <w:rPr>
          <w:noProof/>
        </w:rPr>
        <w:t>4</w:t>
      </w:r>
      <w:r>
        <w:rPr>
          <w:noProof/>
        </w:rPr>
        <w:fldChar w:fldCharType="end"/>
      </w:r>
    </w:p>
    <w:p w14:paraId="7A224A1C" w14:textId="6C171336" w:rsidR="002C769A" w:rsidRDefault="002C769A">
      <w:pPr>
        <w:pStyle w:val="TOC2"/>
        <w:rPr>
          <w:rFonts w:asciiTheme="minorHAnsi" w:hAnsiTheme="minorHAnsi" w:cstheme="minorBidi"/>
          <w:iCs w:val="0"/>
          <w:noProof/>
          <w:color w:val="auto"/>
          <w:sz w:val="22"/>
          <w:lang w:eastAsia="en-AU"/>
        </w:rPr>
      </w:pPr>
      <w:r>
        <w:rPr>
          <w:noProof/>
        </w:rPr>
        <w:t>Key research findings</w:t>
      </w:r>
      <w:r>
        <w:rPr>
          <w:noProof/>
        </w:rPr>
        <w:tab/>
      </w:r>
      <w:r>
        <w:rPr>
          <w:noProof/>
        </w:rPr>
        <w:fldChar w:fldCharType="begin"/>
      </w:r>
      <w:r>
        <w:rPr>
          <w:noProof/>
        </w:rPr>
        <w:instrText xml:space="preserve"> PAGEREF _Toc106359502 \h </w:instrText>
      </w:r>
      <w:r>
        <w:rPr>
          <w:noProof/>
        </w:rPr>
      </w:r>
      <w:r>
        <w:rPr>
          <w:noProof/>
        </w:rPr>
        <w:fldChar w:fldCharType="separate"/>
      </w:r>
      <w:r w:rsidR="00814E92">
        <w:rPr>
          <w:noProof/>
        </w:rPr>
        <w:t>5</w:t>
      </w:r>
      <w:r>
        <w:rPr>
          <w:noProof/>
        </w:rPr>
        <w:fldChar w:fldCharType="end"/>
      </w:r>
    </w:p>
    <w:p w14:paraId="1082058B" w14:textId="2314C1B3" w:rsidR="002C769A" w:rsidRDefault="002C769A">
      <w:pPr>
        <w:pStyle w:val="TOC1"/>
        <w:rPr>
          <w:rFonts w:asciiTheme="minorHAnsi" w:hAnsiTheme="minorHAnsi" w:cstheme="minorBidi"/>
          <w:bCs w:val="0"/>
          <w:noProof/>
          <w:color w:val="auto"/>
          <w:sz w:val="22"/>
          <w:lang w:eastAsia="en-AU"/>
        </w:rPr>
      </w:pPr>
      <w:r>
        <w:rPr>
          <w:noProof/>
        </w:rPr>
        <w:t>Background</w:t>
      </w:r>
      <w:r>
        <w:rPr>
          <w:noProof/>
        </w:rPr>
        <w:tab/>
      </w:r>
      <w:r>
        <w:rPr>
          <w:noProof/>
        </w:rPr>
        <w:fldChar w:fldCharType="begin"/>
      </w:r>
      <w:r>
        <w:rPr>
          <w:noProof/>
        </w:rPr>
        <w:instrText xml:space="preserve"> PAGEREF _Toc106359503 \h </w:instrText>
      </w:r>
      <w:r>
        <w:rPr>
          <w:noProof/>
        </w:rPr>
      </w:r>
      <w:r>
        <w:rPr>
          <w:noProof/>
        </w:rPr>
        <w:fldChar w:fldCharType="separate"/>
      </w:r>
      <w:r w:rsidR="00814E92">
        <w:rPr>
          <w:noProof/>
        </w:rPr>
        <w:t>7</w:t>
      </w:r>
      <w:r>
        <w:rPr>
          <w:noProof/>
        </w:rPr>
        <w:fldChar w:fldCharType="end"/>
      </w:r>
    </w:p>
    <w:p w14:paraId="671B523A" w14:textId="359261BB" w:rsidR="002C769A" w:rsidRDefault="002C769A">
      <w:pPr>
        <w:pStyle w:val="TOC2"/>
        <w:rPr>
          <w:rFonts w:asciiTheme="minorHAnsi" w:hAnsiTheme="minorHAnsi" w:cstheme="minorBidi"/>
          <w:iCs w:val="0"/>
          <w:noProof/>
          <w:color w:val="auto"/>
          <w:sz w:val="22"/>
          <w:lang w:eastAsia="en-AU"/>
        </w:rPr>
      </w:pPr>
      <w:r>
        <w:rPr>
          <w:noProof/>
        </w:rPr>
        <w:t>Motivations for use</w:t>
      </w:r>
      <w:r>
        <w:rPr>
          <w:noProof/>
        </w:rPr>
        <w:tab/>
      </w:r>
      <w:r>
        <w:rPr>
          <w:noProof/>
        </w:rPr>
        <w:fldChar w:fldCharType="begin"/>
      </w:r>
      <w:r>
        <w:rPr>
          <w:noProof/>
        </w:rPr>
        <w:instrText xml:space="preserve"> PAGEREF _Toc106359504 \h </w:instrText>
      </w:r>
      <w:r>
        <w:rPr>
          <w:noProof/>
        </w:rPr>
      </w:r>
      <w:r>
        <w:rPr>
          <w:noProof/>
        </w:rPr>
        <w:fldChar w:fldCharType="separate"/>
      </w:r>
      <w:r w:rsidR="00814E92">
        <w:rPr>
          <w:noProof/>
        </w:rPr>
        <w:t>8</w:t>
      </w:r>
      <w:r>
        <w:rPr>
          <w:noProof/>
        </w:rPr>
        <w:fldChar w:fldCharType="end"/>
      </w:r>
    </w:p>
    <w:p w14:paraId="1E2E65C5" w14:textId="0A0D7097" w:rsidR="002C769A" w:rsidRDefault="002C769A">
      <w:pPr>
        <w:pStyle w:val="TOC2"/>
        <w:rPr>
          <w:rFonts w:asciiTheme="minorHAnsi" w:hAnsiTheme="minorHAnsi" w:cstheme="minorBidi"/>
          <w:iCs w:val="0"/>
          <w:noProof/>
          <w:color w:val="auto"/>
          <w:sz w:val="22"/>
          <w:lang w:eastAsia="en-AU"/>
        </w:rPr>
      </w:pPr>
      <w:r>
        <w:rPr>
          <w:noProof/>
        </w:rPr>
        <w:t>Association with monetary gambling: co-occurrence and migration</w:t>
      </w:r>
      <w:r>
        <w:rPr>
          <w:noProof/>
        </w:rPr>
        <w:tab/>
      </w:r>
      <w:r>
        <w:rPr>
          <w:noProof/>
        </w:rPr>
        <w:fldChar w:fldCharType="begin"/>
      </w:r>
      <w:r>
        <w:rPr>
          <w:noProof/>
        </w:rPr>
        <w:instrText xml:space="preserve"> PAGEREF _Toc106359505 \h </w:instrText>
      </w:r>
      <w:r>
        <w:rPr>
          <w:noProof/>
        </w:rPr>
      </w:r>
      <w:r>
        <w:rPr>
          <w:noProof/>
        </w:rPr>
        <w:fldChar w:fldCharType="separate"/>
      </w:r>
      <w:r w:rsidR="00814E92">
        <w:rPr>
          <w:noProof/>
        </w:rPr>
        <w:t>10</w:t>
      </w:r>
      <w:r>
        <w:rPr>
          <w:noProof/>
        </w:rPr>
        <w:fldChar w:fldCharType="end"/>
      </w:r>
    </w:p>
    <w:p w14:paraId="75030337" w14:textId="146D9085" w:rsidR="002C769A" w:rsidRDefault="002C769A">
      <w:pPr>
        <w:pStyle w:val="TOC2"/>
        <w:rPr>
          <w:rFonts w:asciiTheme="minorHAnsi" w:hAnsiTheme="minorHAnsi" w:cstheme="minorBidi"/>
          <w:iCs w:val="0"/>
          <w:noProof/>
          <w:color w:val="auto"/>
          <w:sz w:val="22"/>
          <w:lang w:eastAsia="en-AU"/>
        </w:rPr>
      </w:pPr>
      <w:r>
        <w:rPr>
          <w:noProof/>
        </w:rPr>
        <w:t>Harms associated with loot boxes, simulated gambling and other in-game purchases: the importance of reviewing the evidence</w:t>
      </w:r>
      <w:r>
        <w:rPr>
          <w:noProof/>
        </w:rPr>
        <w:tab/>
      </w:r>
      <w:r>
        <w:rPr>
          <w:noProof/>
        </w:rPr>
        <w:fldChar w:fldCharType="begin"/>
      </w:r>
      <w:r>
        <w:rPr>
          <w:noProof/>
        </w:rPr>
        <w:instrText xml:space="preserve"> PAGEREF _Toc106359506 \h </w:instrText>
      </w:r>
      <w:r>
        <w:rPr>
          <w:noProof/>
        </w:rPr>
      </w:r>
      <w:r>
        <w:rPr>
          <w:noProof/>
        </w:rPr>
        <w:fldChar w:fldCharType="separate"/>
      </w:r>
      <w:r w:rsidR="00814E92">
        <w:rPr>
          <w:noProof/>
        </w:rPr>
        <w:t>11</w:t>
      </w:r>
      <w:r>
        <w:rPr>
          <w:noProof/>
        </w:rPr>
        <w:fldChar w:fldCharType="end"/>
      </w:r>
    </w:p>
    <w:p w14:paraId="0F9F4E38" w14:textId="2EA5E35D" w:rsidR="002C769A" w:rsidRDefault="002C769A">
      <w:pPr>
        <w:pStyle w:val="TOC1"/>
        <w:rPr>
          <w:rFonts w:asciiTheme="minorHAnsi" w:hAnsiTheme="minorHAnsi" w:cstheme="minorBidi"/>
          <w:bCs w:val="0"/>
          <w:noProof/>
          <w:color w:val="auto"/>
          <w:sz w:val="22"/>
          <w:lang w:eastAsia="en-AU"/>
        </w:rPr>
      </w:pPr>
      <w:r>
        <w:rPr>
          <w:noProof/>
        </w:rPr>
        <w:t>Methodology</w:t>
      </w:r>
      <w:r>
        <w:rPr>
          <w:noProof/>
        </w:rPr>
        <w:tab/>
      </w:r>
      <w:r>
        <w:rPr>
          <w:noProof/>
        </w:rPr>
        <w:fldChar w:fldCharType="begin"/>
      </w:r>
      <w:r>
        <w:rPr>
          <w:noProof/>
        </w:rPr>
        <w:instrText xml:space="preserve"> PAGEREF _Toc106359507 \h </w:instrText>
      </w:r>
      <w:r>
        <w:rPr>
          <w:noProof/>
        </w:rPr>
      </w:r>
      <w:r>
        <w:rPr>
          <w:noProof/>
        </w:rPr>
        <w:fldChar w:fldCharType="separate"/>
      </w:r>
      <w:r w:rsidR="00814E92">
        <w:rPr>
          <w:noProof/>
        </w:rPr>
        <w:t>13</w:t>
      </w:r>
      <w:r>
        <w:rPr>
          <w:noProof/>
        </w:rPr>
        <w:fldChar w:fldCharType="end"/>
      </w:r>
    </w:p>
    <w:p w14:paraId="6D8869EC" w14:textId="60F129CC" w:rsidR="002C769A" w:rsidRDefault="002C769A">
      <w:pPr>
        <w:pStyle w:val="TOC2"/>
        <w:rPr>
          <w:rFonts w:asciiTheme="minorHAnsi" w:hAnsiTheme="minorHAnsi" w:cstheme="minorBidi"/>
          <w:iCs w:val="0"/>
          <w:noProof/>
          <w:color w:val="auto"/>
          <w:sz w:val="22"/>
          <w:lang w:eastAsia="en-AU"/>
        </w:rPr>
      </w:pPr>
      <w:r>
        <w:rPr>
          <w:noProof/>
        </w:rPr>
        <w:t>Assessing the evidence</w:t>
      </w:r>
      <w:r>
        <w:rPr>
          <w:noProof/>
        </w:rPr>
        <w:tab/>
      </w:r>
      <w:r>
        <w:rPr>
          <w:noProof/>
        </w:rPr>
        <w:fldChar w:fldCharType="begin"/>
      </w:r>
      <w:r>
        <w:rPr>
          <w:noProof/>
        </w:rPr>
        <w:instrText xml:space="preserve"> PAGEREF _Toc106359508 \h </w:instrText>
      </w:r>
      <w:r>
        <w:rPr>
          <w:noProof/>
        </w:rPr>
      </w:r>
      <w:r>
        <w:rPr>
          <w:noProof/>
        </w:rPr>
        <w:fldChar w:fldCharType="separate"/>
      </w:r>
      <w:r w:rsidR="00814E92">
        <w:rPr>
          <w:noProof/>
        </w:rPr>
        <w:t>14</w:t>
      </w:r>
      <w:r>
        <w:rPr>
          <w:noProof/>
        </w:rPr>
        <w:fldChar w:fldCharType="end"/>
      </w:r>
    </w:p>
    <w:p w14:paraId="255469B0" w14:textId="30B2CFAF" w:rsidR="002C769A" w:rsidRDefault="002C769A">
      <w:pPr>
        <w:pStyle w:val="TOC2"/>
        <w:rPr>
          <w:rFonts w:asciiTheme="minorHAnsi" w:hAnsiTheme="minorHAnsi" w:cstheme="minorBidi"/>
          <w:iCs w:val="0"/>
          <w:noProof/>
          <w:color w:val="auto"/>
          <w:sz w:val="22"/>
          <w:lang w:eastAsia="en-AU"/>
        </w:rPr>
      </w:pPr>
      <w:r>
        <w:rPr>
          <w:noProof/>
        </w:rPr>
        <w:t>Articles reviewed</w:t>
      </w:r>
      <w:r>
        <w:rPr>
          <w:noProof/>
        </w:rPr>
        <w:tab/>
      </w:r>
      <w:r>
        <w:rPr>
          <w:noProof/>
        </w:rPr>
        <w:fldChar w:fldCharType="begin"/>
      </w:r>
      <w:r>
        <w:rPr>
          <w:noProof/>
        </w:rPr>
        <w:instrText xml:space="preserve"> PAGEREF _Toc106359509 \h </w:instrText>
      </w:r>
      <w:r>
        <w:rPr>
          <w:noProof/>
        </w:rPr>
      </w:r>
      <w:r>
        <w:rPr>
          <w:noProof/>
        </w:rPr>
        <w:fldChar w:fldCharType="separate"/>
      </w:r>
      <w:r w:rsidR="00814E92">
        <w:rPr>
          <w:noProof/>
        </w:rPr>
        <w:t>14</w:t>
      </w:r>
      <w:r>
        <w:rPr>
          <w:noProof/>
        </w:rPr>
        <w:fldChar w:fldCharType="end"/>
      </w:r>
    </w:p>
    <w:p w14:paraId="32674E98" w14:textId="74F0A6D5" w:rsidR="002C769A" w:rsidRDefault="002C769A">
      <w:pPr>
        <w:pStyle w:val="TOC1"/>
        <w:rPr>
          <w:rFonts w:asciiTheme="minorHAnsi" w:hAnsiTheme="minorHAnsi" w:cstheme="minorBidi"/>
          <w:bCs w:val="0"/>
          <w:noProof/>
          <w:color w:val="auto"/>
          <w:sz w:val="22"/>
          <w:lang w:eastAsia="en-AU"/>
        </w:rPr>
      </w:pPr>
      <w:r>
        <w:rPr>
          <w:noProof/>
        </w:rPr>
        <w:t>Loot boxes: what does the evidence tell us?</w:t>
      </w:r>
      <w:r>
        <w:rPr>
          <w:noProof/>
        </w:rPr>
        <w:tab/>
      </w:r>
      <w:r>
        <w:rPr>
          <w:noProof/>
        </w:rPr>
        <w:fldChar w:fldCharType="begin"/>
      </w:r>
      <w:r>
        <w:rPr>
          <w:noProof/>
        </w:rPr>
        <w:instrText xml:space="preserve"> PAGEREF _Toc106359510 \h </w:instrText>
      </w:r>
      <w:r>
        <w:rPr>
          <w:noProof/>
        </w:rPr>
      </w:r>
      <w:r>
        <w:rPr>
          <w:noProof/>
        </w:rPr>
        <w:fldChar w:fldCharType="separate"/>
      </w:r>
      <w:r w:rsidR="00814E92">
        <w:rPr>
          <w:noProof/>
        </w:rPr>
        <w:t>18</w:t>
      </w:r>
      <w:r>
        <w:rPr>
          <w:noProof/>
        </w:rPr>
        <w:fldChar w:fldCharType="end"/>
      </w:r>
    </w:p>
    <w:p w14:paraId="403EE5E6" w14:textId="7A022471" w:rsidR="002C769A" w:rsidRDefault="002C769A">
      <w:pPr>
        <w:pStyle w:val="TOC2"/>
        <w:rPr>
          <w:rFonts w:asciiTheme="minorHAnsi" w:hAnsiTheme="minorHAnsi" w:cstheme="minorBidi"/>
          <w:iCs w:val="0"/>
          <w:noProof/>
          <w:color w:val="auto"/>
          <w:sz w:val="22"/>
          <w:lang w:eastAsia="en-AU"/>
        </w:rPr>
      </w:pPr>
      <w:r>
        <w:rPr>
          <w:noProof/>
        </w:rPr>
        <w:t>What types of harm, if any, are associated with the use of loot boxes?</w:t>
      </w:r>
      <w:r>
        <w:rPr>
          <w:noProof/>
        </w:rPr>
        <w:tab/>
      </w:r>
      <w:r>
        <w:rPr>
          <w:noProof/>
        </w:rPr>
        <w:fldChar w:fldCharType="begin"/>
      </w:r>
      <w:r>
        <w:rPr>
          <w:noProof/>
        </w:rPr>
        <w:instrText xml:space="preserve"> PAGEREF _Toc106359511 \h </w:instrText>
      </w:r>
      <w:r>
        <w:rPr>
          <w:noProof/>
        </w:rPr>
      </w:r>
      <w:r>
        <w:rPr>
          <w:noProof/>
        </w:rPr>
        <w:fldChar w:fldCharType="separate"/>
      </w:r>
      <w:r w:rsidR="00814E92">
        <w:rPr>
          <w:noProof/>
        </w:rPr>
        <w:t>18</w:t>
      </w:r>
      <w:r>
        <w:rPr>
          <w:noProof/>
        </w:rPr>
        <w:fldChar w:fldCharType="end"/>
      </w:r>
    </w:p>
    <w:p w14:paraId="480689BD" w14:textId="2361FE66" w:rsidR="002C769A" w:rsidRDefault="002C769A">
      <w:pPr>
        <w:pStyle w:val="TOC2"/>
        <w:rPr>
          <w:rFonts w:asciiTheme="minorHAnsi" w:hAnsiTheme="minorHAnsi" w:cstheme="minorBidi"/>
          <w:iCs w:val="0"/>
          <w:noProof/>
          <w:color w:val="auto"/>
          <w:sz w:val="22"/>
          <w:lang w:eastAsia="en-AU"/>
        </w:rPr>
      </w:pPr>
      <w:r>
        <w:rPr>
          <w:noProof/>
        </w:rPr>
        <w:t>Which groups are most at risk or vulnerable to harm from loot boxes?</w:t>
      </w:r>
      <w:r>
        <w:rPr>
          <w:noProof/>
        </w:rPr>
        <w:tab/>
      </w:r>
      <w:r>
        <w:rPr>
          <w:noProof/>
        </w:rPr>
        <w:fldChar w:fldCharType="begin"/>
      </w:r>
      <w:r>
        <w:rPr>
          <w:noProof/>
        </w:rPr>
        <w:instrText xml:space="preserve"> PAGEREF _Toc106359512 \h </w:instrText>
      </w:r>
      <w:r>
        <w:rPr>
          <w:noProof/>
        </w:rPr>
      </w:r>
      <w:r>
        <w:rPr>
          <w:noProof/>
        </w:rPr>
        <w:fldChar w:fldCharType="separate"/>
      </w:r>
      <w:r w:rsidR="00814E92">
        <w:rPr>
          <w:noProof/>
        </w:rPr>
        <w:t>23</w:t>
      </w:r>
      <w:r>
        <w:rPr>
          <w:noProof/>
        </w:rPr>
        <w:fldChar w:fldCharType="end"/>
      </w:r>
    </w:p>
    <w:p w14:paraId="3DDEE1B1" w14:textId="40AB303D" w:rsidR="002C769A" w:rsidRDefault="002C769A">
      <w:pPr>
        <w:pStyle w:val="TOC2"/>
        <w:rPr>
          <w:rFonts w:asciiTheme="minorHAnsi" w:hAnsiTheme="minorHAnsi" w:cstheme="minorBidi"/>
          <w:iCs w:val="0"/>
          <w:noProof/>
          <w:color w:val="auto"/>
          <w:sz w:val="22"/>
          <w:lang w:eastAsia="en-AU"/>
        </w:rPr>
      </w:pPr>
      <w:r>
        <w:rPr>
          <w:noProof/>
        </w:rPr>
        <w:t>What other factors influence harm from loot boxes?</w:t>
      </w:r>
      <w:r>
        <w:rPr>
          <w:noProof/>
        </w:rPr>
        <w:tab/>
      </w:r>
      <w:r>
        <w:rPr>
          <w:noProof/>
        </w:rPr>
        <w:fldChar w:fldCharType="begin"/>
      </w:r>
      <w:r>
        <w:rPr>
          <w:noProof/>
        </w:rPr>
        <w:instrText xml:space="preserve"> PAGEREF _Toc106359513 \h </w:instrText>
      </w:r>
      <w:r>
        <w:rPr>
          <w:noProof/>
        </w:rPr>
      </w:r>
      <w:r>
        <w:rPr>
          <w:noProof/>
        </w:rPr>
        <w:fldChar w:fldCharType="separate"/>
      </w:r>
      <w:r w:rsidR="00814E92">
        <w:rPr>
          <w:noProof/>
        </w:rPr>
        <w:t>24</w:t>
      </w:r>
      <w:r>
        <w:rPr>
          <w:noProof/>
        </w:rPr>
        <w:fldChar w:fldCharType="end"/>
      </w:r>
    </w:p>
    <w:p w14:paraId="2A850876" w14:textId="2EC7B0F0" w:rsidR="002C769A" w:rsidRDefault="002C769A">
      <w:pPr>
        <w:pStyle w:val="TOC1"/>
        <w:rPr>
          <w:rFonts w:asciiTheme="minorHAnsi" w:hAnsiTheme="minorHAnsi" w:cstheme="minorBidi"/>
          <w:bCs w:val="0"/>
          <w:noProof/>
          <w:color w:val="auto"/>
          <w:sz w:val="22"/>
          <w:lang w:eastAsia="en-AU"/>
        </w:rPr>
      </w:pPr>
      <w:r>
        <w:rPr>
          <w:noProof/>
        </w:rPr>
        <w:t>Simulated gambling: what does the evidence tell us?</w:t>
      </w:r>
      <w:r>
        <w:rPr>
          <w:noProof/>
        </w:rPr>
        <w:tab/>
      </w:r>
      <w:r>
        <w:rPr>
          <w:noProof/>
        </w:rPr>
        <w:fldChar w:fldCharType="begin"/>
      </w:r>
      <w:r>
        <w:rPr>
          <w:noProof/>
        </w:rPr>
        <w:instrText xml:space="preserve"> PAGEREF _Toc106359514 \h </w:instrText>
      </w:r>
      <w:r>
        <w:rPr>
          <w:noProof/>
        </w:rPr>
      </w:r>
      <w:r>
        <w:rPr>
          <w:noProof/>
        </w:rPr>
        <w:fldChar w:fldCharType="separate"/>
      </w:r>
      <w:r w:rsidR="00814E92">
        <w:rPr>
          <w:noProof/>
        </w:rPr>
        <w:t>27</w:t>
      </w:r>
      <w:r>
        <w:rPr>
          <w:noProof/>
        </w:rPr>
        <w:fldChar w:fldCharType="end"/>
      </w:r>
    </w:p>
    <w:p w14:paraId="4CA26372" w14:textId="32441553" w:rsidR="002C769A" w:rsidRDefault="002C769A">
      <w:pPr>
        <w:pStyle w:val="TOC2"/>
        <w:rPr>
          <w:rFonts w:asciiTheme="minorHAnsi" w:hAnsiTheme="minorHAnsi" w:cstheme="minorBidi"/>
          <w:iCs w:val="0"/>
          <w:noProof/>
          <w:color w:val="auto"/>
          <w:sz w:val="22"/>
          <w:lang w:eastAsia="en-AU"/>
        </w:rPr>
      </w:pPr>
      <w:r>
        <w:rPr>
          <w:noProof/>
        </w:rPr>
        <w:t>What types of harm, if any, are associated with simulated gambling?</w:t>
      </w:r>
      <w:r>
        <w:rPr>
          <w:noProof/>
        </w:rPr>
        <w:tab/>
      </w:r>
      <w:r>
        <w:rPr>
          <w:noProof/>
        </w:rPr>
        <w:fldChar w:fldCharType="begin"/>
      </w:r>
      <w:r>
        <w:rPr>
          <w:noProof/>
        </w:rPr>
        <w:instrText xml:space="preserve"> PAGEREF _Toc106359515 \h </w:instrText>
      </w:r>
      <w:r>
        <w:rPr>
          <w:noProof/>
        </w:rPr>
      </w:r>
      <w:r>
        <w:rPr>
          <w:noProof/>
        </w:rPr>
        <w:fldChar w:fldCharType="separate"/>
      </w:r>
      <w:r w:rsidR="00814E92">
        <w:rPr>
          <w:noProof/>
        </w:rPr>
        <w:t>28</w:t>
      </w:r>
      <w:r>
        <w:rPr>
          <w:noProof/>
        </w:rPr>
        <w:fldChar w:fldCharType="end"/>
      </w:r>
    </w:p>
    <w:p w14:paraId="0CCDD852" w14:textId="1653F04F" w:rsidR="002C769A" w:rsidRDefault="002C769A">
      <w:pPr>
        <w:pStyle w:val="TOC2"/>
        <w:rPr>
          <w:rFonts w:asciiTheme="minorHAnsi" w:hAnsiTheme="minorHAnsi" w:cstheme="minorBidi"/>
          <w:iCs w:val="0"/>
          <w:noProof/>
          <w:color w:val="auto"/>
          <w:sz w:val="22"/>
          <w:lang w:eastAsia="en-AU"/>
        </w:rPr>
      </w:pPr>
      <w:r>
        <w:rPr>
          <w:noProof/>
        </w:rPr>
        <w:t>Which groups are most at risk or vulnerable to harm from simulated gambling?</w:t>
      </w:r>
      <w:r>
        <w:rPr>
          <w:noProof/>
        </w:rPr>
        <w:tab/>
      </w:r>
      <w:r>
        <w:rPr>
          <w:noProof/>
        </w:rPr>
        <w:fldChar w:fldCharType="begin"/>
      </w:r>
      <w:r>
        <w:rPr>
          <w:noProof/>
        </w:rPr>
        <w:instrText xml:space="preserve"> PAGEREF _Toc106359516 \h </w:instrText>
      </w:r>
      <w:r>
        <w:rPr>
          <w:noProof/>
        </w:rPr>
      </w:r>
      <w:r>
        <w:rPr>
          <w:noProof/>
        </w:rPr>
        <w:fldChar w:fldCharType="separate"/>
      </w:r>
      <w:r w:rsidR="00814E92">
        <w:rPr>
          <w:noProof/>
        </w:rPr>
        <w:t>31</w:t>
      </w:r>
      <w:r>
        <w:rPr>
          <w:noProof/>
        </w:rPr>
        <w:fldChar w:fldCharType="end"/>
      </w:r>
    </w:p>
    <w:p w14:paraId="4FF07557" w14:textId="269FACE2" w:rsidR="002C769A" w:rsidRDefault="002C769A">
      <w:pPr>
        <w:pStyle w:val="TOC2"/>
        <w:rPr>
          <w:rFonts w:asciiTheme="minorHAnsi" w:hAnsiTheme="minorHAnsi" w:cstheme="minorBidi"/>
          <w:iCs w:val="0"/>
          <w:noProof/>
          <w:color w:val="auto"/>
          <w:sz w:val="22"/>
          <w:lang w:eastAsia="en-AU"/>
        </w:rPr>
      </w:pPr>
      <w:r>
        <w:rPr>
          <w:noProof/>
        </w:rPr>
        <w:t>What other factors influence harm from simulated gambling?</w:t>
      </w:r>
      <w:r>
        <w:rPr>
          <w:noProof/>
        </w:rPr>
        <w:tab/>
      </w:r>
      <w:r>
        <w:rPr>
          <w:noProof/>
        </w:rPr>
        <w:fldChar w:fldCharType="begin"/>
      </w:r>
      <w:r>
        <w:rPr>
          <w:noProof/>
        </w:rPr>
        <w:instrText xml:space="preserve"> PAGEREF _Toc106359517 \h </w:instrText>
      </w:r>
      <w:r>
        <w:rPr>
          <w:noProof/>
        </w:rPr>
      </w:r>
      <w:r>
        <w:rPr>
          <w:noProof/>
        </w:rPr>
        <w:fldChar w:fldCharType="separate"/>
      </w:r>
      <w:r w:rsidR="00814E92">
        <w:rPr>
          <w:noProof/>
        </w:rPr>
        <w:t>31</w:t>
      </w:r>
      <w:r>
        <w:rPr>
          <w:noProof/>
        </w:rPr>
        <w:fldChar w:fldCharType="end"/>
      </w:r>
    </w:p>
    <w:p w14:paraId="56D2633F" w14:textId="73BEB572" w:rsidR="002C769A" w:rsidRDefault="002C769A">
      <w:pPr>
        <w:pStyle w:val="TOC1"/>
        <w:rPr>
          <w:rFonts w:asciiTheme="minorHAnsi" w:hAnsiTheme="minorHAnsi" w:cstheme="minorBidi"/>
          <w:bCs w:val="0"/>
          <w:noProof/>
          <w:color w:val="auto"/>
          <w:sz w:val="22"/>
          <w:lang w:eastAsia="en-AU"/>
        </w:rPr>
      </w:pPr>
      <w:r>
        <w:rPr>
          <w:noProof/>
        </w:rPr>
        <w:t>Other in-game purchases: what does the evidence tell us?</w:t>
      </w:r>
      <w:r>
        <w:rPr>
          <w:noProof/>
        </w:rPr>
        <w:tab/>
      </w:r>
      <w:r>
        <w:rPr>
          <w:noProof/>
        </w:rPr>
        <w:fldChar w:fldCharType="begin"/>
      </w:r>
      <w:r>
        <w:rPr>
          <w:noProof/>
        </w:rPr>
        <w:instrText xml:space="preserve"> PAGEREF _Toc106359518 \h </w:instrText>
      </w:r>
      <w:r>
        <w:rPr>
          <w:noProof/>
        </w:rPr>
      </w:r>
      <w:r>
        <w:rPr>
          <w:noProof/>
        </w:rPr>
        <w:fldChar w:fldCharType="separate"/>
      </w:r>
      <w:r w:rsidR="00814E92">
        <w:rPr>
          <w:noProof/>
        </w:rPr>
        <w:t>34</w:t>
      </w:r>
      <w:r>
        <w:rPr>
          <w:noProof/>
        </w:rPr>
        <w:fldChar w:fldCharType="end"/>
      </w:r>
    </w:p>
    <w:p w14:paraId="60363D27" w14:textId="1FC7689A" w:rsidR="002C769A" w:rsidRDefault="002C769A">
      <w:pPr>
        <w:pStyle w:val="TOC2"/>
        <w:rPr>
          <w:rFonts w:asciiTheme="minorHAnsi" w:hAnsiTheme="minorHAnsi" w:cstheme="minorBidi"/>
          <w:iCs w:val="0"/>
          <w:noProof/>
          <w:color w:val="auto"/>
          <w:sz w:val="22"/>
          <w:lang w:eastAsia="en-AU"/>
        </w:rPr>
      </w:pPr>
      <w:r>
        <w:rPr>
          <w:noProof/>
        </w:rPr>
        <w:t>What types of harm, if any, are associated with other in-game purchases?</w:t>
      </w:r>
      <w:r>
        <w:rPr>
          <w:noProof/>
        </w:rPr>
        <w:tab/>
      </w:r>
      <w:r>
        <w:rPr>
          <w:noProof/>
        </w:rPr>
        <w:fldChar w:fldCharType="begin"/>
      </w:r>
      <w:r>
        <w:rPr>
          <w:noProof/>
        </w:rPr>
        <w:instrText xml:space="preserve"> PAGEREF _Toc106359519 \h </w:instrText>
      </w:r>
      <w:r>
        <w:rPr>
          <w:noProof/>
        </w:rPr>
      </w:r>
      <w:r>
        <w:rPr>
          <w:noProof/>
        </w:rPr>
        <w:fldChar w:fldCharType="separate"/>
      </w:r>
      <w:r w:rsidR="00814E92">
        <w:rPr>
          <w:noProof/>
        </w:rPr>
        <w:t>35</w:t>
      </w:r>
      <w:r>
        <w:rPr>
          <w:noProof/>
        </w:rPr>
        <w:fldChar w:fldCharType="end"/>
      </w:r>
    </w:p>
    <w:p w14:paraId="1BD4F622" w14:textId="0B85E252" w:rsidR="002C769A" w:rsidRDefault="002C769A">
      <w:pPr>
        <w:pStyle w:val="TOC2"/>
        <w:rPr>
          <w:rFonts w:asciiTheme="minorHAnsi" w:hAnsiTheme="minorHAnsi" w:cstheme="minorBidi"/>
          <w:iCs w:val="0"/>
          <w:noProof/>
          <w:color w:val="auto"/>
          <w:sz w:val="22"/>
          <w:lang w:eastAsia="en-AU"/>
        </w:rPr>
      </w:pPr>
      <w:r>
        <w:rPr>
          <w:noProof/>
        </w:rPr>
        <w:t>Which groups are most at risk or vulnerable to harm from other in-game purchases?</w:t>
      </w:r>
      <w:r>
        <w:rPr>
          <w:noProof/>
        </w:rPr>
        <w:tab/>
      </w:r>
      <w:r>
        <w:rPr>
          <w:noProof/>
        </w:rPr>
        <w:fldChar w:fldCharType="begin"/>
      </w:r>
      <w:r>
        <w:rPr>
          <w:noProof/>
        </w:rPr>
        <w:instrText xml:space="preserve"> PAGEREF _Toc106359520 \h </w:instrText>
      </w:r>
      <w:r>
        <w:rPr>
          <w:noProof/>
        </w:rPr>
      </w:r>
      <w:r>
        <w:rPr>
          <w:noProof/>
        </w:rPr>
        <w:fldChar w:fldCharType="separate"/>
      </w:r>
      <w:r w:rsidR="00814E92">
        <w:rPr>
          <w:noProof/>
        </w:rPr>
        <w:t>37</w:t>
      </w:r>
      <w:r>
        <w:rPr>
          <w:noProof/>
        </w:rPr>
        <w:fldChar w:fldCharType="end"/>
      </w:r>
    </w:p>
    <w:p w14:paraId="53F33E95" w14:textId="2CDF044A" w:rsidR="002C769A" w:rsidRDefault="002C769A">
      <w:pPr>
        <w:pStyle w:val="TOC2"/>
        <w:rPr>
          <w:rFonts w:asciiTheme="minorHAnsi" w:hAnsiTheme="minorHAnsi" w:cstheme="minorBidi"/>
          <w:iCs w:val="0"/>
          <w:noProof/>
          <w:color w:val="auto"/>
          <w:sz w:val="22"/>
          <w:lang w:eastAsia="en-AU"/>
        </w:rPr>
      </w:pPr>
      <w:r>
        <w:rPr>
          <w:noProof/>
        </w:rPr>
        <w:t>What other factors influence harm from other in-game purchases?</w:t>
      </w:r>
      <w:r>
        <w:rPr>
          <w:noProof/>
        </w:rPr>
        <w:tab/>
      </w:r>
      <w:r>
        <w:rPr>
          <w:noProof/>
        </w:rPr>
        <w:fldChar w:fldCharType="begin"/>
      </w:r>
      <w:r>
        <w:rPr>
          <w:noProof/>
        </w:rPr>
        <w:instrText xml:space="preserve"> PAGEREF _Toc106359521 \h </w:instrText>
      </w:r>
      <w:r>
        <w:rPr>
          <w:noProof/>
        </w:rPr>
      </w:r>
      <w:r>
        <w:rPr>
          <w:noProof/>
        </w:rPr>
        <w:fldChar w:fldCharType="separate"/>
      </w:r>
      <w:r w:rsidR="00814E92">
        <w:rPr>
          <w:noProof/>
        </w:rPr>
        <w:t>38</w:t>
      </w:r>
      <w:r>
        <w:rPr>
          <w:noProof/>
        </w:rPr>
        <w:fldChar w:fldCharType="end"/>
      </w:r>
    </w:p>
    <w:p w14:paraId="35B4B7DD" w14:textId="58A39744" w:rsidR="002C769A" w:rsidRDefault="002C769A">
      <w:pPr>
        <w:pStyle w:val="TOC1"/>
        <w:rPr>
          <w:rFonts w:asciiTheme="minorHAnsi" w:hAnsiTheme="minorHAnsi" w:cstheme="minorBidi"/>
          <w:bCs w:val="0"/>
          <w:noProof/>
          <w:color w:val="auto"/>
          <w:sz w:val="22"/>
          <w:lang w:eastAsia="en-AU"/>
        </w:rPr>
      </w:pPr>
      <w:r>
        <w:rPr>
          <w:noProof/>
        </w:rPr>
        <w:t>Mitigation and regulation</w:t>
      </w:r>
      <w:r>
        <w:rPr>
          <w:noProof/>
        </w:rPr>
        <w:tab/>
      </w:r>
      <w:r>
        <w:rPr>
          <w:noProof/>
        </w:rPr>
        <w:fldChar w:fldCharType="begin"/>
      </w:r>
      <w:r>
        <w:rPr>
          <w:noProof/>
        </w:rPr>
        <w:instrText xml:space="preserve"> PAGEREF _Toc106359522 \h </w:instrText>
      </w:r>
      <w:r>
        <w:rPr>
          <w:noProof/>
        </w:rPr>
      </w:r>
      <w:r>
        <w:rPr>
          <w:noProof/>
        </w:rPr>
        <w:fldChar w:fldCharType="separate"/>
      </w:r>
      <w:r w:rsidR="00814E92">
        <w:rPr>
          <w:noProof/>
        </w:rPr>
        <w:t>39</w:t>
      </w:r>
      <w:r>
        <w:rPr>
          <w:noProof/>
        </w:rPr>
        <w:fldChar w:fldCharType="end"/>
      </w:r>
    </w:p>
    <w:p w14:paraId="70FE7C0A" w14:textId="64E639CF" w:rsidR="002C769A" w:rsidRDefault="002C769A">
      <w:pPr>
        <w:pStyle w:val="TOC2"/>
        <w:rPr>
          <w:rFonts w:asciiTheme="minorHAnsi" w:hAnsiTheme="minorHAnsi" w:cstheme="minorBidi"/>
          <w:iCs w:val="0"/>
          <w:noProof/>
          <w:color w:val="auto"/>
          <w:sz w:val="22"/>
          <w:lang w:eastAsia="en-AU"/>
        </w:rPr>
      </w:pPr>
      <w:r>
        <w:rPr>
          <w:noProof/>
        </w:rPr>
        <w:t>Consumer protection measures in video games</w:t>
      </w:r>
      <w:r>
        <w:rPr>
          <w:noProof/>
        </w:rPr>
        <w:tab/>
      </w:r>
      <w:r>
        <w:rPr>
          <w:noProof/>
        </w:rPr>
        <w:fldChar w:fldCharType="begin"/>
      </w:r>
      <w:r>
        <w:rPr>
          <w:noProof/>
        </w:rPr>
        <w:instrText xml:space="preserve"> PAGEREF _Toc106359523 \h </w:instrText>
      </w:r>
      <w:r>
        <w:rPr>
          <w:noProof/>
        </w:rPr>
      </w:r>
      <w:r>
        <w:rPr>
          <w:noProof/>
        </w:rPr>
        <w:fldChar w:fldCharType="separate"/>
      </w:r>
      <w:r w:rsidR="00814E92">
        <w:rPr>
          <w:noProof/>
        </w:rPr>
        <w:t>40</w:t>
      </w:r>
      <w:r>
        <w:rPr>
          <w:noProof/>
        </w:rPr>
        <w:fldChar w:fldCharType="end"/>
      </w:r>
    </w:p>
    <w:p w14:paraId="6DE974E8" w14:textId="375A1980" w:rsidR="002C769A" w:rsidRDefault="002C769A">
      <w:pPr>
        <w:pStyle w:val="TOC1"/>
        <w:rPr>
          <w:rFonts w:asciiTheme="minorHAnsi" w:hAnsiTheme="minorHAnsi" w:cstheme="minorBidi"/>
          <w:bCs w:val="0"/>
          <w:noProof/>
          <w:color w:val="auto"/>
          <w:sz w:val="22"/>
          <w:lang w:eastAsia="en-AU"/>
        </w:rPr>
      </w:pPr>
      <w:r>
        <w:rPr>
          <w:noProof/>
        </w:rPr>
        <w:t>Discussion</w:t>
      </w:r>
      <w:r>
        <w:rPr>
          <w:noProof/>
        </w:rPr>
        <w:tab/>
      </w:r>
      <w:r>
        <w:rPr>
          <w:noProof/>
        </w:rPr>
        <w:fldChar w:fldCharType="begin"/>
      </w:r>
      <w:r>
        <w:rPr>
          <w:noProof/>
        </w:rPr>
        <w:instrText xml:space="preserve"> PAGEREF _Toc106359524 \h </w:instrText>
      </w:r>
      <w:r>
        <w:rPr>
          <w:noProof/>
        </w:rPr>
      </w:r>
      <w:r>
        <w:rPr>
          <w:noProof/>
        </w:rPr>
        <w:fldChar w:fldCharType="separate"/>
      </w:r>
      <w:r w:rsidR="00814E92">
        <w:rPr>
          <w:noProof/>
        </w:rPr>
        <w:t>45</w:t>
      </w:r>
      <w:r>
        <w:rPr>
          <w:noProof/>
        </w:rPr>
        <w:fldChar w:fldCharType="end"/>
      </w:r>
    </w:p>
    <w:p w14:paraId="3036CA10" w14:textId="57842B43" w:rsidR="002C769A" w:rsidRDefault="002C769A">
      <w:pPr>
        <w:pStyle w:val="TOC2"/>
        <w:rPr>
          <w:rFonts w:asciiTheme="minorHAnsi" w:hAnsiTheme="minorHAnsi" w:cstheme="minorBidi"/>
          <w:iCs w:val="0"/>
          <w:noProof/>
          <w:color w:val="auto"/>
          <w:sz w:val="22"/>
          <w:lang w:eastAsia="en-AU"/>
        </w:rPr>
      </w:pPr>
      <w:r>
        <w:rPr>
          <w:noProof/>
        </w:rPr>
        <w:t>Loot boxes, simulated gambling, other in-game purchases and harm</w:t>
      </w:r>
      <w:r>
        <w:rPr>
          <w:noProof/>
        </w:rPr>
        <w:tab/>
      </w:r>
      <w:r>
        <w:rPr>
          <w:noProof/>
        </w:rPr>
        <w:fldChar w:fldCharType="begin"/>
      </w:r>
      <w:r>
        <w:rPr>
          <w:noProof/>
        </w:rPr>
        <w:instrText xml:space="preserve"> PAGEREF _Toc106359525 \h </w:instrText>
      </w:r>
      <w:r>
        <w:rPr>
          <w:noProof/>
        </w:rPr>
      </w:r>
      <w:r>
        <w:rPr>
          <w:noProof/>
        </w:rPr>
        <w:fldChar w:fldCharType="separate"/>
      </w:r>
      <w:r w:rsidR="00814E92">
        <w:rPr>
          <w:noProof/>
        </w:rPr>
        <w:t>45</w:t>
      </w:r>
      <w:r>
        <w:rPr>
          <w:noProof/>
        </w:rPr>
        <w:fldChar w:fldCharType="end"/>
      </w:r>
    </w:p>
    <w:p w14:paraId="40F2A34D" w14:textId="368ADB5A" w:rsidR="002C769A" w:rsidRDefault="002C769A">
      <w:pPr>
        <w:pStyle w:val="TOC2"/>
        <w:rPr>
          <w:rFonts w:asciiTheme="minorHAnsi" w:hAnsiTheme="minorHAnsi" w:cstheme="minorBidi"/>
          <w:iCs w:val="0"/>
          <w:noProof/>
          <w:color w:val="auto"/>
          <w:sz w:val="22"/>
          <w:lang w:eastAsia="en-AU"/>
        </w:rPr>
      </w:pPr>
      <w:r>
        <w:rPr>
          <w:noProof/>
        </w:rPr>
        <w:t>Mitigation and regulation</w:t>
      </w:r>
      <w:r>
        <w:rPr>
          <w:noProof/>
        </w:rPr>
        <w:tab/>
      </w:r>
      <w:r>
        <w:rPr>
          <w:noProof/>
        </w:rPr>
        <w:fldChar w:fldCharType="begin"/>
      </w:r>
      <w:r>
        <w:rPr>
          <w:noProof/>
        </w:rPr>
        <w:instrText xml:space="preserve"> PAGEREF _Toc106359526 \h </w:instrText>
      </w:r>
      <w:r>
        <w:rPr>
          <w:noProof/>
        </w:rPr>
      </w:r>
      <w:r>
        <w:rPr>
          <w:noProof/>
        </w:rPr>
        <w:fldChar w:fldCharType="separate"/>
      </w:r>
      <w:r w:rsidR="00814E92">
        <w:rPr>
          <w:noProof/>
        </w:rPr>
        <w:t>46</w:t>
      </w:r>
      <w:r>
        <w:rPr>
          <w:noProof/>
        </w:rPr>
        <w:fldChar w:fldCharType="end"/>
      </w:r>
    </w:p>
    <w:p w14:paraId="376F927F" w14:textId="15CFE59A" w:rsidR="002C769A" w:rsidRDefault="002C769A">
      <w:pPr>
        <w:pStyle w:val="TOC2"/>
        <w:rPr>
          <w:rFonts w:asciiTheme="minorHAnsi" w:hAnsiTheme="minorHAnsi" w:cstheme="minorBidi"/>
          <w:iCs w:val="0"/>
          <w:noProof/>
          <w:color w:val="auto"/>
          <w:sz w:val="22"/>
          <w:lang w:eastAsia="en-AU"/>
        </w:rPr>
      </w:pPr>
      <w:r>
        <w:rPr>
          <w:noProof/>
        </w:rPr>
        <w:t>Limitations of the current evidence base</w:t>
      </w:r>
      <w:r>
        <w:rPr>
          <w:noProof/>
        </w:rPr>
        <w:tab/>
      </w:r>
      <w:r>
        <w:rPr>
          <w:noProof/>
        </w:rPr>
        <w:fldChar w:fldCharType="begin"/>
      </w:r>
      <w:r>
        <w:rPr>
          <w:noProof/>
        </w:rPr>
        <w:instrText xml:space="preserve"> PAGEREF _Toc106359527 \h </w:instrText>
      </w:r>
      <w:r>
        <w:rPr>
          <w:noProof/>
        </w:rPr>
      </w:r>
      <w:r>
        <w:rPr>
          <w:noProof/>
        </w:rPr>
        <w:fldChar w:fldCharType="separate"/>
      </w:r>
      <w:r w:rsidR="00814E92">
        <w:rPr>
          <w:noProof/>
        </w:rPr>
        <w:t>47</w:t>
      </w:r>
      <w:r>
        <w:rPr>
          <w:noProof/>
        </w:rPr>
        <w:fldChar w:fldCharType="end"/>
      </w:r>
    </w:p>
    <w:p w14:paraId="4E53DD97" w14:textId="4116F4B2" w:rsidR="002C769A" w:rsidRDefault="002C769A">
      <w:pPr>
        <w:pStyle w:val="TOC2"/>
        <w:rPr>
          <w:rFonts w:asciiTheme="minorHAnsi" w:hAnsiTheme="minorHAnsi" w:cstheme="minorBidi"/>
          <w:iCs w:val="0"/>
          <w:noProof/>
          <w:color w:val="auto"/>
          <w:sz w:val="22"/>
          <w:lang w:eastAsia="en-AU"/>
        </w:rPr>
      </w:pPr>
      <w:r>
        <w:rPr>
          <w:noProof/>
        </w:rPr>
        <w:t>Gaps in evidence</w:t>
      </w:r>
      <w:r>
        <w:rPr>
          <w:noProof/>
        </w:rPr>
        <w:tab/>
      </w:r>
      <w:r>
        <w:rPr>
          <w:noProof/>
        </w:rPr>
        <w:fldChar w:fldCharType="begin"/>
      </w:r>
      <w:r>
        <w:rPr>
          <w:noProof/>
        </w:rPr>
        <w:instrText xml:space="preserve"> PAGEREF _Toc106359528 \h </w:instrText>
      </w:r>
      <w:r>
        <w:rPr>
          <w:noProof/>
        </w:rPr>
      </w:r>
      <w:r>
        <w:rPr>
          <w:noProof/>
        </w:rPr>
        <w:fldChar w:fldCharType="separate"/>
      </w:r>
      <w:r w:rsidR="00814E92">
        <w:rPr>
          <w:noProof/>
        </w:rPr>
        <w:t>48</w:t>
      </w:r>
      <w:r>
        <w:rPr>
          <w:noProof/>
        </w:rPr>
        <w:fldChar w:fldCharType="end"/>
      </w:r>
    </w:p>
    <w:p w14:paraId="0268C054" w14:textId="6F052E7B" w:rsidR="002C769A" w:rsidRDefault="002C769A">
      <w:pPr>
        <w:pStyle w:val="TOC2"/>
        <w:rPr>
          <w:rFonts w:asciiTheme="minorHAnsi" w:hAnsiTheme="minorHAnsi" w:cstheme="minorBidi"/>
          <w:iCs w:val="0"/>
          <w:noProof/>
          <w:color w:val="auto"/>
          <w:sz w:val="22"/>
          <w:lang w:eastAsia="en-AU"/>
        </w:rPr>
      </w:pPr>
      <w:r>
        <w:rPr>
          <w:noProof/>
        </w:rPr>
        <w:t>Conclusions</w:t>
      </w:r>
      <w:r>
        <w:rPr>
          <w:noProof/>
        </w:rPr>
        <w:tab/>
      </w:r>
      <w:r>
        <w:rPr>
          <w:noProof/>
        </w:rPr>
        <w:fldChar w:fldCharType="begin"/>
      </w:r>
      <w:r>
        <w:rPr>
          <w:noProof/>
        </w:rPr>
        <w:instrText xml:space="preserve"> PAGEREF _Toc106359529 \h </w:instrText>
      </w:r>
      <w:r>
        <w:rPr>
          <w:noProof/>
        </w:rPr>
      </w:r>
      <w:r>
        <w:rPr>
          <w:noProof/>
        </w:rPr>
        <w:fldChar w:fldCharType="separate"/>
      </w:r>
      <w:r w:rsidR="00814E92">
        <w:rPr>
          <w:noProof/>
        </w:rPr>
        <w:t>48</w:t>
      </w:r>
      <w:r>
        <w:rPr>
          <w:noProof/>
        </w:rPr>
        <w:fldChar w:fldCharType="end"/>
      </w:r>
    </w:p>
    <w:p w14:paraId="07A6FB29" w14:textId="6F8D6EDD" w:rsidR="002C769A" w:rsidRDefault="002C769A">
      <w:pPr>
        <w:pStyle w:val="TOC1"/>
        <w:rPr>
          <w:rFonts w:asciiTheme="minorHAnsi" w:hAnsiTheme="minorHAnsi" w:cstheme="minorBidi"/>
          <w:bCs w:val="0"/>
          <w:noProof/>
          <w:color w:val="auto"/>
          <w:sz w:val="22"/>
          <w:lang w:eastAsia="en-AU"/>
        </w:rPr>
      </w:pPr>
      <w:r>
        <w:rPr>
          <w:noProof/>
        </w:rPr>
        <w:t>References</w:t>
      </w:r>
      <w:r>
        <w:rPr>
          <w:noProof/>
        </w:rPr>
        <w:tab/>
      </w:r>
      <w:r>
        <w:rPr>
          <w:noProof/>
        </w:rPr>
        <w:fldChar w:fldCharType="begin"/>
      </w:r>
      <w:r>
        <w:rPr>
          <w:noProof/>
        </w:rPr>
        <w:instrText xml:space="preserve"> PAGEREF _Toc106359530 \h </w:instrText>
      </w:r>
      <w:r>
        <w:rPr>
          <w:noProof/>
        </w:rPr>
      </w:r>
      <w:r>
        <w:rPr>
          <w:noProof/>
        </w:rPr>
        <w:fldChar w:fldCharType="separate"/>
      </w:r>
      <w:r w:rsidR="00814E92">
        <w:rPr>
          <w:noProof/>
        </w:rPr>
        <w:t>50</w:t>
      </w:r>
      <w:r>
        <w:rPr>
          <w:noProof/>
        </w:rPr>
        <w:fldChar w:fldCharType="end"/>
      </w:r>
    </w:p>
    <w:p w14:paraId="2BFE008E" w14:textId="65CC6EC6" w:rsidR="002C769A" w:rsidRDefault="002C769A">
      <w:pPr>
        <w:pStyle w:val="TOC1"/>
        <w:rPr>
          <w:rFonts w:asciiTheme="minorHAnsi" w:hAnsiTheme="minorHAnsi" w:cstheme="minorBidi"/>
          <w:bCs w:val="0"/>
          <w:noProof/>
          <w:color w:val="auto"/>
          <w:sz w:val="22"/>
          <w:lang w:eastAsia="en-AU"/>
        </w:rPr>
      </w:pPr>
      <w:r>
        <w:rPr>
          <w:noProof/>
        </w:rPr>
        <w:t>Appendices</w:t>
      </w:r>
      <w:r>
        <w:rPr>
          <w:noProof/>
        </w:rPr>
        <w:tab/>
      </w:r>
      <w:r>
        <w:rPr>
          <w:noProof/>
        </w:rPr>
        <w:fldChar w:fldCharType="begin"/>
      </w:r>
      <w:r>
        <w:rPr>
          <w:noProof/>
        </w:rPr>
        <w:instrText xml:space="preserve"> PAGEREF _Toc106359531 \h </w:instrText>
      </w:r>
      <w:r>
        <w:rPr>
          <w:noProof/>
        </w:rPr>
      </w:r>
      <w:r>
        <w:rPr>
          <w:noProof/>
        </w:rPr>
        <w:fldChar w:fldCharType="separate"/>
      </w:r>
      <w:r w:rsidR="00814E92">
        <w:rPr>
          <w:noProof/>
        </w:rPr>
        <w:t>57</w:t>
      </w:r>
      <w:r>
        <w:rPr>
          <w:noProof/>
        </w:rPr>
        <w:fldChar w:fldCharType="end"/>
      </w:r>
    </w:p>
    <w:p w14:paraId="4A681BF2" w14:textId="37DC11AD" w:rsidR="002C769A" w:rsidRDefault="002C769A">
      <w:pPr>
        <w:pStyle w:val="TOC2"/>
        <w:rPr>
          <w:rFonts w:asciiTheme="minorHAnsi" w:hAnsiTheme="minorHAnsi" w:cstheme="minorBidi"/>
          <w:iCs w:val="0"/>
          <w:noProof/>
          <w:color w:val="auto"/>
          <w:sz w:val="22"/>
          <w:lang w:eastAsia="en-AU"/>
        </w:rPr>
      </w:pPr>
      <w:r>
        <w:rPr>
          <w:noProof/>
        </w:rPr>
        <w:t>Appendix A. Glossary</w:t>
      </w:r>
      <w:r>
        <w:rPr>
          <w:noProof/>
        </w:rPr>
        <w:tab/>
      </w:r>
      <w:r>
        <w:rPr>
          <w:noProof/>
        </w:rPr>
        <w:fldChar w:fldCharType="begin"/>
      </w:r>
      <w:r>
        <w:rPr>
          <w:noProof/>
        </w:rPr>
        <w:instrText xml:space="preserve"> PAGEREF _Toc106359532 \h </w:instrText>
      </w:r>
      <w:r>
        <w:rPr>
          <w:noProof/>
        </w:rPr>
      </w:r>
      <w:r>
        <w:rPr>
          <w:noProof/>
        </w:rPr>
        <w:fldChar w:fldCharType="separate"/>
      </w:r>
      <w:r w:rsidR="00814E92">
        <w:rPr>
          <w:noProof/>
        </w:rPr>
        <w:t>57</w:t>
      </w:r>
      <w:r>
        <w:rPr>
          <w:noProof/>
        </w:rPr>
        <w:fldChar w:fldCharType="end"/>
      </w:r>
    </w:p>
    <w:p w14:paraId="1704F1BD" w14:textId="3C733E8F" w:rsidR="002C769A" w:rsidRDefault="002C769A">
      <w:pPr>
        <w:pStyle w:val="TOC2"/>
        <w:rPr>
          <w:rFonts w:asciiTheme="minorHAnsi" w:hAnsiTheme="minorHAnsi" w:cstheme="minorBidi"/>
          <w:iCs w:val="0"/>
          <w:noProof/>
          <w:color w:val="auto"/>
          <w:sz w:val="22"/>
          <w:lang w:eastAsia="en-AU"/>
        </w:rPr>
      </w:pPr>
      <w:r>
        <w:rPr>
          <w:noProof/>
        </w:rPr>
        <w:t>Appendix B. Literature sources</w:t>
      </w:r>
      <w:r>
        <w:rPr>
          <w:noProof/>
        </w:rPr>
        <w:tab/>
      </w:r>
      <w:r>
        <w:rPr>
          <w:noProof/>
        </w:rPr>
        <w:fldChar w:fldCharType="begin"/>
      </w:r>
      <w:r>
        <w:rPr>
          <w:noProof/>
        </w:rPr>
        <w:instrText xml:space="preserve"> PAGEREF _Toc106359533 \h </w:instrText>
      </w:r>
      <w:r>
        <w:rPr>
          <w:noProof/>
        </w:rPr>
      </w:r>
      <w:r>
        <w:rPr>
          <w:noProof/>
        </w:rPr>
        <w:fldChar w:fldCharType="separate"/>
      </w:r>
      <w:r w:rsidR="00814E92">
        <w:rPr>
          <w:noProof/>
        </w:rPr>
        <w:t>60</w:t>
      </w:r>
      <w:r>
        <w:rPr>
          <w:noProof/>
        </w:rPr>
        <w:fldChar w:fldCharType="end"/>
      </w:r>
    </w:p>
    <w:p w14:paraId="33BAA126" w14:textId="5A0314B6" w:rsidR="002C769A" w:rsidRDefault="002C769A">
      <w:pPr>
        <w:pStyle w:val="TOC2"/>
        <w:rPr>
          <w:rFonts w:asciiTheme="minorHAnsi" w:hAnsiTheme="minorHAnsi" w:cstheme="minorBidi"/>
          <w:iCs w:val="0"/>
          <w:noProof/>
          <w:color w:val="auto"/>
          <w:sz w:val="22"/>
          <w:lang w:eastAsia="en-AU"/>
        </w:rPr>
      </w:pPr>
      <w:r>
        <w:rPr>
          <w:noProof/>
        </w:rPr>
        <w:t>Appendix C. Review flowchart</w:t>
      </w:r>
      <w:r>
        <w:rPr>
          <w:noProof/>
        </w:rPr>
        <w:tab/>
      </w:r>
      <w:r>
        <w:rPr>
          <w:noProof/>
        </w:rPr>
        <w:fldChar w:fldCharType="begin"/>
      </w:r>
      <w:r>
        <w:rPr>
          <w:noProof/>
        </w:rPr>
        <w:instrText xml:space="preserve"> PAGEREF _Toc106359534 \h </w:instrText>
      </w:r>
      <w:r>
        <w:rPr>
          <w:noProof/>
        </w:rPr>
      </w:r>
      <w:r>
        <w:rPr>
          <w:noProof/>
        </w:rPr>
        <w:fldChar w:fldCharType="separate"/>
      </w:r>
      <w:r w:rsidR="00814E92">
        <w:rPr>
          <w:noProof/>
        </w:rPr>
        <w:t>61</w:t>
      </w:r>
      <w:r>
        <w:rPr>
          <w:noProof/>
        </w:rPr>
        <w:fldChar w:fldCharType="end"/>
      </w:r>
    </w:p>
    <w:p w14:paraId="19C4FF35" w14:textId="4AB8C93F" w:rsidR="002C769A" w:rsidRDefault="002C769A">
      <w:pPr>
        <w:pStyle w:val="TOC2"/>
        <w:rPr>
          <w:rFonts w:asciiTheme="minorHAnsi" w:hAnsiTheme="minorHAnsi" w:cstheme="minorBidi"/>
          <w:iCs w:val="0"/>
          <w:noProof/>
          <w:color w:val="auto"/>
          <w:sz w:val="22"/>
          <w:lang w:eastAsia="en-AU"/>
        </w:rPr>
      </w:pPr>
      <w:r>
        <w:rPr>
          <w:noProof/>
        </w:rPr>
        <w:t>Appendix D. Assessment of the strength and value of evidence, and generalisability to Australia</w:t>
      </w:r>
      <w:r>
        <w:rPr>
          <w:noProof/>
        </w:rPr>
        <w:tab/>
      </w:r>
      <w:r>
        <w:rPr>
          <w:noProof/>
        </w:rPr>
        <w:fldChar w:fldCharType="begin"/>
      </w:r>
      <w:r>
        <w:rPr>
          <w:noProof/>
        </w:rPr>
        <w:instrText xml:space="preserve"> PAGEREF _Toc106359535 \h </w:instrText>
      </w:r>
      <w:r>
        <w:rPr>
          <w:noProof/>
        </w:rPr>
      </w:r>
      <w:r>
        <w:rPr>
          <w:noProof/>
        </w:rPr>
        <w:fldChar w:fldCharType="separate"/>
      </w:r>
      <w:r w:rsidR="00814E92">
        <w:rPr>
          <w:noProof/>
        </w:rPr>
        <w:t>62</w:t>
      </w:r>
      <w:r>
        <w:rPr>
          <w:noProof/>
        </w:rPr>
        <w:fldChar w:fldCharType="end"/>
      </w:r>
    </w:p>
    <w:p w14:paraId="357F43E9" w14:textId="4F5C6861" w:rsidR="002C769A" w:rsidRDefault="002C769A">
      <w:pPr>
        <w:pStyle w:val="TOC2"/>
        <w:rPr>
          <w:rFonts w:asciiTheme="minorHAnsi" w:hAnsiTheme="minorHAnsi" w:cstheme="minorBidi"/>
          <w:iCs w:val="0"/>
          <w:noProof/>
          <w:color w:val="auto"/>
          <w:sz w:val="22"/>
          <w:lang w:eastAsia="en-AU"/>
        </w:rPr>
      </w:pPr>
      <w:r>
        <w:rPr>
          <w:noProof/>
        </w:rPr>
        <w:t>Appendix E. Harm measures</w:t>
      </w:r>
      <w:r>
        <w:rPr>
          <w:noProof/>
        </w:rPr>
        <w:tab/>
      </w:r>
      <w:r>
        <w:rPr>
          <w:noProof/>
        </w:rPr>
        <w:fldChar w:fldCharType="begin"/>
      </w:r>
      <w:r>
        <w:rPr>
          <w:noProof/>
        </w:rPr>
        <w:instrText xml:space="preserve"> PAGEREF _Toc106359536 \h </w:instrText>
      </w:r>
      <w:r>
        <w:rPr>
          <w:noProof/>
        </w:rPr>
      </w:r>
      <w:r>
        <w:rPr>
          <w:noProof/>
        </w:rPr>
        <w:fldChar w:fldCharType="separate"/>
      </w:r>
      <w:r w:rsidR="00814E92">
        <w:rPr>
          <w:noProof/>
        </w:rPr>
        <w:t>63</w:t>
      </w:r>
      <w:r>
        <w:rPr>
          <w:noProof/>
        </w:rPr>
        <w:fldChar w:fldCharType="end"/>
      </w:r>
    </w:p>
    <w:p w14:paraId="1E00C5DD" w14:textId="6B2CFCC7" w:rsidR="002F774A" w:rsidRDefault="002F774A" w:rsidP="00846DB2">
      <w:pPr>
        <w:pStyle w:val="Heading1"/>
      </w:pPr>
      <w:r>
        <w:rPr>
          <w:rFonts w:cs="Times New Roman"/>
          <w:color w:val="2C2624"/>
          <w:kern w:val="0"/>
          <w:sz w:val="20"/>
          <w:szCs w:val="22"/>
        </w:rPr>
        <w:lastRenderedPageBreak/>
        <w:fldChar w:fldCharType="end"/>
      </w:r>
      <w:bookmarkStart w:id="2" w:name="_Toc106359500"/>
      <w:bookmarkStart w:id="3" w:name="_Toc97649944"/>
      <w:bookmarkStart w:id="4" w:name="_Hlk97640974"/>
      <w:bookmarkStart w:id="5" w:name="_Hlk102926199"/>
      <w:r w:rsidR="00CB423E">
        <w:t xml:space="preserve">Executive </w:t>
      </w:r>
      <w:r w:rsidR="00CA495B">
        <w:t>summary</w:t>
      </w:r>
      <w:bookmarkEnd w:id="2"/>
    </w:p>
    <w:p w14:paraId="31A02945" w14:textId="77777777" w:rsidR="006E41C6" w:rsidRPr="0029548C" w:rsidRDefault="006E41C6" w:rsidP="006E41C6">
      <w:pPr>
        <w:pStyle w:val="BoxHeading1"/>
      </w:pPr>
      <w:r w:rsidRPr="0029548C">
        <w:t>Key definitions</w:t>
      </w:r>
    </w:p>
    <w:p w14:paraId="685C0472" w14:textId="77777777" w:rsidR="006E41C6" w:rsidRPr="0029548C" w:rsidRDefault="006E41C6" w:rsidP="006E41C6">
      <w:pPr>
        <w:pStyle w:val="BoxHeading2"/>
      </w:pPr>
      <w:r w:rsidRPr="0029548C">
        <w:t>Loot boxes</w:t>
      </w:r>
    </w:p>
    <w:p w14:paraId="2D237516" w14:textId="77777777" w:rsidR="006E41C6" w:rsidRPr="0029548C" w:rsidRDefault="006E41C6" w:rsidP="006E41C6">
      <w:pPr>
        <w:pStyle w:val="BoxText"/>
      </w:pPr>
      <w:r w:rsidRPr="0029548C">
        <w:t xml:space="preserve">An in-game purchase of a virtual container (i.e. loot box, mystery box or chest) that randomly awards players with functional items or modifications (such as cosmetic items or weapons) based on chance or adjusted probabilities (King &amp; </w:t>
      </w:r>
      <w:proofErr w:type="spellStart"/>
      <w:r w:rsidRPr="0029548C">
        <w:t>Delfabbro</w:t>
      </w:r>
      <w:proofErr w:type="spellEnd"/>
      <w:r w:rsidRPr="0029548C">
        <w:t>, 2020). Loot boxes can also be obtained for free via gameplay (</w:t>
      </w:r>
      <w:proofErr w:type="spellStart"/>
      <w:r w:rsidRPr="0029548C">
        <w:t>Rockloff</w:t>
      </w:r>
      <w:proofErr w:type="spellEnd"/>
      <w:r w:rsidRPr="0029548C">
        <w:t xml:space="preserve"> et al., 2020). </w:t>
      </w:r>
    </w:p>
    <w:p w14:paraId="444FA781" w14:textId="77777777" w:rsidR="006E41C6" w:rsidRPr="0029548C" w:rsidRDefault="006E41C6" w:rsidP="006E41C6">
      <w:pPr>
        <w:pStyle w:val="BoxHeading2"/>
      </w:pPr>
      <w:r w:rsidRPr="0029548C">
        <w:t>Simulated gambling</w:t>
      </w:r>
    </w:p>
    <w:p w14:paraId="3ED9E9E3" w14:textId="77777777" w:rsidR="006E41C6" w:rsidRPr="0029548C" w:rsidRDefault="006E41C6" w:rsidP="006E41C6">
      <w:pPr>
        <w:pStyle w:val="BoxText"/>
      </w:pPr>
      <w:r w:rsidRPr="0029548C">
        <w:t xml:space="preserve">Games with features that resemble or function like commercial gambling activities (King, 2018). This includes social casino games, free demo (demonstration) games, and other games with gambling-like components. Some, but not all, simulated gambling activities have in-game purchases; however, these in-game purchases operate in a closed-loop economy where they cannot be redeemed for money or traded among players. </w:t>
      </w:r>
    </w:p>
    <w:p w14:paraId="48EE8421" w14:textId="77777777" w:rsidR="006E41C6" w:rsidRPr="0029548C" w:rsidRDefault="006E41C6" w:rsidP="006E41C6">
      <w:pPr>
        <w:pStyle w:val="BoxHeading2"/>
      </w:pPr>
      <w:r w:rsidRPr="0029548C">
        <w:t>In-game purchases</w:t>
      </w:r>
    </w:p>
    <w:p w14:paraId="014FB797" w14:textId="77777777" w:rsidR="006E41C6" w:rsidRPr="00D57797" w:rsidRDefault="006E41C6" w:rsidP="006E41C6">
      <w:pPr>
        <w:pStyle w:val="BoxText"/>
      </w:pPr>
      <w:r w:rsidRPr="0029548C">
        <w:t>Financial purchases in games for digital goods or services, also referred to in the literature as ‘</w:t>
      </w:r>
      <w:r w:rsidRPr="006E41C6">
        <w:t>microtransactions’</w:t>
      </w:r>
      <w:r w:rsidRPr="0029548C">
        <w:t>. In-game purchases may be purely aesthetic (e.g. cosmetic items or ‘skins’), confer gameplay advantages (e.g. pay-to-win), contain these items as randomised contents of uncertain value (e.g. loot boxes), or include any other in-game expenditure (</w:t>
      </w:r>
      <w:proofErr w:type="spellStart"/>
      <w:r w:rsidRPr="0029548C">
        <w:t>Zendle</w:t>
      </w:r>
      <w:proofErr w:type="spellEnd"/>
      <w:r w:rsidRPr="0029548C">
        <w:t>, Meyer, &amp; Ballou, 2020).</w:t>
      </w:r>
    </w:p>
    <w:p w14:paraId="37EA4685" w14:textId="77777777" w:rsidR="006E41C6" w:rsidRPr="006E41C6" w:rsidRDefault="006E41C6" w:rsidP="006E41C6">
      <w:pPr>
        <w:pStyle w:val="BodyText"/>
        <w:rPr>
          <w:lang w:bidi="ar-SA"/>
        </w:rPr>
      </w:pPr>
    </w:p>
    <w:p w14:paraId="6AE5EBF0" w14:textId="169216E1" w:rsidR="0071447A" w:rsidRPr="005317B2" w:rsidRDefault="0071447A" w:rsidP="0076320B">
      <w:pPr>
        <w:pStyle w:val="BodyText"/>
      </w:pPr>
      <w:r w:rsidRPr="005317B2">
        <w:t xml:space="preserve">The </w:t>
      </w:r>
      <w:r w:rsidRPr="00F313BE">
        <w:t xml:space="preserve">past decade has seen an increase in the monetisation of video games, games with </w:t>
      </w:r>
      <w:r w:rsidRPr="00DA5BCF">
        <w:rPr>
          <w:rFonts w:cs="Arial"/>
          <w:szCs w:val="20"/>
        </w:rPr>
        <w:t>chance</w:t>
      </w:r>
      <w:r w:rsidRPr="00F313BE">
        <w:t>-based outcomes (e.g</w:t>
      </w:r>
      <w:r w:rsidRPr="00DA5BCF">
        <w:rPr>
          <w:rFonts w:cs="Arial"/>
          <w:szCs w:val="20"/>
        </w:rPr>
        <w:t>.,</w:t>
      </w:r>
      <w:r w:rsidRPr="00F313BE">
        <w:t xml:space="preserve"> loot boxes</w:t>
      </w:r>
      <w:r w:rsidRPr="00DA5BCF">
        <w:rPr>
          <w:rFonts w:cs="Arial"/>
          <w:szCs w:val="20"/>
        </w:rPr>
        <w:t>),</w:t>
      </w:r>
      <w:r w:rsidRPr="00F313BE">
        <w:t xml:space="preserve"> and simulated gambling. Policy makers, researchers and the </w:t>
      </w:r>
      <w:r w:rsidRPr="005317B2">
        <w:t>general community have raised concerns that these products have the potential to expose, normalise and encourage monetary gambling, especially among children and young people, and that people who engage with these products</w:t>
      </w:r>
      <w:r w:rsidRPr="00E0299D">
        <w:t xml:space="preserve"> </w:t>
      </w:r>
      <w:r w:rsidRPr="005317B2">
        <w:t>may be at risk of gambling problems and other types of harm.</w:t>
      </w:r>
    </w:p>
    <w:p w14:paraId="11994D1A" w14:textId="77777777" w:rsidR="0071447A" w:rsidRDefault="0071447A" w:rsidP="0071447A">
      <w:pPr>
        <w:pStyle w:val="Heading2"/>
        <w:spacing w:before="120"/>
      </w:pPr>
      <w:bookmarkStart w:id="6" w:name="_Toc106359501"/>
      <w:r>
        <w:t>Background</w:t>
      </w:r>
      <w:bookmarkEnd w:id="6"/>
    </w:p>
    <w:p w14:paraId="7264AD7E" w14:textId="4CE786AE" w:rsidR="00E935F1" w:rsidRDefault="0071447A" w:rsidP="0076320B">
      <w:pPr>
        <w:pStyle w:val="BodyText"/>
      </w:pPr>
      <w:r w:rsidRPr="00616A56">
        <w:t>The value of the global video game industry is projected to grow to US$160 billion by 2022, and it is estimated that approximately 47% of the ind</w:t>
      </w:r>
      <w:r w:rsidRPr="00616A56">
        <w:rPr>
          <w:rFonts w:ascii="Times New Roman" w:hAnsi="Times New Roman"/>
        </w:rPr>
        <w:t>u</w:t>
      </w:r>
      <w:r w:rsidRPr="00616A56">
        <w:t xml:space="preserve">stry’s revenue will be sourced from in-game purchases (Commonwealth of Australia, 2018). </w:t>
      </w:r>
      <w:r>
        <w:t>V</w:t>
      </w:r>
      <w:r w:rsidRPr="009C6410">
        <w:rPr>
          <w:rFonts w:cs="Arial"/>
          <w:color w:val="auto"/>
        </w:rPr>
        <w:t xml:space="preserve">irtual </w:t>
      </w:r>
      <w:r w:rsidRPr="00616A56">
        <w:rPr>
          <w:color w:val="auto"/>
        </w:rPr>
        <w:t>items</w:t>
      </w:r>
      <w:r>
        <w:rPr>
          <w:color w:val="auto"/>
        </w:rPr>
        <w:t xml:space="preserve"> and currency purchased in games</w:t>
      </w:r>
      <w:r w:rsidRPr="00616A56">
        <w:rPr>
          <w:color w:val="auto"/>
        </w:rPr>
        <w:t xml:space="preserve"> </w:t>
      </w:r>
      <w:r w:rsidRPr="00616A56">
        <w:t>can hold significant value to video game users based on their potential to provide desirable cosmetic features (e.g</w:t>
      </w:r>
      <w:r w:rsidRPr="00233AC7">
        <w:t>.</w:t>
      </w:r>
      <w:r w:rsidRPr="00616A56">
        <w:t xml:space="preserve"> ‘skins’) or facilitate or assist </w:t>
      </w:r>
      <w:r w:rsidR="00902F78">
        <w:t xml:space="preserve">with </w:t>
      </w:r>
      <w:r w:rsidRPr="00616A56">
        <w:t>game play (e.g</w:t>
      </w:r>
      <w:r w:rsidRPr="00233AC7">
        <w:t>.</w:t>
      </w:r>
      <w:r w:rsidRPr="00616A56">
        <w:t xml:space="preserve"> more powerful weapons) (Deblaquiere, Carrol, &amp; Jenkinson, 2018).</w:t>
      </w:r>
    </w:p>
    <w:p w14:paraId="1250C9D6" w14:textId="5E70E759" w:rsidR="00984FFE" w:rsidRPr="009D339C" w:rsidRDefault="00902F78" w:rsidP="00E94965">
      <w:pPr>
        <w:pStyle w:val="BodyText"/>
        <w:rPr>
          <w:rFonts w:cs="Arial"/>
          <w:szCs w:val="20"/>
          <w:shd w:val="clear" w:color="auto" w:fill="FFFFFF"/>
        </w:rPr>
      </w:pPr>
      <w:r w:rsidRPr="00616A56">
        <w:t xml:space="preserve">While </w:t>
      </w:r>
      <w:r>
        <w:t>in-game purchases</w:t>
      </w:r>
      <w:r w:rsidRPr="00616A56">
        <w:t xml:space="preserve"> have many of the distinguishing features of gambling, they are not currently regulated as gambling in Australia (Hing et al., 2021)</w:t>
      </w:r>
      <w:r>
        <w:t>. Submissions to the Australian Government</w:t>
      </w:r>
      <w:r w:rsidR="00A72E3C">
        <w:t>’s</w:t>
      </w:r>
      <w:r>
        <w:t xml:space="preserve"> </w:t>
      </w:r>
      <w:r w:rsidRPr="002957FC">
        <w:t>2018 inquiry into gaming microtransactions for chance-based items</w:t>
      </w:r>
      <w:r>
        <w:t xml:space="preserve"> raised concerns that loot boxes, as functionally and psychologically akin to monetary gambling and providing the opportunity for in-game purchase</w:t>
      </w:r>
      <w:r w:rsidR="00D84A25">
        <w:t>s</w:t>
      </w:r>
      <w:r>
        <w:t xml:space="preserve">, may be associated with harmful outcomes such as problematic or addictive video gaming, </w:t>
      </w:r>
      <w:r w:rsidR="00D84A25">
        <w:t xml:space="preserve">financial losses, </w:t>
      </w:r>
      <w:r w:rsidR="00A72E3C">
        <w:t xml:space="preserve">and </w:t>
      </w:r>
      <w:r>
        <w:t>risk for gambling problems</w:t>
      </w:r>
      <w:r w:rsidR="009D339C">
        <w:t xml:space="preserve">. </w:t>
      </w:r>
      <w:r>
        <w:rPr>
          <w:rFonts w:cs="Arial"/>
          <w:szCs w:val="20"/>
          <w:shd w:val="clear" w:color="auto" w:fill="FFFFFF"/>
        </w:rPr>
        <w:t xml:space="preserve">The inquiry </w:t>
      </w:r>
      <w:r w:rsidRPr="002957FC">
        <w:t xml:space="preserve">concluded that further research was </w:t>
      </w:r>
      <w:r w:rsidRPr="00621B68">
        <w:rPr>
          <w:color w:val="auto"/>
        </w:rPr>
        <w:t>required to develop an evidence-based regulatory approach to mitigate harm from loot boxes (Commonwealth of Australia, 2018).</w:t>
      </w:r>
    </w:p>
    <w:p w14:paraId="00B5EBC5" w14:textId="5A96C3AA" w:rsidR="00B66C97" w:rsidRPr="00984FFE" w:rsidRDefault="00E94965" w:rsidP="43779A44">
      <w:pPr>
        <w:pStyle w:val="BodyText"/>
        <w:rPr>
          <w:rFonts w:cs="Arial"/>
          <w:color w:val="auto"/>
          <w:shd w:val="clear" w:color="auto" w:fill="FFFFFF"/>
        </w:rPr>
      </w:pPr>
      <w:r w:rsidRPr="43779A44">
        <w:rPr>
          <w:color w:val="auto"/>
        </w:rPr>
        <w:lastRenderedPageBreak/>
        <w:t xml:space="preserve">Games that structurally resemble traditional gambling activities are commonly referred to as ‘simulated gambling’. </w:t>
      </w:r>
      <w:r w:rsidR="00B66C97" w:rsidRPr="43779A44">
        <w:rPr>
          <w:color w:val="auto"/>
        </w:rPr>
        <w:t>As with loot boxes, increasing d</w:t>
      </w:r>
      <w:r w:rsidR="009A2CC3">
        <w:rPr>
          <w:color w:val="auto"/>
        </w:rPr>
        <w:t xml:space="preserve">ialogue </w:t>
      </w:r>
      <w:r w:rsidR="00B66C97" w:rsidRPr="43779A44">
        <w:rPr>
          <w:color w:val="auto"/>
        </w:rPr>
        <w:t xml:space="preserve">from researchers, policy makers and the community has identified concerns that </w:t>
      </w:r>
      <w:r w:rsidR="00B66C97">
        <w:t xml:space="preserve">simulated gambling activities (particularly where in-game purchases are involved) have the potential to normalise gambling for children/adolescents, encourage real-world monetary gambling, and have other harmful impacts (Armstrong, </w:t>
      </w:r>
      <w:proofErr w:type="spellStart"/>
      <w:r w:rsidR="00B66C97" w:rsidRPr="43779A44">
        <w:rPr>
          <w:rFonts w:cs="Arial"/>
        </w:rPr>
        <w:t>Rockloff</w:t>
      </w:r>
      <w:proofErr w:type="spellEnd"/>
      <w:r w:rsidR="00B66C97" w:rsidRPr="43779A44">
        <w:rPr>
          <w:rFonts w:cs="Arial"/>
        </w:rPr>
        <w:t>, Browne, &amp; Li,</w:t>
      </w:r>
      <w:r w:rsidR="00B66C97">
        <w:t xml:space="preserve"> 2018; </w:t>
      </w:r>
      <w:proofErr w:type="spellStart"/>
      <w:r w:rsidR="00B66C97">
        <w:t>Derevenksy</w:t>
      </w:r>
      <w:proofErr w:type="spellEnd"/>
      <w:r w:rsidR="00B66C97">
        <w:t xml:space="preserve"> &amp; </w:t>
      </w:r>
      <w:proofErr w:type="spellStart"/>
      <w:r w:rsidR="00B66C97">
        <w:t>Gainsbury</w:t>
      </w:r>
      <w:proofErr w:type="spellEnd"/>
      <w:r w:rsidR="00B66C97">
        <w:t xml:space="preserve">, 2016; Department of Communications and the Arts, 2019; Dickins &amp; Thomas, 2016). </w:t>
      </w:r>
    </w:p>
    <w:p w14:paraId="53A61FB1" w14:textId="7A35F75D" w:rsidR="004462A5" w:rsidRPr="00332F4E" w:rsidRDefault="009D384F" w:rsidP="00897FF2">
      <w:pPr>
        <w:pStyle w:val="BodyText"/>
        <w:rPr>
          <w:color w:val="auto"/>
        </w:rPr>
      </w:pPr>
      <w:r>
        <w:rPr>
          <w:color w:val="auto"/>
        </w:rPr>
        <w:t>To</w:t>
      </w:r>
      <w:r w:rsidR="00BB3CE6">
        <w:rPr>
          <w:color w:val="auto"/>
        </w:rPr>
        <w:t xml:space="preserve"> </w:t>
      </w:r>
      <w:r w:rsidR="008E43E8">
        <w:rPr>
          <w:color w:val="auto"/>
        </w:rPr>
        <w:t xml:space="preserve">improve </w:t>
      </w:r>
      <w:r>
        <w:rPr>
          <w:color w:val="auto"/>
        </w:rPr>
        <w:t>understanding</w:t>
      </w:r>
      <w:r w:rsidR="008E43E8">
        <w:rPr>
          <w:color w:val="auto"/>
        </w:rPr>
        <w:t xml:space="preserve"> </w:t>
      </w:r>
      <w:r>
        <w:rPr>
          <w:color w:val="auto"/>
        </w:rPr>
        <w:t xml:space="preserve">and </w:t>
      </w:r>
      <w:r w:rsidR="00D5364A">
        <w:rPr>
          <w:color w:val="auto"/>
        </w:rPr>
        <w:t xml:space="preserve">inform </w:t>
      </w:r>
      <w:r w:rsidR="00E21C15">
        <w:rPr>
          <w:color w:val="auto"/>
        </w:rPr>
        <w:t>policy and regulatory responses</w:t>
      </w:r>
      <w:r w:rsidR="00D5364A">
        <w:rPr>
          <w:color w:val="auto"/>
        </w:rPr>
        <w:t>, t</w:t>
      </w:r>
      <w:r w:rsidR="00872738" w:rsidRPr="00332F4E">
        <w:rPr>
          <w:color w:val="auto"/>
        </w:rPr>
        <w:t>his</w:t>
      </w:r>
      <w:r w:rsidR="00CB62EB" w:rsidRPr="00332F4E">
        <w:rPr>
          <w:color w:val="auto"/>
        </w:rPr>
        <w:t xml:space="preserve"> </w:t>
      </w:r>
      <w:r w:rsidR="003850E6" w:rsidRPr="00EE3A86">
        <w:rPr>
          <w:color w:val="auto"/>
        </w:rPr>
        <w:t xml:space="preserve">evidence </w:t>
      </w:r>
      <w:r w:rsidR="00FD403C" w:rsidRPr="00332F4E">
        <w:rPr>
          <w:color w:val="auto"/>
        </w:rPr>
        <w:t xml:space="preserve">review </w:t>
      </w:r>
      <w:r w:rsidR="00E21C15">
        <w:rPr>
          <w:color w:val="auto"/>
        </w:rPr>
        <w:t xml:space="preserve">aimed to </w:t>
      </w:r>
      <w:r w:rsidR="003850E6" w:rsidRPr="00EE3A86">
        <w:rPr>
          <w:color w:val="auto"/>
        </w:rPr>
        <w:t>assess</w:t>
      </w:r>
      <w:r w:rsidR="00FD403C" w:rsidRPr="00332F4E">
        <w:rPr>
          <w:color w:val="auto"/>
        </w:rPr>
        <w:t xml:space="preserve"> the </w:t>
      </w:r>
      <w:r w:rsidR="003850E6" w:rsidRPr="008E43E8">
        <w:rPr>
          <w:b/>
          <w:color w:val="auto"/>
        </w:rPr>
        <w:t>harm</w:t>
      </w:r>
      <w:r w:rsidR="003850E6" w:rsidRPr="00EE3A86">
        <w:rPr>
          <w:color w:val="auto"/>
        </w:rPr>
        <w:t xml:space="preserve"> </w:t>
      </w:r>
      <w:r>
        <w:rPr>
          <w:color w:val="auto"/>
        </w:rPr>
        <w:t xml:space="preserve">associated with </w:t>
      </w:r>
      <w:r w:rsidR="003850E6" w:rsidRPr="00EE3A86">
        <w:rPr>
          <w:color w:val="auto"/>
        </w:rPr>
        <w:t xml:space="preserve">the use </w:t>
      </w:r>
      <w:r w:rsidR="00FD403C" w:rsidRPr="00332F4E">
        <w:rPr>
          <w:color w:val="auto"/>
        </w:rPr>
        <w:t>of loot boxes, simulated gambling</w:t>
      </w:r>
      <w:r w:rsidR="003850E6" w:rsidRPr="00EE3A86">
        <w:rPr>
          <w:color w:val="auto"/>
        </w:rPr>
        <w:t>,</w:t>
      </w:r>
      <w:r w:rsidR="00FD403C" w:rsidRPr="00332F4E">
        <w:rPr>
          <w:color w:val="auto"/>
        </w:rPr>
        <w:t xml:space="preserve"> and </w:t>
      </w:r>
      <w:r w:rsidR="007D19B1">
        <w:rPr>
          <w:color w:val="auto"/>
        </w:rPr>
        <w:t xml:space="preserve">other </w:t>
      </w:r>
      <w:r w:rsidR="00FD403C" w:rsidRPr="00332F4E">
        <w:rPr>
          <w:color w:val="auto"/>
        </w:rPr>
        <w:t>in-game purchases</w:t>
      </w:r>
      <w:r w:rsidR="00B67778" w:rsidRPr="00332F4E">
        <w:rPr>
          <w:color w:val="auto"/>
        </w:rPr>
        <w:t>, as well as</w:t>
      </w:r>
      <w:r w:rsidR="00FD403C" w:rsidRPr="00332F4E">
        <w:rPr>
          <w:color w:val="auto"/>
        </w:rPr>
        <w:t xml:space="preserve"> </w:t>
      </w:r>
      <w:r w:rsidR="00FF49DA" w:rsidRPr="00332F4E">
        <w:rPr>
          <w:color w:val="auto"/>
        </w:rPr>
        <w:t xml:space="preserve">recommendations </w:t>
      </w:r>
      <w:r w:rsidR="003850E6">
        <w:rPr>
          <w:color w:val="auto"/>
        </w:rPr>
        <w:t xml:space="preserve">in the literature </w:t>
      </w:r>
      <w:r w:rsidR="003473C4">
        <w:rPr>
          <w:color w:val="auto"/>
        </w:rPr>
        <w:t>for</w:t>
      </w:r>
      <w:r w:rsidR="002F3896" w:rsidRPr="00332F4E">
        <w:rPr>
          <w:color w:val="auto"/>
        </w:rPr>
        <w:t xml:space="preserve"> harm mitigation and regulatory </w:t>
      </w:r>
      <w:r w:rsidR="003C7928" w:rsidRPr="00332F4E">
        <w:rPr>
          <w:color w:val="auto"/>
        </w:rPr>
        <w:t>responses</w:t>
      </w:r>
      <w:r w:rsidR="00C9180C" w:rsidRPr="00332F4E">
        <w:rPr>
          <w:color w:val="auto"/>
        </w:rPr>
        <w:t>.</w:t>
      </w:r>
    </w:p>
    <w:p w14:paraId="271ABAF8" w14:textId="77777777" w:rsidR="00374859" w:rsidRDefault="00B93A1E" w:rsidP="00B81E16">
      <w:pPr>
        <w:pStyle w:val="Heading2"/>
      </w:pPr>
      <w:bookmarkStart w:id="7" w:name="_Toc106359502"/>
      <w:bookmarkStart w:id="8" w:name="_Hlk97022387"/>
      <w:r>
        <w:t>Key r</w:t>
      </w:r>
      <w:r w:rsidR="00B24AAC">
        <w:t>esearch findings</w:t>
      </w:r>
      <w:bookmarkEnd w:id="7"/>
    </w:p>
    <w:p w14:paraId="478384A0" w14:textId="5A8554B4" w:rsidR="00B81E16" w:rsidRDefault="00FC04F6" w:rsidP="0076320B">
      <w:pPr>
        <w:pStyle w:val="BodyText"/>
      </w:pPr>
      <w:r w:rsidRPr="00332F4E">
        <w:t xml:space="preserve">A review of the </w:t>
      </w:r>
      <w:r w:rsidR="001040E8" w:rsidRPr="00332F4E">
        <w:t xml:space="preserve">current Australian and international </w:t>
      </w:r>
      <w:r w:rsidR="003850E6" w:rsidRPr="00332F4E">
        <w:t>literature</w:t>
      </w:r>
      <w:r w:rsidR="001040E8" w:rsidRPr="00332F4E">
        <w:t xml:space="preserve"> was conducted</w:t>
      </w:r>
      <w:r w:rsidR="00D368D0">
        <w:t xml:space="preserve"> (see </w:t>
      </w:r>
      <w:r w:rsidR="00C43463">
        <w:t>Table 1 in the Methodology section</w:t>
      </w:r>
      <w:r w:rsidR="00D368D0">
        <w:t xml:space="preserve"> for inclusion criteria and search terms)</w:t>
      </w:r>
      <w:r w:rsidR="00E656AC" w:rsidRPr="00332F4E">
        <w:t>.</w:t>
      </w:r>
      <w:r w:rsidR="009255CD" w:rsidRPr="00332F4E">
        <w:t xml:space="preserve"> </w:t>
      </w:r>
      <w:r w:rsidR="00E10700" w:rsidRPr="00332F4E">
        <w:t xml:space="preserve">A total of 64 research </w:t>
      </w:r>
      <w:r w:rsidR="008C5EF8" w:rsidRPr="00332F4E">
        <w:t xml:space="preserve">outputs </w:t>
      </w:r>
      <w:r w:rsidR="00C63E5F" w:rsidRPr="00332F4E">
        <w:t>were</w:t>
      </w:r>
      <w:r w:rsidR="00E16DF2" w:rsidRPr="00332F4E">
        <w:t xml:space="preserve"> reviewed </w:t>
      </w:r>
      <w:r w:rsidR="004222B0" w:rsidRPr="00332F4E">
        <w:t xml:space="preserve">and </w:t>
      </w:r>
      <w:r w:rsidR="00887D6A" w:rsidRPr="00332F4E">
        <w:t xml:space="preserve">assessed on their </w:t>
      </w:r>
      <w:r w:rsidR="00A2339D" w:rsidRPr="00332F4E">
        <w:t xml:space="preserve">strength and </w:t>
      </w:r>
      <w:r w:rsidR="00DE1F4E">
        <w:t>value</w:t>
      </w:r>
      <w:r w:rsidR="00A2339D" w:rsidRPr="00332F4E">
        <w:t xml:space="preserve"> of evidence</w:t>
      </w:r>
      <w:r w:rsidR="004657B5">
        <w:t xml:space="preserve"> </w:t>
      </w:r>
      <w:r w:rsidR="0085794D" w:rsidRPr="0085794D">
        <w:t xml:space="preserve">on the harms associated with loot boxes, simulated </w:t>
      </w:r>
      <w:proofErr w:type="gramStart"/>
      <w:r w:rsidR="0085794D" w:rsidRPr="0085794D">
        <w:t>gambling</w:t>
      </w:r>
      <w:proofErr w:type="gramEnd"/>
      <w:r w:rsidR="0085794D" w:rsidRPr="0085794D">
        <w:t xml:space="preserve"> and other in-game purchases</w:t>
      </w:r>
      <w:r w:rsidR="00A2339D" w:rsidRPr="00332F4E">
        <w:t xml:space="preserve">, as well as </w:t>
      </w:r>
      <w:r w:rsidR="003850E6" w:rsidRPr="00332F4E">
        <w:t xml:space="preserve">their </w:t>
      </w:r>
      <w:r w:rsidR="00E16DF2" w:rsidRPr="00332F4E">
        <w:t>generalisability to the Australian context.</w:t>
      </w:r>
      <w:r w:rsidR="003850E6" w:rsidRPr="00332F4E">
        <w:t xml:space="preserve"> </w:t>
      </w:r>
      <w:r w:rsidR="00A71035">
        <w:t>Harms, such as financial stress</w:t>
      </w:r>
      <w:r w:rsidR="004805F9">
        <w:t xml:space="preserve"> or mental-health </w:t>
      </w:r>
      <w:r w:rsidR="00E829D4">
        <w:t>impacts</w:t>
      </w:r>
      <w:r w:rsidR="00372B73">
        <w:t xml:space="preserve">, differ from risky behaviours which </w:t>
      </w:r>
      <w:r w:rsidR="00372B73">
        <w:rPr>
          <w:i/>
          <w:iCs/>
        </w:rPr>
        <w:t>may</w:t>
      </w:r>
      <w:r w:rsidR="00372B73">
        <w:t xml:space="preserve"> or </w:t>
      </w:r>
      <w:r w:rsidR="00372B73">
        <w:rPr>
          <w:i/>
          <w:iCs/>
        </w:rPr>
        <w:t>may not</w:t>
      </w:r>
      <w:r w:rsidR="00372B73">
        <w:t xml:space="preserve"> cause harm (e.g., monetary gambling).</w:t>
      </w:r>
      <w:r w:rsidR="00153C1D">
        <w:t xml:space="preserve"> </w:t>
      </w:r>
      <w:r w:rsidR="009239CA">
        <w:t>The</w:t>
      </w:r>
      <w:r w:rsidR="00153C1D">
        <w:t xml:space="preserve"> p</w:t>
      </w:r>
      <w:r w:rsidR="003850E6" w:rsidRPr="00332F4E">
        <w:t xml:space="preserve">rimary </w:t>
      </w:r>
      <w:r w:rsidR="001B508C">
        <w:t>outcomes</w:t>
      </w:r>
      <w:r w:rsidR="003850E6" w:rsidRPr="00332F4E">
        <w:t xml:space="preserve"> </w:t>
      </w:r>
      <w:r w:rsidR="001150C7">
        <w:t>included</w:t>
      </w:r>
      <w:r w:rsidR="009239CA">
        <w:t xml:space="preserve"> </w:t>
      </w:r>
      <w:r w:rsidR="003850E6" w:rsidRPr="00332F4E">
        <w:t xml:space="preserve">in the reviewed studies </w:t>
      </w:r>
      <w:r w:rsidR="001150C7">
        <w:t>were</w:t>
      </w:r>
      <w:r w:rsidR="003850E6" w:rsidRPr="00332F4E">
        <w:t xml:space="preserve"> problem gambling, internet gaming disorder, and other harms (e.g., </w:t>
      </w:r>
      <w:r w:rsidR="00A73730">
        <w:t>psychological distress</w:t>
      </w:r>
      <w:r w:rsidR="003850E6" w:rsidRPr="00332F4E">
        <w:t>).</w:t>
      </w:r>
      <w:r w:rsidR="00E54F69">
        <w:t xml:space="preserve"> </w:t>
      </w:r>
      <w:r w:rsidR="00013FC5">
        <w:t xml:space="preserve">These were often defined by DSM-V diagnostic criteria (i.e., </w:t>
      </w:r>
      <w:r w:rsidR="001B508C">
        <w:t>Problem Gambling</w:t>
      </w:r>
      <w:r w:rsidR="00013FC5">
        <w:t>, Internet Gaming Disorder) and were measured by validated scales, such as the Problem Gambling Severity Index (PGSI)</w:t>
      </w:r>
      <w:r w:rsidR="00E7125E">
        <w:t>, Internet Gaming Disorder Scale (IGDS), and Kessler’s Psychological Distress Scale (K-6)</w:t>
      </w:r>
      <w:r w:rsidR="00013FC5">
        <w:t>.</w:t>
      </w:r>
    </w:p>
    <w:p w14:paraId="1B83C15F" w14:textId="77777777" w:rsidR="0071097E" w:rsidRPr="00143C3A" w:rsidRDefault="0071097E" w:rsidP="00143C3A">
      <w:pPr>
        <w:pStyle w:val="Heading3"/>
      </w:pPr>
      <w:r w:rsidRPr="00143C3A">
        <w:t>Findings relating to evidence of harms</w:t>
      </w:r>
    </w:p>
    <w:p w14:paraId="289E2BC9" w14:textId="77777777" w:rsidR="003850E6" w:rsidRPr="00332F4E" w:rsidRDefault="003850E6" w:rsidP="0076320B">
      <w:pPr>
        <w:pStyle w:val="BodyText"/>
      </w:pPr>
      <w:r w:rsidRPr="00332F4E">
        <w:t>Th</w:t>
      </w:r>
      <w:r w:rsidR="00212BED">
        <w:t>e</w:t>
      </w:r>
      <w:r w:rsidRPr="00332F4E">
        <w:t xml:space="preserve"> review found reliable evidence that:</w:t>
      </w:r>
    </w:p>
    <w:p w14:paraId="5702826E" w14:textId="6DA38329" w:rsidR="003850E6" w:rsidRPr="00332F4E" w:rsidRDefault="003850E6" w:rsidP="0076320B">
      <w:pPr>
        <w:pStyle w:val="ListBullet"/>
      </w:pPr>
      <w:r w:rsidRPr="00332F4E">
        <w:rPr>
          <w:b/>
          <w:bCs/>
        </w:rPr>
        <w:t>L</w:t>
      </w:r>
      <w:r w:rsidRPr="00332F4E">
        <w:rPr>
          <w:b/>
        </w:rPr>
        <w:t xml:space="preserve">oot </w:t>
      </w:r>
      <w:r w:rsidR="0014123B" w:rsidRPr="00332F4E">
        <w:rPr>
          <w:b/>
        </w:rPr>
        <w:t>box</w:t>
      </w:r>
      <w:r w:rsidR="0014123B" w:rsidRPr="00332F4E">
        <w:t xml:space="preserve"> engagement</w:t>
      </w:r>
      <w:r w:rsidR="00526F0B">
        <w:t xml:space="preserve">, </w:t>
      </w:r>
      <w:r w:rsidR="007A2A8D">
        <w:t>including</w:t>
      </w:r>
      <w:r w:rsidR="00BC61D1">
        <w:t xml:space="preserve"> viewing,</w:t>
      </w:r>
      <w:r w:rsidR="007A2A8D">
        <w:t xml:space="preserve"> opening,</w:t>
      </w:r>
      <w:r w:rsidR="00BC61D1">
        <w:t xml:space="preserve"> and</w:t>
      </w:r>
      <w:r w:rsidR="00526F0B">
        <w:t xml:space="preserve"> especially purchasing,</w:t>
      </w:r>
      <w:r w:rsidR="0014123B" w:rsidRPr="00332F4E">
        <w:t xml:space="preserve"> </w:t>
      </w:r>
      <w:r w:rsidRPr="00332F4E">
        <w:t xml:space="preserve">was </w:t>
      </w:r>
      <w:r w:rsidR="0014123B" w:rsidRPr="00332F4E">
        <w:t>associated with</w:t>
      </w:r>
      <w:r w:rsidR="007F34E5" w:rsidRPr="00332F4E">
        <w:t xml:space="preserve"> </w:t>
      </w:r>
      <w:r w:rsidRPr="00332F4E">
        <w:t xml:space="preserve">problem gambling and </w:t>
      </w:r>
      <w:r w:rsidR="0014123B" w:rsidRPr="00332F4E">
        <w:t>internet gaming disorder</w:t>
      </w:r>
      <w:r w:rsidRPr="00332F4E" w:rsidDel="00526F0B">
        <w:t>.</w:t>
      </w:r>
    </w:p>
    <w:p w14:paraId="16528995" w14:textId="34D68B6E" w:rsidR="009C1540" w:rsidRPr="00332F4E" w:rsidRDefault="003850E6" w:rsidP="0076320B">
      <w:pPr>
        <w:pStyle w:val="ListBullet"/>
      </w:pPr>
      <w:r w:rsidRPr="00332F4E">
        <w:rPr>
          <w:b/>
        </w:rPr>
        <w:t>Simulated gambling</w:t>
      </w:r>
      <w:r w:rsidRPr="00332F4E">
        <w:t xml:space="preserve"> </w:t>
      </w:r>
      <w:r w:rsidR="00AF4763">
        <w:t xml:space="preserve">engagement, especially </w:t>
      </w:r>
      <w:r w:rsidR="00AF4763" w:rsidRPr="00AF4763">
        <w:t>in-game purchasing in social casino games</w:t>
      </w:r>
      <w:r w:rsidR="00AF4763">
        <w:t xml:space="preserve">, </w:t>
      </w:r>
      <w:r w:rsidR="0014123B" w:rsidRPr="00332F4E">
        <w:t>was associated with problem gambling</w:t>
      </w:r>
      <w:r w:rsidR="00872262" w:rsidRPr="00332F4E">
        <w:t>.</w:t>
      </w:r>
    </w:p>
    <w:p w14:paraId="7774E7E0" w14:textId="575B3FB2" w:rsidR="009C1540" w:rsidRPr="00332F4E" w:rsidRDefault="000C5240" w:rsidP="0076320B">
      <w:pPr>
        <w:pStyle w:val="ListBullet"/>
      </w:pPr>
      <w:r>
        <w:rPr>
          <w:b/>
        </w:rPr>
        <w:t>Other i</w:t>
      </w:r>
      <w:r w:rsidRPr="00332F4E">
        <w:rPr>
          <w:b/>
        </w:rPr>
        <w:t>n</w:t>
      </w:r>
      <w:r w:rsidR="00D42CF9" w:rsidRPr="00332F4E">
        <w:rPr>
          <w:b/>
        </w:rPr>
        <w:t>-</w:t>
      </w:r>
      <w:r w:rsidR="002A6D7C" w:rsidRPr="00332F4E">
        <w:rPr>
          <w:b/>
        </w:rPr>
        <w:t>game</w:t>
      </w:r>
      <w:r w:rsidR="00D42CF9" w:rsidRPr="00332F4E">
        <w:rPr>
          <w:b/>
        </w:rPr>
        <w:t xml:space="preserve"> </w:t>
      </w:r>
      <w:r w:rsidR="003850E6" w:rsidRPr="00332F4E">
        <w:rPr>
          <w:b/>
        </w:rPr>
        <w:t>purchasing</w:t>
      </w:r>
      <w:r w:rsidR="00526F0B">
        <w:rPr>
          <w:b/>
        </w:rPr>
        <w:t xml:space="preserve"> </w:t>
      </w:r>
      <w:r w:rsidR="00526F0B" w:rsidRPr="00526F0B">
        <w:t xml:space="preserve">(not </w:t>
      </w:r>
      <w:r w:rsidR="00282A5B">
        <w:t xml:space="preserve">including </w:t>
      </w:r>
      <w:r w:rsidR="000C7ECB">
        <w:t xml:space="preserve">expenditure </w:t>
      </w:r>
      <w:r w:rsidR="00526F0B" w:rsidRPr="00526F0B">
        <w:t>on loot boxes or in simulated gambling games)</w:t>
      </w:r>
      <w:r w:rsidR="003850E6" w:rsidRPr="00526F0B">
        <w:t xml:space="preserve"> </w:t>
      </w:r>
      <w:r w:rsidR="003850E6" w:rsidRPr="00332F4E">
        <w:t>was associated with problem gambling</w:t>
      </w:r>
      <w:r w:rsidR="00B75C86" w:rsidRPr="00332F4E">
        <w:t>.</w:t>
      </w:r>
    </w:p>
    <w:p w14:paraId="5AF078E8" w14:textId="2597C2C8" w:rsidR="003850E6" w:rsidRPr="00332F4E" w:rsidRDefault="003850E6" w:rsidP="0076320B">
      <w:pPr>
        <w:pStyle w:val="BodyText"/>
      </w:pPr>
      <w:r w:rsidRPr="00332F4E">
        <w:t>In addition, there was some evidence of an association between:</w:t>
      </w:r>
    </w:p>
    <w:p w14:paraId="565B31EC" w14:textId="0C5AF758" w:rsidR="003850E6" w:rsidRPr="00332F4E" w:rsidRDefault="003850E6" w:rsidP="0076320B">
      <w:pPr>
        <w:pStyle w:val="ListBullet"/>
      </w:pPr>
      <w:r w:rsidRPr="000F4574">
        <w:rPr>
          <w:b/>
        </w:rPr>
        <w:t xml:space="preserve">Loot box </w:t>
      </w:r>
      <w:r w:rsidRPr="00332F4E">
        <w:t xml:space="preserve">purchasing and </w:t>
      </w:r>
      <w:r w:rsidR="005B146D">
        <w:t>increased</w:t>
      </w:r>
      <w:r w:rsidRPr="00332F4E" w:rsidDel="006C6AFE">
        <w:t xml:space="preserve"> </w:t>
      </w:r>
      <w:r w:rsidRPr="00332F4E">
        <w:t>psychological distress and financial harm.</w:t>
      </w:r>
    </w:p>
    <w:p w14:paraId="03971C2E" w14:textId="18CFAD6F" w:rsidR="003850E6" w:rsidRPr="00332F4E" w:rsidRDefault="003850E6" w:rsidP="0076320B">
      <w:pPr>
        <w:pStyle w:val="ListBullet"/>
      </w:pPr>
      <w:r w:rsidRPr="000F4574">
        <w:rPr>
          <w:b/>
        </w:rPr>
        <w:t>Simulated</w:t>
      </w:r>
      <w:r w:rsidR="004D1D06" w:rsidRPr="000F4574">
        <w:rPr>
          <w:b/>
        </w:rPr>
        <w:t xml:space="preserve"> gambling</w:t>
      </w:r>
      <w:r w:rsidRPr="00332F4E">
        <w:t xml:space="preserve"> engagement with internet</w:t>
      </w:r>
      <w:r w:rsidR="006F255A" w:rsidRPr="00332F4E">
        <w:t xml:space="preserve"> gaming</w:t>
      </w:r>
      <w:r w:rsidRPr="00332F4E">
        <w:t xml:space="preserve"> disorder, psychological/emotional harm, and other negative consequences.</w:t>
      </w:r>
    </w:p>
    <w:p w14:paraId="5720C456" w14:textId="49001B74" w:rsidR="003850E6" w:rsidRDefault="00646830" w:rsidP="0076320B">
      <w:pPr>
        <w:pStyle w:val="ListBullet"/>
      </w:pPr>
      <w:r w:rsidRPr="000F4574">
        <w:rPr>
          <w:b/>
        </w:rPr>
        <w:t>Other i</w:t>
      </w:r>
      <w:r w:rsidR="003850E6" w:rsidRPr="000F4574">
        <w:rPr>
          <w:b/>
        </w:rPr>
        <w:t>n-game purchasing</w:t>
      </w:r>
      <w:r w:rsidR="003850E6" w:rsidRPr="00332F4E">
        <w:t xml:space="preserve"> and internet gaming disorder</w:t>
      </w:r>
      <w:r w:rsidR="001A5004">
        <w:t>,</w:t>
      </w:r>
      <w:r w:rsidR="003850E6" w:rsidRPr="00332F4E">
        <w:t xml:space="preserve"> financial </w:t>
      </w:r>
      <w:proofErr w:type="gramStart"/>
      <w:r w:rsidR="003850E6" w:rsidRPr="00332F4E">
        <w:t>harm</w:t>
      </w:r>
      <w:proofErr w:type="gramEnd"/>
      <w:r w:rsidR="003850E6" w:rsidRPr="00332F4E">
        <w:t xml:space="preserve"> and emotional and behavioural problems among adolescents. </w:t>
      </w:r>
    </w:p>
    <w:p w14:paraId="1F18F6DA" w14:textId="5036B2CD" w:rsidR="009C1540" w:rsidRPr="00F17BD0" w:rsidRDefault="00143C3A" w:rsidP="00332F4E">
      <w:pPr>
        <w:pStyle w:val="BodyText"/>
        <w:shd w:val="clear" w:color="auto" w:fill="FFFFFF" w:themeFill="background1"/>
        <w:rPr>
          <w:rFonts w:cs="Arial"/>
          <w:szCs w:val="20"/>
        </w:rPr>
      </w:pPr>
      <w:r>
        <w:rPr>
          <w:rFonts w:cs="Arial"/>
          <w:szCs w:val="20"/>
        </w:rPr>
        <w:t>The limited</w:t>
      </w:r>
      <w:r w:rsidR="003850E6" w:rsidRPr="00332F4E">
        <w:rPr>
          <w:rFonts w:cs="Arial"/>
          <w:szCs w:val="20"/>
        </w:rPr>
        <w:t xml:space="preserve"> research</w:t>
      </w:r>
      <w:r>
        <w:rPr>
          <w:rFonts w:cs="Arial"/>
          <w:szCs w:val="20"/>
        </w:rPr>
        <w:t xml:space="preserve"> available</w:t>
      </w:r>
      <w:r w:rsidR="003850E6" w:rsidRPr="00332F4E">
        <w:rPr>
          <w:rFonts w:cs="Arial"/>
          <w:szCs w:val="20"/>
        </w:rPr>
        <w:t xml:space="preserve"> suggests that children/adolescents, females</w:t>
      </w:r>
      <w:r w:rsidR="008B08DE">
        <w:rPr>
          <w:rFonts w:cs="Arial"/>
          <w:szCs w:val="20"/>
        </w:rPr>
        <w:t xml:space="preserve"> </w:t>
      </w:r>
      <w:r w:rsidR="008B08DE">
        <w:t>(loot boxes)</w:t>
      </w:r>
      <w:r w:rsidR="008B08DE" w:rsidRPr="0021525A">
        <w:t>,</w:t>
      </w:r>
      <w:r w:rsidR="008B08DE">
        <w:t xml:space="preserve"> males (</w:t>
      </w:r>
      <w:r w:rsidR="008B08DE" w:rsidRPr="00F17BD0">
        <w:rPr>
          <w:rFonts w:cs="Arial"/>
          <w:szCs w:val="20"/>
        </w:rPr>
        <w:t>other in-game purchases)</w:t>
      </w:r>
      <w:r w:rsidR="003850E6" w:rsidRPr="00F17BD0">
        <w:rPr>
          <w:rFonts w:cs="Arial"/>
          <w:szCs w:val="20"/>
        </w:rPr>
        <w:t>, pay-to-win gamers, and people at-risk of</w:t>
      </w:r>
      <w:r w:rsidR="009C1540" w:rsidRPr="00F17BD0">
        <w:rPr>
          <w:rFonts w:cs="Arial"/>
          <w:szCs w:val="20"/>
        </w:rPr>
        <w:t xml:space="preserve"> gambling problems</w:t>
      </w:r>
      <w:r w:rsidR="003850E6" w:rsidRPr="00F17BD0">
        <w:rPr>
          <w:rFonts w:cs="Arial"/>
          <w:szCs w:val="20"/>
        </w:rPr>
        <w:t xml:space="preserve"> may be more likely to experience harm</w:t>
      </w:r>
      <w:r w:rsidR="0026750F" w:rsidRPr="00F17BD0">
        <w:rPr>
          <w:rFonts w:cs="Arial"/>
          <w:szCs w:val="20"/>
        </w:rPr>
        <w:t>.</w:t>
      </w:r>
      <w:r w:rsidR="00F92B48" w:rsidRPr="00F17BD0">
        <w:rPr>
          <w:rFonts w:cs="Arial"/>
          <w:szCs w:val="20"/>
        </w:rPr>
        <w:t xml:space="preserve"> </w:t>
      </w:r>
    </w:p>
    <w:p w14:paraId="4D6D0B78" w14:textId="4A1838CA" w:rsidR="00767EB6" w:rsidRPr="00F17BD0" w:rsidRDefault="00984FFE" w:rsidP="0076320B">
      <w:pPr>
        <w:pStyle w:val="BodyText"/>
      </w:pPr>
      <w:r>
        <w:t>The evidence review found</w:t>
      </w:r>
      <w:r w:rsidR="00F17BD0" w:rsidRPr="00F17BD0">
        <w:t xml:space="preserve"> that </w:t>
      </w:r>
      <w:r w:rsidR="00F17BD0" w:rsidRPr="00F17BD0">
        <w:rPr>
          <w:i/>
          <w:iCs/>
        </w:rPr>
        <w:t xml:space="preserve">greater </w:t>
      </w:r>
      <w:r w:rsidR="00F17BD0" w:rsidRPr="00F17BD0">
        <w:t xml:space="preserve">engagement predicted </w:t>
      </w:r>
      <w:r w:rsidR="00F17BD0" w:rsidRPr="00F17BD0">
        <w:rPr>
          <w:i/>
          <w:iCs/>
        </w:rPr>
        <w:t xml:space="preserve">more </w:t>
      </w:r>
      <w:r w:rsidR="00F17BD0" w:rsidRPr="00F17BD0">
        <w:t xml:space="preserve">harm, </w:t>
      </w:r>
      <w:r w:rsidR="00302954">
        <w:t>al</w:t>
      </w:r>
      <w:r w:rsidR="00F17BD0" w:rsidRPr="00F17BD0">
        <w:t xml:space="preserve">though it was unclear if engagement </w:t>
      </w:r>
      <w:r w:rsidR="00F17BD0" w:rsidRPr="00F17BD0">
        <w:rPr>
          <w:i/>
          <w:iCs/>
        </w:rPr>
        <w:t xml:space="preserve">caused </w:t>
      </w:r>
      <w:r w:rsidR="00F17BD0" w:rsidRPr="00F17BD0">
        <w:t xml:space="preserve">these harms. </w:t>
      </w:r>
      <w:r w:rsidR="0023140A">
        <w:t>T</w:t>
      </w:r>
      <w:r w:rsidR="003850E6" w:rsidRPr="00F17BD0">
        <w:t xml:space="preserve">here was </w:t>
      </w:r>
      <w:r w:rsidR="00131811">
        <w:t xml:space="preserve">some </w:t>
      </w:r>
      <w:r w:rsidR="003850E6" w:rsidRPr="00F17BD0">
        <w:t>evidence that the association</w:t>
      </w:r>
      <w:r>
        <w:t>s</w:t>
      </w:r>
      <w:r w:rsidR="003850E6" w:rsidRPr="00F17BD0">
        <w:t xml:space="preserve"> between engagement with these products and harm may be influenced by other factors, </w:t>
      </w:r>
      <w:r w:rsidR="003850E6" w:rsidRPr="00F17BD0">
        <w:lastRenderedPageBreak/>
        <w:t xml:space="preserve">including </w:t>
      </w:r>
      <w:r w:rsidR="00143C3A" w:rsidRPr="00F17BD0">
        <w:t>player characteristics (</w:t>
      </w:r>
      <w:r w:rsidR="003850E6" w:rsidRPr="00F17BD0">
        <w:t xml:space="preserve">gender, </w:t>
      </w:r>
      <w:r w:rsidR="003850E6" w:rsidRPr="00F17BD0" w:rsidDel="00BE4E02">
        <w:t xml:space="preserve">age, </w:t>
      </w:r>
      <w:r w:rsidR="003850E6" w:rsidRPr="00F17BD0">
        <w:t>ethnicity</w:t>
      </w:r>
      <w:r w:rsidR="00245133" w:rsidRPr="00F17BD0">
        <w:t>,</w:t>
      </w:r>
      <w:r w:rsidR="00143C3A" w:rsidRPr="00F17BD0">
        <w:t xml:space="preserve"> </w:t>
      </w:r>
      <w:r w:rsidR="003850E6" w:rsidRPr="00F17BD0">
        <w:t>impulsivity</w:t>
      </w:r>
      <w:r w:rsidR="00143C3A" w:rsidRPr="00F17BD0">
        <w:t>)</w:t>
      </w:r>
      <w:r w:rsidR="003850E6" w:rsidRPr="00F17BD0">
        <w:t xml:space="preserve">, </w:t>
      </w:r>
      <w:r w:rsidR="003850E6" w:rsidRPr="00F17BD0" w:rsidDel="00BE4E02">
        <w:t>video gaming behaviours</w:t>
      </w:r>
      <w:r w:rsidR="003850E6" w:rsidRPr="00F17BD0">
        <w:t>,</w:t>
      </w:r>
      <w:r w:rsidR="00143C3A" w:rsidRPr="00F17BD0">
        <w:t xml:space="preserve"> </w:t>
      </w:r>
      <w:r w:rsidR="003850E6" w:rsidRPr="00F17BD0">
        <w:t>game features (e.g.</w:t>
      </w:r>
      <w:r w:rsidR="003850E6" w:rsidRPr="00F17BD0" w:rsidDel="00A577DD">
        <w:t>,</w:t>
      </w:r>
      <w:r w:rsidR="003850E6" w:rsidRPr="00F17BD0">
        <w:t xml:space="preserve"> pay-to-win)</w:t>
      </w:r>
      <w:r w:rsidR="00C76932" w:rsidRPr="00F17BD0">
        <w:t>, and involvement in monetary gambling.</w:t>
      </w:r>
      <w:r w:rsidR="0018738C" w:rsidRPr="00F17BD0">
        <w:t xml:space="preserve"> </w:t>
      </w:r>
    </w:p>
    <w:p w14:paraId="7A4A6F30" w14:textId="77777777" w:rsidR="00E65DA5" w:rsidRDefault="00374859" w:rsidP="00374859">
      <w:pPr>
        <w:pStyle w:val="Heading3"/>
      </w:pPr>
      <w:bookmarkStart w:id="9" w:name="_Ref95390109"/>
      <w:r>
        <w:t>M</w:t>
      </w:r>
      <w:r w:rsidR="00E65DA5">
        <w:t>itigation and regulation</w:t>
      </w:r>
      <w:bookmarkEnd w:id="9"/>
      <w:r w:rsidR="0071097E">
        <w:t xml:space="preserve"> responses raised in the literature</w:t>
      </w:r>
      <w:r w:rsidR="00657620">
        <w:t xml:space="preserve"> </w:t>
      </w:r>
    </w:p>
    <w:p w14:paraId="1498725C" w14:textId="1C3E228C" w:rsidR="00985277" w:rsidRPr="00332F4E" w:rsidRDefault="00252A82" w:rsidP="0076320B">
      <w:pPr>
        <w:pStyle w:val="BodyText"/>
      </w:pPr>
      <w:r w:rsidRPr="00332F4E">
        <w:t>Recommendations</w:t>
      </w:r>
      <w:r w:rsidR="00355E74" w:rsidRPr="00332F4E">
        <w:t xml:space="preserve"> from the </w:t>
      </w:r>
      <w:r w:rsidR="003850E6" w:rsidRPr="00332F4E">
        <w:t>literature</w:t>
      </w:r>
      <w:r w:rsidRPr="00332F4E">
        <w:t xml:space="preserve"> for harm mitigation and/or regulation of loot boxes, simulated gambling</w:t>
      </w:r>
      <w:r w:rsidR="00064396">
        <w:t>,</w:t>
      </w:r>
      <w:r w:rsidRPr="00332F4E">
        <w:t xml:space="preserve"> and </w:t>
      </w:r>
      <w:r w:rsidR="00064396">
        <w:t xml:space="preserve">other </w:t>
      </w:r>
      <w:r w:rsidRPr="00332F4E">
        <w:t xml:space="preserve">in-game purchases </w:t>
      </w:r>
      <w:bookmarkEnd w:id="8"/>
      <w:r w:rsidR="00A9450E" w:rsidRPr="00332F4E">
        <w:t>centred around consumer protection measures</w:t>
      </w:r>
      <w:r w:rsidR="00E0622A" w:rsidRPr="00332F4E">
        <w:t>. These</w:t>
      </w:r>
      <w:r w:rsidR="005F0E8B" w:rsidRPr="00332F4E">
        <w:t xml:space="preserve"> </w:t>
      </w:r>
      <w:r w:rsidR="00985277" w:rsidRPr="00332F4E">
        <w:t>included:</w:t>
      </w:r>
      <w:r w:rsidR="005F0E8B" w:rsidRPr="00332F4E">
        <w:t xml:space="preserve"> </w:t>
      </w:r>
    </w:p>
    <w:p w14:paraId="3767F8E2" w14:textId="1CD7B085" w:rsidR="00985277" w:rsidRPr="00332F4E" w:rsidRDefault="00E829D4" w:rsidP="00332F4E">
      <w:pPr>
        <w:pStyle w:val="ListNumber"/>
        <w:rPr>
          <w:rFonts w:cs="Arial"/>
          <w:szCs w:val="20"/>
        </w:rPr>
      </w:pPr>
      <w:r>
        <w:rPr>
          <w:rFonts w:cs="Arial"/>
          <w:szCs w:val="20"/>
        </w:rPr>
        <w:t>A</w:t>
      </w:r>
      <w:r w:rsidR="00A9450E" w:rsidRPr="00332F4E">
        <w:rPr>
          <w:rFonts w:cs="Arial"/>
          <w:szCs w:val="20"/>
        </w:rPr>
        <w:t xml:space="preserve">ge restrictions </w:t>
      </w:r>
      <w:r w:rsidR="00A9450E" w:rsidRPr="00332F4E" w:rsidDel="0071097E">
        <w:rPr>
          <w:rFonts w:cs="Arial"/>
          <w:szCs w:val="20"/>
        </w:rPr>
        <w:t xml:space="preserve">for people aged </w:t>
      </w:r>
      <w:r w:rsidR="00180DF9">
        <w:rPr>
          <w:rFonts w:cs="Arial"/>
          <w:szCs w:val="20"/>
        </w:rPr>
        <w:t xml:space="preserve">under </w:t>
      </w:r>
      <w:r w:rsidR="00A9450E" w:rsidRPr="00332F4E" w:rsidDel="0071097E">
        <w:rPr>
          <w:rFonts w:cs="Arial"/>
          <w:szCs w:val="20"/>
        </w:rPr>
        <w:t xml:space="preserve">18 years, especially </w:t>
      </w:r>
      <w:r w:rsidR="00A9450E" w:rsidRPr="00332F4E">
        <w:rPr>
          <w:rFonts w:cs="Arial"/>
          <w:szCs w:val="20"/>
        </w:rPr>
        <w:t xml:space="preserve">for </w:t>
      </w:r>
      <w:r w:rsidR="00701131">
        <w:rPr>
          <w:rFonts w:cs="Arial"/>
          <w:szCs w:val="20"/>
        </w:rPr>
        <w:t xml:space="preserve">spending </w:t>
      </w:r>
      <w:r w:rsidR="000C4D66">
        <w:rPr>
          <w:rFonts w:cs="Arial"/>
          <w:szCs w:val="20"/>
        </w:rPr>
        <w:t>money on loot boxes</w:t>
      </w:r>
      <w:r w:rsidR="00C960AB">
        <w:rPr>
          <w:rFonts w:cs="Arial"/>
          <w:szCs w:val="20"/>
        </w:rPr>
        <w:t xml:space="preserve">, </w:t>
      </w:r>
      <w:r w:rsidR="000C4D66">
        <w:rPr>
          <w:rFonts w:cs="Arial"/>
          <w:szCs w:val="20"/>
        </w:rPr>
        <w:t>simulated gambling</w:t>
      </w:r>
      <w:r w:rsidR="00C960AB">
        <w:rPr>
          <w:rFonts w:cs="Arial"/>
          <w:szCs w:val="20"/>
        </w:rPr>
        <w:t>, or other in-game purchases</w:t>
      </w:r>
      <w:r w:rsidR="000C4D66">
        <w:rPr>
          <w:rFonts w:cs="Arial"/>
          <w:szCs w:val="20"/>
        </w:rPr>
        <w:t xml:space="preserve"> in video games</w:t>
      </w:r>
    </w:p>
    <w:p w14:paraId="2AC3B831" w14:textId="0317A92F" w:rsidR="00985277" w:rsidRPr="00332F4E" w:rsidRDefault="00E829D4" w:rsidP="00F95DDE">
      <w:pPr>
        <w:pStyle w:val="ListNumber"/>
        <w:rPr>
          <w:rFonts w:cs="Arial"/>
          <w:szCs w:val="20"/>
        </w:rPr>
      </w:pPr>
      <w:r>
        <w:rPr>
          <w:rFonts w:cs="Arial"/>
          <w:szCs w:val="20"/>
        </w:rPr>
        <w:t>O</w:t>
      </w:r>
      <w:r w:rsidR="003965C7" w:rsidRPr="00332F4E">
        <w:rPr>
          <w:rFonts w:cs="Arial"/>
          <w:szCs w:val="20"/>
        </w:rPr>
        <w:t xml:space="preserve">ptions for </w:t>
      </w:r>
      <w:r w:rsidR="00A9450E" w:rsidRPr="00332F4E">
        <w:rPr>
          <w:rFonts w:cs="Arial"/>
          <w:szCs w:val="20"/>
        </w:rPr>
        <w:t>limit setting</w:t>
      </w:r>
      <w:r w:rsidR="009073CF">
        <w:rPr>
          <w:rFonts w:cs="Arial"/>
          <w:szCs w:val="20"/>
        </w:rPr>
        <w:t xml:space="preserve"> and</w:t>
      </w:r>
      <w:r w:rsidR="003965C7" w:rsidRPr="00332F4E">
        <w:rPr>
          <w:rFonts w:cs="Arial"/>
          <w:szCs w:val="20"/>
        </w:rPr>
        <w:t xml:space="preserve"> self-exclusion</w:t>
      </w:r>
      <w:r w:rsidR="000943B1">
        <w:rPr>
          <w:rFonts w:cs="Arial"/>
          <w:szCs w:val="20"/>
        </w:rPr>
        <w:t>,</w:t>
      </w:r>
      <w:r w:rsidR="003965C7" w:rsidRPr="00332F4E">
        <w:rPr>
          <w:rFonts w:cs="Arial"/>
          <w:szCs w:val="20"/>
        </w:rPr>
        <w:t xml:space="preserve"> </w:t>
      </w:r>
      <w:r w:rsidR="00A94F0B">
        <w:rPr>
          <w:rFonts w:cs="Arial"/>
          <w:szCs w:val="20"/>
        </w:rPr>
        <w:t>e.g., deposit limits, self-exclusion register</w:t>
      </w:r>
    </w:p>
    <w:p w14:paraId="317DEB38" w14:textId="5E0B30AD" w:rsidR="00A9450E" w:rsidRPr="00332F4E" w:rsidRDefault="00E829D4" w:rsidP="00F95DDE">
      <w:pPr>
        <w:pStyle w:val="ListNumber"/>
        <w:rPr>
          <w:rFonts w:cs="Arial"/>
          <w:szCs w:val="20"/>
        </w:rPr>
      </w:pPr>
      <w:r>
        <w:rPr>
          <w:rFonts w:cs="Arial"/>
          <w:szCs w:val="20"/>
        </w:rPr>
        <w:t>P</w:t>
      </w:r>
      <w:r w:rsidR="0071097E">
        <w:rPr>
          <w:rFonts w:cs="Arial"/>
          <w:szCs w:val="20"/>
        </w:rPr>
        <w:t xml:space="preserve">rominently </w:t>
      </w:r>
      <w:r w:rsidR="00A9450E" w:rsidRPr="00332F4E">
        <w:rPr>
          <w:rFonts w:cs="Arial"/>
          <w:szCs w:val="20"/>
        </w:rPr>
        <w:t xml:space="preserve">displaying the odds of </w:t>
      </w:r>
      <w:r w:rsidR="00672390" w:rsidRPr="00332F4E">
        <w:rPr>
          <w:rFonts w:cs="Arial"/>
          <w:szCs w:val="20"/>
        </w:rPr>
        <w:t>obtaining</w:t>
      </w:r>
      <w:r w:rsidR="00A9450E" w:rsidRPr="00332F4E">
        <w:rPr>
          <w:rFonts w:cs="Arial"/>
          <w:szCs w:val="20"/>
        </w:rPr>
        <w:t xml:space="preserve"> </w:t>
      </w:r>
      <w:r w:rsidR="00672390" w:rsidRPr="00332F4E">
        <w:rPr>
          <w:rFonts w:cs="Arial"/>
          <w:szCs w:val="20"/>
        </w:rPr>
        <w:t>chance-based</w:t>
      </w:r>
      <w:r w:rsidR="00A9450E" w:rsidRPr="00332F4E">
        <w:rPr>
          <w:rFonts w:cs="Arial"/>
          <w:szCs w:val="20"/>
        </w:rPr>
        <w:t xml:space="preserve"> rewards</w:t>
      </w:r>
    </w:p>
    <w:p w14:paraId="46B59EC2" w14:textId="2688A531" w:rsidR="00FC3969" w:rsidRDefault="00E829D4" w:rsidP="00F95DDE">
      <w:pPr>
        <w:pStyle w:val="ListNumber"/>
        <w:rPr>
          <w:rFonts w:cs="Arial"/>
          <w:szCs w:val="20"/>
        </w:rPr>
      </w:pPr>
      <w:r>
        <w:rPr>
          <w:rFonts w:cs="Arial"/>
          <w:szCs w:val="20"/>
        </w:rPr>
        <w:t>C</w:t>
      </w:r>
      <w:r w:rsidR="00FC3969" w:rsidRPr="00332F4E">
        <w:rPr>
          <w:rFonts w:cs="Arial"/>
          <w:szCs w:val="20"/>
        </w:rPr>
        <w:t>lear labelling of gambling-like products and features in video games and messages on the potential risks associated with these products</w:t>
      </w:r>
    </w:p>
    <w:p w14:paraId="40984308" w14:textId="2D774F4A" w:rsidR="00FE6EBF" w:rsidRPr="00FE6EBF" w:rsidRDefault="00E829D4" w:rsidP="00F72306">
      <w:pPr>
        <w:pStyle w:val="ListNumber"/>
        <w:rPr>
          <w:rFonts w:cs="Arial"/>
          <w:szCs w:val="20"/>
        </w:rPr>
      </w:pPr>
      <w:r>
        <w:rPr>
          <w:rFonts w:cs="Arial"/>
          <w:szCs w:val="20"/>
        </w:rPr>
        <w:t>R</w:t>
      </w:r>
      <w:r w:rsidR="00FE6EBF" w:rsidRPr="00FE6EBF">
        <w:rPr>
          <w:rFonts w:cs="Arial"/>
          <w:szCs w:val="20"/>
        </w:rPr>
        <w:t xml:space="preserve">emoving or reducing </w:t>
      </w:r>
      <w:r w:rsidR="009052BE">
        <w:rPr>
          <w:rFonts w:cs="Arial"/>
          <w:szCs w:val="20"/>
        </w:rPr>
        <w:t xml:space="preserve">game </w:t>
      </w:r>
      <w:r w:rsidR="00FE6EBF" w:rsidRPr="00FE6EBF">
        <w:rPr>
          <w:rFonts w:cs="Arial"/>
          <w:szCs w:val="20"/>
        </w:rPr>
        <w:t>features that encourage excessive expenditure</w:t>
      </w:r>
      <w:r w:rsidR="002A19A8">
        <w:rPr>
          <w:rFonts w:cs="Arial"/>
          <w:szCs w:val="20"/>
        </w:rPr>
        <w:t xml:space="preserve"> and gameplay</w:t>
      </w:r>
      <w:r w:rsidR="000943B1">
        <w:rPr>
          <w:rFonts w:cs="Arial"/>
          <w:szCs w:val="20"/>
        </w:rPr>
        <w:t xml:space="preserve">, e.g., </w:t>
      </w:r>
      <w:r w:rsidR="00504E23">
        <w:rPr>
          <w:rFonts w:cs="Arial"/>
          <w:szCs w:val="20"/>
        </w:rPr>
        <w:t xml:space="preserve">pay-to-win features, </w:t>
      </w:r>
      <w:r w:rsidR="00AB6592">
        <w:rPr>
          <w:rFonts w:cs="Arial"/>
          <w:szCs w:val="20"/>
        </w:rPr>
        <w:t xml:space="preserve">rare items, </w:t>
      </w:r>
      <w:r w:rsidR="003166DA">
        <w:rPr>
          <w:rFonts w:cs="Arial"/>
          <w:szCs w:val="20"/>
        </w:rPr>
        <w:t>item selling or trading</w:t>
      </w:r>
      <w:r w:rsidR="00F46689">
        <w:rPr>
          <w:rFonts w:cs="Arial"/>
          <w:szCs w:val="20"/>
        </w:rPr>
        <w:t xml:space="preserve"> </w:t>
      </w:r>
      <w:r w:rsidR="000E0B2E">
        <w:rPr>
          <w:rFonts w:cs="Arial"/>
          <w:szCs w:val="20"/>
        </w:rPr>
        <w:t xml:space="preserve"> </w:t>
      </w:r>
    </w:p>
    <w:p w14:paraId="2C50597B" w14:textId="61B393E0" w:rsidR="00A9450E" w:rsidRPr="00332F4E" w:rsidRDefault="00E829D4" w:rsidP="00F95DDE">
      <w:pPr>
        <w:pStyle w:val="ListNumber"/>
        <w:rPr>
          <w:rFonts w:cs="Arial"/>
          <w:szCs w:val="20"/>
        </w:rPr>
      </w:pPr>
      <w:r>
        <w:rPr>
          <w:rFonts w:cs="Arial"/>
          <w:szCs w:val="20"/>
        </w:rPr>
        <w:t>P</w:t>
      </w:r>
      <w:r w:rsidR="00A9450E" w:rsidRPr="00332F4E">
        <w:rPr>
          <w:rFonts w:cs="Arial"/>
          <w:szCs w:val="20"/>
        </w:rPr>
        <w:t>rovision of support information</w:t>
      </w:r>
      <w:r w:rsidR="000943B1">
        <w:rPr>
          <w:rFonts w:cs="Arial"/>
          <w:szCs w:val="20"/>
        </w:rPr>
        <w:t>,</w:t>
      </w:r>
      <w:r w:rsidR="00967BED">
        <w:rPr>
          <w:rFonts w:cs="Arial"/>
          <w:szCs w:val="20"/>
        </w:rPr>
        <w:t xml:space="preserve"> e.g., </w:t>
      </w:r>
      <w:r>
        <w:rPr>
          <w:rFonts w:cs="Arial"/>
          <w:szCs w:val="20"/>
        </w:rPr>
        <w:t xml:space="preserve">help </w:t>
      </w:r>
      <w:r w:rsidR="001E03D5">
        <w:rPr>
          <w:rFonts w:cs="Arial"/>
          <w:szCs w:val="20"/>
        </w:rPr>
        <w:t>services</w:t>
      </w:r>
      <w:r w:rsidR="00967BED">
        <w:rPr>
          <w:rFonts w:cs="Arial"/>
          <w:szCs w:val="20"/>
        </w:rPr>
        <w:t>, education</w:t>
      </w:r>
      <w:r w:rsidR="001E03D5">
        <w:rPr>
          <w:rFonts w:cs="Arial"/>
          <w:szCs w:val="20"/>
        </w:rPr>
        <w:t>al material</w:t>
      </w:r>
      <w:r w:rsidR="00FE6EBF">
        <w:rPr>
          <w:rFonts w:cs="Arial"/>
          <w:szCs w:val="20"/>
        </w:rPr>
        <w:t>.</w:t>
      </w:r>
    </w:p>
    <w:p w14:paraId="218599C7" w14:textId="77777777" w:rsidR="00A9450E" w:rsidRPr="00897FF2" w:rsidDel="000850AC" w:rsidRDefault="00E0622A" w:rsidP="00596D5C">
      <w:pPr>
        <w:pStyle w:val="BodyText"/>
      </w:pPr>
      <w:r w:rsidRPr="00897FF2">
        <w:t>Other recommendations</w:t>
      </w:r>
      <w:r w:rsidR="0071097E">
        <w:t xml:space="preserve"> in the literature</w:t>
      </w:r>
      <w:r w:rsidRPr="00897FF2">
        <w:t xml:space="preserve"> for </w:t>
      </w:r>
      <w:r w:rsidR="001216E9">
        <w:t xml:space="preserve">the </w:t>
      </w:r>
      <w:r w:rsidRPr="00897FF2">
        <w:t xml:space="preserve">mitigation and regulation </w:t>
      </w:r>
      <w:r w:rsidR="00243E7B" w:rsidRPr="00897FF2">
        <w:t>of these products</w:t>
      </w:r>
      <w:r w:rsidRPr="00897FF2">
        <w:t xml:space="preserve"> included</w:t>
      </w:r>
      <w:r w:rsidR="00202023" w:rsidRPr="00897FF2">
        <w:t>: education and public awareness campaigns</w:t>
      </w:r>
      <w:r w:rsidR="00202023">
        <w:t>/</w:t>
      </w:r>
      <w:r w:rsidR="00202023" w:rsidRPr="00897FF2">
        <w:t>strategies</w:t>
      </w:r>
      <w:r w:rsidR="00243E7B" w:rsidRPr="00897FF2">
        <w:t>;</w:t>
      </w:r>
      <w:r w:rsidR="00E434E0" w:rsidRPr="00897FF2">
        <w:t xml:space="preserve"> </w:t>
      </w:r>
      <w:r w:rsidR="00243E7B" w:rsidRPr="00897FF2">
        <w:t>identification</w:t>
      </w:r>
      <w:r w:rsidR="00E05F3A" w:rsidRPr="00897FF2">
        <w:t xml:space="preserve"> </w:t>
      </w:r>
      <w:r w:rsidR="00E434E0" w:rsidRPr="00897FF2">
        <w:t xml:space="preserve">and </w:t>
      </w:r>
      <w:r w:rsidR="00E05F3A" w:rsidRPr="00897FF2">
        <w:t xml:space="preserve">intervention </w:t>
      </w:r>
      <w:r w:rsidR="00E434E0" w:rsidRPr="00897FF2">
        <w:t>for those at</w:t>
      </w:r>
      <w:r w:rsidR="001216E9">
        <w:t xml:space="preserve"> </w:t>
      </w:r>
      <w:r w:rsidR="00E434E0" w:rsidRPr="00897FF2">
        <w:t>risk of harm</w:t>
      </w:r>
      <w:r w:rsidR="00243E7B" w:rsidRPr="00897FF2">
        <w:t>;</w:t>
      </w:r>
      <w:r w:rsidR="00E434E0" w:rsidRPr="00897FF2">
        <w:t xml:space="preserve"> </w:t>
      </w:r>
      <w:r w:rsidR="00233138" w:rsidRPr="00897FF2">
        <w:t>the gaming industry</w:t>
      </w:r>
      <w:r w:rsidR="00B35DE1" w:rsidRPr="00897FF2">
        <w:t>’s</w:t>
      </w:r>
      <w:r w:rsidR="00233138" w:rsidRPr="00897FF2">
        <w:t xml:space="preserve"> </w:t>
      </w:r>
      <w:r w:rsidR="00A140ED" w:rsidRPr="00897FF2">
        <w:t>role</w:t>
      </w:r>
      <w:r w:rsidR="00A140ED">
        <w:t xml:space="preserve"> to engage</w:t>
      </w:r>
      <w:r w:rsidR="00A140ED" w:rsidRPr="00897FF2">
        <w:t xml:space="preserve"> in </w:t>
      </w:r>
      <w:r w:rsidR="00E9191B" w:rsidRPr="00897FF2">
        <w:t xml:space="preserve">prevention and harm minimisation strategies; and </w:t>
      </w:r>
      <w:r w:rsidR="00E434E0" w:rsidRPr="00897FF2">
        <w:t xml:space="preserve">regulation of products via existing gambling </w:t>
      </w:r>
      <w:r w:rsidR="00E05F3A" w:rsidRPr="00897FF2">
        <w:t>laws</w:t>
      </w:r>
      <w:r w:rsidR="00243E7B" w:rsidRPr="00897FF2">
        <w:t>.</w:t>
      </w:r>
    </w:p>
    <w:p w14:paraId="243A6142" w14:textId="77777777" w:rsidR="00624F41" w:rsidRDefault="00624F41" w:rsidP="00624F41">
      <w:pPr>
        <w:pStyle w:val="Heading3"/>
      </w:pPr>
      <w:r>
        <w:t>Gaps in evidence</w:t>
      </w:r>
    </w:p>
    <w:p w14:paraId="6EB1D7AC" w14:textId="7D7924BE" w:rsidR="00624F41" w:rsidRPr="00FF2FE2" w:rsidRDefault="0042774E" w:rsidP="00624F41">
      <w:pPr>
        <w:pStyle w:val="BodyText"/>
      </w:pPr>
      <w:r>
        <w:t>Although</w:t>
      </w:r>
      <w:r w:rsidR="00624F41">
        <w:t xml:space="preserve"> there is consistent evidence of associations between </w:t>
      </w:r>
      <w:r w:rsidR="007047CA">
        <w:t xml:space="preserve">engagement with these products </w:t>
      </w:r>
      <w:r w:rsidR="00624F41">
        <w:t xml:space="preserve">and the harms outlined above, the direction of the relationship remains unclear - that is, which came first? Determining causality and observing changes over time </w:t>
      </w:r>
      <w:r w:rsidR="00D7592C">
        <w:t xml:space="preserve">(e.g., via longitudinal </w:t>
      </w:r>
      <w:r w:rsidR="00EF0A66">
        <w:t>research</w:t>
      </w:r>
      <w:r w:rsidR="00D7592C">
        <w:t xml:space="preserve">) </w:t>
      </w:r>
      <w:r w:rsidR="00624F41">
        <w:t xml:space="preserve">are important next steps to help </w:t>
      </w:r>
      <w:r w:rsidR="009B2E3C">
        <w:t xml:space="preserve">inform </w:t>
      </w:r>
      <w:r w:rsidR="00624F41">
        <w:t>policy development in relation</w:t>
      </w:r>
      <w:r w:rsidR="00741689">
        <w:t xml:space="preserve"> to</w:t>
      </w:r>
      <w:r w:rsidR="00624F41">
        <w:t xml:space="preserve"> </w:t>
      </w:r>
      <w:r w:rsidR="00122313">
        <w:t>loot boxes, simulated gambling, and in-game purchases.</w:t>
      </w:r>
      <w:r w:rsidR="00624F41">
        <w:t xml:space="preserve"> </w:t>
      </w:r>
    </w:p>
    <w:p w14:paraId="37ABD241" w14:textId="499D9DC8" w:rsidR="00624F41" w:rsidRPr="00FF2FE2" w:rsidRDefault="00F317BB" w:rsidP="00624F41">
      <w:pPr>
        <w:pStyle w:val="BodyText"/>
      </w:pPr>
      <w:r>
        <w:t>Further</w:t>
      </w:r>
      <w:r w:rsidR="00990F9D" w:rsidRPr="00990F9D">
        <w:t xml:space="preserve"> information about how </w:t>
      </w:r>
      <w:r>
        <w:t>f</w:t>
      </w:r>
      <w:r w:rsidR="00990F9D" w:rsidRPr="00990F9D">
        <w:t xml:space="preserve">actors </w:t>
      </w:r>
      <w:r>
        <w:t xml:space="preserve">such as </w:t>
      </w:r>
      <w:r w:rsidRPr="00F317BB">
        <w:t xml:space="preserve">player characteristics, product features and engagement in monetary gambling </w:t>
      </w:r>
      <w:r w:rsidR="00990F9D" w:rsidRPr="00990F9D">
        <w:t>affect the degree or risk of harm related to these products</w:t>
      </w:r>
      <w:r w:rsidR="00703146">
        <w:t xml:space="preserve"> would </w:t>
      </w:r>
      <w:r w:rsidR="00990F9D" w:rsidRPr="00990F9D">
        <w:t>enhance our current understanding</w:t>
      </w:r>
      <w:r w:rsidR="000D5B54">
        <w:t xml:space="preserve">, and </w:t>
      </w:r>
      <w:r w:rsidR="00624F41">
        <w:t>a greater focus on children and parents’ experiences would help to inform targeted policy responses</w:t>
      </w:r>
      <w:r w:rsidR="0085123C">
        <w:t xml:space="preserve">. </w:t>
      </w:r>
    </w:p>
    <w:p w14:paraId="7920C2A5" w14:textId="77777777" w:rsidR="008773E7" w:rsidRDefault="008773E7" w:rsidP="009C67DB">
      <w:pPr>
        <w:pStyle w:val="BodyText"/>
        <w:rPr>
          <w:rFonts w:cs="Arial"/>
          <w:color w:val="ED0C64"/>
          <w:kern w:val="32"/>
          <w:sz w:val="44"/>
        </w:rPr>
      </w:pPr>
      <w:bookmarkStart w:id="10" w:name="_Toc97649948"/>
      <w:bookmarkEnd w:id="3"/>
      <w:bookmarkEnd w:id="4"/>
      <w:r>
        <w:br w:type="page"/>
      </w:r>
    </w:p>
    <w:p w14:paraId="78D820BC" w14:textId="4190F414" w:rsidR="002E3EC3" w:rsidRPr="00361708" w:rsidRDefault="00CB423E" w:rsidP="000542FE">
      <w:pPr>
        <w:pStyle w:val="Heading1"/>
      </w:pPr>
      <w:bookmarkStart w:id="11" w:name="_Toc106359503"/>
      <w:bookmarkEnd w:id="5"/>
      <w:r>
        <w:lastRenderedPageBreak/>
        <w:t>Background</w:t>
      </w:r>
      <w:bookmarkEnd w:id="10"/>
      <w:bookmarkEnd w:id="11"/>
    </w:p>
    <w:p w14:paraId="27E5F907" w14:textId="6AD09618" w:rsidR="00E935F1" w:rsidRPr="00E17D55" w:rsidRDefault="0011023E" w:rsidP="0076320B">
      <w:pPr>
        <w:pStyle w:val="BodyText"/>
      </w:pPr>
      <w:r w:rsidRPr="00BE0A5A">
        <w:t xml:space="preserve">This </w:t>
      </w:r>
      <w:r w:rsidR="00E17D55">
        <w:t>section</w:t>
      </w:r>
      <w:r w:rsidRPr="00BE0A5A">
        <w:t xml:space="preserve"> provides key insights into the patterns of consumption and motivations for </w:t>
      </w:r>
      <w:r w:rsidR="008308E2">
        <w:t>engagement with</w:t>
      </w:r>
      <w:r w:rsidRPr="00BE0A5A">
        <w:t xml:space="preserve"> loot boxes, simulated </w:t>
      </w:r>
      <w:proofErr w:type="gramStart"/>
      <w:r w:rsidRPr="00BE0A5A">
        <w:t>gambling</w:t>
      </w:r>
      <w:proofErr w:type="gramEnd"/>
      <w:r w:rsidRPr="00BE0A5A">
        <w:t xml:space="preserve"> and other in-game purchases. Research suggests that some subpopulations (e.</w:t>
      </w:r>
      <w:r w:rsidR="008308E2">
        <w:t>g.</w:t>
      </w:r>
      <w:r w:rsidRPr="00BE0A5A">
        <w:t xml:space="preserve"> young people, males, people who gamble) are more engaged in these products and, either via exposure or normalisation, may be more likely to migrate to or increase their monetary gambling. Further, engagement with </w:t>
      </w:r>
      <w:r w:rsidR="003806BB">
        <w:t xml:space="preserve">these products </w:t>
      </w:r>
      <w:r w:rsidRPr="00BE0A5A">
        <w:t>may be associated with experiences of harm, either via the products themselves (e.g. gaming disorder) or involvement in monetary gambling (e.g. problem gambling/harm).</w:t>
      </w:r>
      <w:bookmarkStart w:id="12" w:name="_Toc97649950"/>
    </w:p>
    <w:p w14:paraId="6572AD51" w14:textId="77777777" w:rsidR="00085E49" w:rsidRPr="00085E49" w:rsidRDefault="00085E49" w:rsidP="00085E49">
      <w:pPr>
        <w:keepNext/>
        <w:keepLines/>
        <w:spacing w:before="240" w:after="120" w:line="240" w:lineRule="auto"/>
        <w:outlineLvl w:val="1"/>
        <w:rPr>
          <w:rFonts w:cs="Arial"/>
          <w:color w:val="62136D"/>
          <w:kern w:val="32"/>
          <w:sz w:val="38"/>
          <w:szCs w:val="38"/>
        </w:rPr>
      </w:pPr>
      <w:r w:rsidRPr="00085E49">
        <w:rPr>
          <w:rFonts w:cs="Arial"/>
          <w:color w:val="62136D"/>
          <w:kern w:val="32"/>
          <w:sz w:val="38"/>
          <w:szCs w:val="38"/>
        </w:rPr>
        <w:t>Patterns of use and consumer profiles</w:t>
      </w:r>
      <w:bookmarkEnd w:id="12"/>
    </w:p>
    <w:p w14:paraId="7B6FE3AC" w14:textId="68F08C89" w:rsidR="000C1BDA" w:rsidRDefault="000C1BDA" w:rsidP="000C1BDA">
      <w:pPr>
        <w:pStyle w:val="Heading3"/>
      </w:pPr>
      <w:r>
        <w:t>Loot boxes</w:t>
      </w:r>
    </w:p>
    <w:p w14:paraId="1CEB5FA7" w14:textId="36F7E3BC" w:rsidR="00B66C97" w:rsidRDefault="00B66C97" w:rsidP="00B66C97">
      <w:pPr>
        <w:pStyle w:val="BodyText"/>
      </w:pPr>
      <w:r w:rsidRPr="005317B2">
        <w:t xml:space="preserve">Some game publishers offer users the ability to purchase ‘loot boxes’ (sometimes known as mystery boxes, </w:t>
      </w:r>
      <w:proofErr w:type="gramStart"/>
      <w:r w:rsidRPr="005317B2">
        <w:t>cases</w:t>
      </w:r>
      <w:proofErr w:type="gramEnd"/>
      <w:r w:rsidRPr="005317B2">
        <w:t xml:space="preserve"> or chests) containing random in-game items (Deblaquiere, </w:t>
      </w:r>
      <w:r>
        <w:t>et al.</w:t>
      </w:r>
      <w:r w:rsidRPr="004E07B5">
        <w:t>,</w:t>
      </w:r>
      <w:r w:rsidRPr="005317B2">
        <w:t xml:space="preserve"> 2018; King, 2018). A common variation is to periodically give users </w:t>
      </w:r>
      <w:r w:rsidR="002D0434">
        <w:t xml:space="preserve">loot </w:t>
      </w:r>
      <w:r w:rsidRPr="005317B2">
        <w:t>boxes for free but require them to purchase a ‘key’ to open the box (Deblaquiere</w:t>
      </w:r>
      <w:r>
        <w:t xml:space="preserve"> et al.</w:t>
      </w:r>
      <w:r w:rsidRPr="00910C5F">
        <w:t>,</w:t>
      </w:r>
      <w:r w:rsidRPr="005317B2">
        <w:t xml:space="preserve"> 2018). Some research suggests that loot boxes approximate electronic gambling machines (EGMs or ‘pokies’) or scratch tickets in their design; </w:t>
      </w:r>
      <w:r w:rsidRPr="00616A56">
        <w:t>they have a low probability of obtaining certain rare items</w:t>
      </w:r>
      <w:r>
        <w:t xml:space="preserve">, </w:t>
      </w:r>
      <w:r w:rsidRPr="00616A56">
        <w:t>encourage continued play and expenditure to obtain the desired reward</w:t>
      </w:r>
      <w:r>
        <w:t>,</w:t>
      </w:r>
      <w:r w:rsidRPr="00616A56">
        <w:t xml:space="preserve"> </w:t>
      </w:r>
      <w:r>
        <w:t>and meet an intrinsic motivation or need (e.g., feeling</w:t>
      </w:r>
      <w:r w:rsidR="002D0434">
        <w:t>s</w:t>
      </w:r>
      <w:r>
        <w:t xml:space="preserve"> of excitement, social benefits, invest</w:t>
      </w:r>
      <w:r w:rsidR="002D0434">
        <w:t>ment</w:t>
      </w:r>
      <w:r>
        <w:t xml:space="preserve"> in the game, fear of missing out) </w:t>
      </w:r>
      <w:r w:rsidRPr="00616A56">
        <w:t xml:space="preserve">(Drummond &amp; Sauer, 2018; Hing et al., 2021; King &amp; </w:t>
      </w:r>
      <w:proofErr w:type="spellStart"/>
      <w:r w:rsidRPr="00616A56">
        <w:t>Delfabbro</w:t>
      </w:r>
      <w:proofErr w:type="spellEnd"/>
      <w:r w:rsidRPr="00616A56">
        <w:t xml:space="preserve">, 2018b; </w:t>
      </w:r>
      <w:proofErr w:type="spellStart"/>
      <w:r w:rsidRPr="00616A56">
        <w:t>Rockloff</w:t>
      </w:r>
      <w:proofErr w:type="spellEnd"/>
      <w:r w:rsidRPr="00616A56">
        <w:t xml:space="preserve"> et al., 2020, 2021</w:t>
      </w:r>
      <w:r>
        <w:t xml:space="preserve">; </w:t>
      </w:r>
      <w:proofErr w:type="spellStart"/>
      <w:r>
        <w:t>Zendle</w:t>
      </w:r>
      <w:proofErr w:type="spellEnd"/>
      <w:r>
        <w:t>, Meyer, &amp; Over, 2019</w:t>
      </w:r>
      <w:r w:rsidRPr="00616A56">
        <w:t xml:space="preserve">). </w:t>
      </w:r>
    </w:p>
    <w:p w14:paraId="0E7E493B" w14:textId="77777777" w:rsidR="00AD607E" w:rsidRDefault="00AD607E" w:rsidP="00897FF2">
      <w:pPr>
        <w:pStyle w:val="BodyText"/>
        <w:rPr>
          <w:rFonts w:cs="Arial"/>
        </w:rPr>
      </w:pPr>
      <w:r>
        <w:t>A</w:t>
      </w:r>
      <w:r w:rsidRPr="002C0B80">
        <w:t xml:space="preserve">n estimated </w:t>
      </w:r>
      <w:r w:rsidR="000426CE">
        <w:t>3</w:t>
      </w:r>
      <w:r w:rsidRPr="002C0B80">
        <w:t>% of Australian adults purchased loot boxes in 2019 (Hing et al., 2021), but research</w:t>
      </w:r>
      <w:r w:rsidR="00102E67" w:rsidRPr="002C0B80">
        <w:t xml:space="preserve"> </w:t>
      </w:r>
      <w:r w:rsidRPr="002C0B80">
        <w:t xml:space="preserve">suggests that </w:t>
      </w:r>
      <w:r w:rsidRPr="002F18E1">
        <w:t xml:space="preserve">loot box engagement in Australia is higher among adolescents and young adults than the general adult </w:t>
      </w:r>
      <w:r w:rsidR="00E318C4" w:rsidRPr="002F18E1">
        <w:t>population</w:t>
      </w:r>
      <w:r w:rsidR="00E318C4">
        <w:t xml:space="preserve"> (</w:t>
      </w:r>
      <w:r w:rsidR="006C0FEE" w:rsidRPr="002C0B80">
        <w:rPr>
          <w:rFonts w:cs="Arial"/>
        </w:rPr>
        <w:t xml:space="preserve">Hing et al., 2020; </w:t>
      </w:r>
      <w:proofErr w:type="spellStart"/>
      <w:r w:rsidR="006C0FEE" w:rsidRPr="002C0B80">
        <w:rPr>
          <w:rFonts w:cs="Arial"/>
        </w:rPr>
        <w:t>Rockloff</w:t>
      </w:r>
      <w:proofErr w:type="spellEnd"/>
      <w:r w:rsidR="006C0FEE" w:rsidRPr="002C0B80">
        <w:rPr>
          <w:rFonts w:cs="Arial"/>
        </w:rPr>
        <w:t xml:space="preserve"> et al., 2020; Russell et al., 2020</w:t>
      </w:r>
      <w:r w:rsidR="006C0FEE">
        <w:rPr>
          <w:rFonts w:cs="Arial"/>
        </w:rPr>
        <w:t>)</w:t>
      </w:r>
      <w:r>
        <w:t xml:space="preserve">. </w:t>
      </w:r>
    </w:p>
    <w:p w14:paraId="1DCC06C5" w14:textId="7801C7BC" w:rsidR="00AD607E" w:rsidRPr="002F18E1" w:rsidRDefault="00AD607E" w:rsidP="00897FF2">
      <w:pPr>
        <w:pStyle w:val="BodyText"/>
      </w:pPr>
      <w:r>
        <w:rPr>
          <w:rFonts w:cs="Arial"/>
        </w:rPr>
        <w:t xml:space="preserve">Recent studies of </w:t>
      </w:r>
      <w:r w:rsidRPr="002C0B80">
        <w:rPr>
          <w:rFonts w:cs="Arial"/>
        </w:rPr>
        <w:t xml:space="preserve">adolescents and young adults </w:t>
      </w:r>
      <w:r>
        <w:rPr>
          <w:rFonts w:cs="Arial"/>
        </w:rPr>
        <w:t xml:space="preserve">in NSW found that </w:t>
      </w:r>
      <w:r w:rsidRPr="002C0B80">
        <w:rPr>
          <w:rFonts w:cs="Arial"/>
        </w:rPr>
        <w:t xml:space="preserve">between </w:t>
      </w:r>
      <w:r w:rsidR="00606BD8" w:rsidRPr="002C0B80">
        <w:rPr>
          <w:rFonts w:cs="Arial"/>
        </w:rPr>
        <w:t>2</w:t>
      </w:r>
      <w:r w:rsidR="00606BD8">
        <w:rPr>
          <w:rFonts w:cs="Arial"/>
        </w:rPr>
        <w:t>4</w:t>
      </w:r>
      <w:r w:rsidR="003C6FCA">
        <w:rPr>
          <w:rFonts w:cs="Arial"/>
        </w:rPr>
        <w:t xml:space="preserve">% and </w:t>
      </w:r>
      <w:r w:rsidRPr="002C0B80">
        <w:rPr>
          <w:rFonts w:cs="Arial"/>
        </w:rPr>
        <w:t xml:space="preserve">37% </w:t>
      </w:r>
      <w:r>
        <w:rPr>
          <w:rFonts w:cs="Arial"/>
        </w:rPr>
        <w:t>of participants report</w:t>
      </w:r>
      <w:r w:rsidR="003C6FCA">
        <w:rPr>
          <w:rFonts w:cs="Arial"/>
        </w:rPr>
        <w:t>ed</w:t>
      </w:r>
      <w:r>
        <w:rPr>
          <w:rFonts w:cs="Arial"/>
        </w:rPr>
        <w:t xml:space="preserve"> purchasing loot boxes in the past 12 months </w:t>
      </w:r>
      <w:r w:rsidRPr="002C0B80">
        <w:rPr>
          <w:rFonts w:cs="Arial"/>
        </w:rPr>
        <w:t xml:space="preserve">(Hing et al., 2020; </w:t>
      </w:r>
      <w:proofErr w:type="spellStart"/>
      <w:r w:rsidRPr="002C0B80">
        <w:rPr>
          <w:rFonts w:cs="Arial"/>
        </w:rPr>
        <w:t>Rockloff</w:t>
      </w:r>
      <w:proofErr w:type="spellEnd"/>
      <w:r w:rsidRPr="002C0B80">
        <w:rPr>
          <w:rFonts w:cs="Arial"/>
        </w:rPr>
        <w:t xml:space="preserve"> et al., 2020; Russell et al., 2020). </w:t>
      </w:r>
      <w:r>
        <w:rPr>
          <w:rFonts w:cs="Arial"/>
        </w:rPr>
        <w:t>H</w:t>
      </w:r>
      <w:r w:rsidRPr="002C0B80">
        <w:rPr>
          <w:rFonts w:cs="Arial"/>
        </w:rPr>
        <w:t xml:space="preserve">igher rates of loot box purchasing </w:t>
      </w:r>
      <w:r>
        <w:rPr>
          <w:rFonts w:cs="Arial"/>
        </w:rPr>
        <w:t>we</w:t>
      </w:r>
      <w:r w:rsidRPr="002C0B80">
        <w:rPr>
          <w:rFonts w:cs="Arial"/>
        </w:rPr>
        <w:t>re</w:t>
      </w:r>
      <w:r>
        <w:rPr>
          <w:rFonts w:cs="Arial"/>
        </w:rPr>
        <w:t xml:space="preserve"> reported</w:t>
      </w:r>
      <w:r w:rsidRPr="002C0B80">
        <w:rPr>
          <w:rFonts w:cs="Arial"/>
        </w:rPr>
        <w:t xml:space="preserve"> amon</w:t>
      </w:r>
      <w:r>
        <w:rPr>
          <w:rFonts w:cs="Arial"/>
        </w:rPr>
        <w:t>g</w:t>
      </w:r>
      <w:r w:rsidRPr="002C0B80">
        <w:rPr>
          <w:rFonts w:cs="Arial"/>
        </w:rPr>
        <w:t xml:space="preserve"> adolescents </w:t>
      </w:r>
      <w:r w:rsidR="003C6FCA">
        <w:rPr>
          <w:rFonts w:cs="Arial"/>
        </w:rPr>
        <w:t xml:space="preserve">aged </w:t>
      </w:r>
      <w:r w:rsidRPr="002C0B80">
        <w:rPr>
          <w:rFonts w:cs="Arial"/>
        </w:rPr>
        <w:t>12</w:t>
      </w:r>
      <w:r w:rsidR="003C6FCA">
        <w:rPr>
          <w:rFonts w:cs="Arial"/>
        </w:rPr>
        <w:t>–</w:t>
      </w:r>
      <w:r w:rsidRPr="002C0B80">
        <w:rPr>
          <w:rFonts w:cs="Arial"/>
        </w:rPr>
        <w:t>17 years (37%</w:t>
      </w:r>
      <w:r w:rsidR="003C6FCA">
        <w:rPr>
          <w:rFonts w:cs="Arial"/>
        </w:rPr>
        <w:t>;</w:t>
      </w:r>
      <w:r w:rsidRPr="002C0B80">
        <w:rPr>
          <w:rFonts w:cs="Arial"/>
        </w:rPr>
        <w:t xml:space="preserve"> Hing et al., 2020) compared to young adults aged 18</w:t>
      </w:r>
      <w:r w:rsidR="00B40531">
        <w:rPr>
          <w:rFonts w:cs="Arial"/>
        </w:rPr>
        <w:t>–</w:t>
      </w:r>
      <w:r w:rsidRPr="002C0B80">
        <w:rPr>
          <w:rFonts w:cs="Arial"/>
        </w:rPr>
        <w:t>24 years and 25</w:t>
      </w:r>
      <w:r w:rsidR="00B40531">
        <w:rPr>
          <w:rFonts w:cs="Arial"/>
        </w:rPr>
        <w:t>–</w:t>
      </w:r>
      <w:r w:rsidRPr="002C0B80">
        <w:rPr>
          <w:rFonts w:cs="Arial"/>
        </w:rPr>
        <w:t>29 years (29% and 24%</w:t>
      </w:r>
      <w:r w:rsidR="00B40531">
        <w:rPr>
          <w:rFonts w:cs="Arial"/>
        </w:rPr>
        <w:t xml:space="preserve"> respectively</w:t>
      </w:r>
      <w:r>
        <w:rPr>
          <w:rFonts w:cs="Arial"/>
        </w:rPr>
        <w:t xml:space="preserve">; </w:t>
      </w:r>
      <w:r w:rsidRPr="002C0B80">
        <w:rPr>
          <w:rFonts w:cs="Arial"/>
        </w:rPr>
        <w:t>Russell et al., 2020)</w:t>
      </w:r>
      <w:r w:rsidR="00702468">
        <w:rPr>
          <w:rFonts w:cs="Arial"/>
        </w:rPr>
        <w:t>, and a</w:t>
      </w:r>
      <w:r w:rsidR="00702468" w:rsidRPr="002C0B80">
        <w:rPr>
          <w:rFonts w:cs="Arial"/>
        </w:rPr>
        <w:t>dolescent males were</w:t>
      </w:r>
      <w:r w:rsidR="00702468">
        <w:rPr>
          <w:rFonts w:cs="Arial"/>
        </w:rPr>
        <w:t xml:space="preserve"> </w:t>
      </w:r>
      <w:r w:rsidR="00702468" w:rsidRPr="002C0B80">
        <w:rPr>
          <w:rFonts w:cs="Arial"/>
        </w:rPr>
        <w:t>more likely than females to purchase loot boxes (4</w:t>
      </w:r>
      <w:r w:rsidR="00702468">
        <w:rPr>
          <w:rFonts w:cs="Arial"/>
        </w:rPr>
        <w:t>8</w:t>
      </w:r>
      <w:r w:rsidR="00702468" w:rsidRPr="002C0B80">
        <w:rPr>
          <w:rFonts w:cs="Arial"/>
        </w:rPr>
        <w:t>% vs 26%) (Hing et al., 2020).</w:t>
      </w:r>
    </w:p>
    <w:p w14:paraId="44C3210D" w14:textId="0C1BF161" w:rsidR="00F13727" w:rsidRPr="002C0B80" w:rsidRDefault="009F006A" w:rsidP="00897FF2">
      <w:pPr>
        <w:pStyle w:val="BodyText"/>
        <w:rPr>
          <w:rFonts w:cs="Arial"/>
        </w:rPr>
      </w:pPr>
      <w:r>
        <w:rPr>
          <w:rFonts w:cs="Arial"/>
        </w:rPr>
        <w:t>T</w:t>
      </w:r>
      <w:r w:rsidR="00AD607E" w:rsidRPr="002C0B80">
        <w:rPr>
          <w:rFonts w:cs="Arial"/>
        </w:rPr>
        <w:t>he NSW Youth Gambling Study</w:t>
      </w:r>
      <w:r w:rsidR="0068406E">
        <w:rPr>
          <w:rFonts w:cs="Arial"/>
        </w:rPr>
        <w:t xml:space="preserve"> </w:t>
      </w:r>
      <w:r w:rsidR="00AD607E" w:rsidRPr="002C0B80">
        <w:rPr>
          <w:rFonts w:cs="Arial"/>
        </w:rPr>
        <w:t xml:space="preserve">found </w:t>
      </w:r>
      <w:r w:rsidR="00AD607E">
        <w:rPr>
          <w:rFonts w:cs="Arial"/>
        </w:rPr>
        <w:t xml:space="preserve">that around one in three participants (34%) reported having </w:t>
      </w:r>
      <w:r w:rsidR="00AD607E" w:rsidRPr="002C0B80">
        <w:rPr>
          <w:rFonts w:cs="Arial"/>
        </w:rPr>
        <w:t xml:space="preserve">bought loot boxes using virtual currency </w:t>
      </w:r>
      <w:r w:rsidR="00AD607E">
        <w:rPr>
          <w:rFonts w:cs="Arial"/>
        </w:rPr>
        <w:t>(</w:t>
      </w:r>
      <w:r w:rsidR="00AD607E" w:rsidRPr="002C0B80">
        <w:rPr>
          <w:rFonts w:cs="Arial"/>
        </w:rPr>
        <w:t>purchased with real mon</w:t>
      </w:r>
      <w:r w:rsidR="00AD607E">
        <w:rPr>
          <w:rFonts w:cs="Arial"/>
        </w:rPr>
        <w:t xml:space="preserve">ey), and 22% reported </w:t>
      </w:r>
      <w:r w:rsidR="00AD607E" w:rsidRPr="002C0B80">
        <w:rPr>
          <w:rFonts w:cs="Arial"/>
        </w:rPr>
        <w:t>purchasing a loot box directly with real money</w:t>
      </w:r>
      <w:r w:rsidR="00AD607E">
        <w:rPr>
          <w:rFonts w:cs="Arial"/>
        </w:rPr>
        <w:t xml:space="preserve"> </w:t>
      </w:r>
      <w:r w:rsidR="00FE7DD8" w:rsidRPr="00FE7DD8">
        <w:rPr>
          <w:rFonts w:cs="Arial"/>
        </w:rPr>
        <w:t>(Hing et al., 2020)</w:t>
      </w:r>
      <w:r w:rsidR="00AD607E" w:rsidRPr="002C0B80">
        <w:rPr>
          <w:rFonts w:cs="Arial"/>
        </w:rPr>
        <w:t>.</w:t>
      </w:r>
      <w:r w:rsidR="00702468">
        <w:rPr>
          <w:rFonts w:cs="Arial"/>
        </w:rPr>
        <w:t xml:space="preserve"> </w:t>
      </w:r>
      <w:r w:rsidR="00F27BD2">
        <w:rPr>
          <w:rFonts w:cs="Arial"/>
        </w:rPr>
        <w:t>Though estimates vary, research has found that median monthly expenditure on loot boxes ranges between</w:t>
      </w:r>
      <w:r w:rsidR="00B64C68">
        <w:rPr>
          <w:rFonts w:cs="Arial"/>
        </w:rPr>
        <w:t xml:space="preserve"> around</w:t>
      </w:r>
      <w:r w:rsidR="00F27BD2">
        <w:rPr>
          <w:rFonts w:cs="Arial"/>
        </w:rPr>
        <w:t xml:space="preserve"> </w:t>
      </w:r>
      <w:r w:rsidR="00C84B38">
        <w:rPr>
          <w:rFonts w:cs="Arial"/>
        </w:rPr>
        <w:t>$10</w:t>
      </w:r>
      <w:r w:rsidR="00507624">
        <w:rPr>
          <w:rFonts w:cs="Arial"/>
        </w:rPr>
        <w:t xml:space="preserve"> to $</w:t>
      </w:r>
      <w:r w:rsidR="00F27BD2">
        <w:rPr>
          <w:rFonts w:cs="Arial"/>
        </w:rPr>
        <w:t>7</w:t>
      </w:r>
      <w:r w:rsidR="00507624">
        <w:rPr>
          <w:rFonts w:cs="Arial"/>
        </w:rPr>
        <w:t>0</w:t>
      </w:r>
      <w:r w:rsidR="00C84B38">
        <w:rPr>
          <w:rFonts w:cs="Arial"/>
        </w:rPr>
        <w:t xml:space="preserve"> per month (Hing et al., 2020</w:t>
      </w:r>
      <w:r w:rsidR="00381CBC">
        <w:rPr>
          <w:rFonts w:cs="Arial"/>
        </w:rPr>
        <w:t xml:space="preserve">; </w:t>
      </w:r>
      <w:r w:rsidR="00A53CEE">
        <w:rPr>
          <w:rFonts w:cs="Arial"/>
        </w:rPr>
        <w:t>Russell et al., 2020</w:t>
      </w:r>
      <w:r w:rsidR="000E1997">
        <w:rPr>
          <w:rFonts w:cs="Arial"/>
        </w:rPr>
        <w:t xml:space="preserve">; </w:t>
      </w:r>
      <w:proofErr w:type="spellStart"/>
      <w:r w:rsidR="000E1997">
        <w:rPr>
          <w:rFonts w:cs="Arial"/>
        </w:rPr>
        <w:t>Rockloff</w:t>
      </w:r>
      <w:proofErr w:type="spellEnd"/>
      <w:r w:rsidR="000E1997">
        <w:rPr>
          <w:rFonts w:cs="Arial"/>
        </w:rPr>
        <w:t xml:space="preserve"> et al., 2020</w:t>
      </w:r>
      <w:r w:rsidR="00096860">
        <w:rPr>
          <w:rFonts w:cs="Arial"/>
        </w:rPr>
        <w:t>), but</w:t>
      </w:r>
      <w:r w:rsidR="00B64C68">
        <w:rPr>
          <w:rFonts w:cs="Arial"/>
        </w:rPr>
        <w:t xml:space="preserve"> is commonly </w:t>
      </w:r>
      <w:r w:rsidR="002D0434">
        <w:rPr>
          <w:rFonts w:cs="Arial"/>
        </w:rPr>
        <w:t xml:space="preserve">reported to be </w:t>
      </w:r>
      <w:r w:rsidR="00B64C68">
        <w:rPr>
          <w:rFonts w:cs="Arial"/>
        </w:rPr>
        <w:t>around</w:t>
      </w:r>
      <w:r w:rsidR="00DB5C1A">
        <w:rPr>
          <w:rFonts w:cs="Arial"/>
        </w:rPr>
        <w:t xml:space="preserve"> </w:t>
      </w:r>
      <w:r w:rsidR="007D6919">
        <w:rPr>
          <w:rFonts w:cs="Arial"/>
        </w:rPr>
        <w:t>$20 per mo</w:t>
      </w:r>
      <w:r w:rsidR="00B64C68">
        <w:rPr>
          <w:rFonts w:cs="Arial"/>
        </w:rPr>
        <w:t>nth</w:t>
      </w:r>
      <w:r w:rsidR="00702468">
        <w:rPr>
          <w:rFonts w:cs="Arial"/>
        </w:rPr>
        <w:t xml:space="preserve"> </w:t>
      </w:r>
      <w:r w:rsidR="00EA5AC8">
        <w:rPr>
          <w:rFonts w:cs="Arial"/>
        </w:rPr>
        <w:t>(Russell et al., 2020</w:t>
      </w:r>
      <w:r w:rsidR="00B64C68">
        <w:rPr>
          <w:rFonts w:cs="Arial"/>
        </w:rPr>
        <w:t xml:space="preserve">; </w:t>
      </w:r>
      <w:r w:rsidR="00773B45">
        <w:rPr>
          <w:rFonts w:cs="Arial"/>
        </w:rPr>
        <w:t>Hing et al., 2021).</w:t>
      </w:r>
    </w:p>
    <w:p w14:paraId="41149928" w14:textId="1EDE67F6" w:rsidR="00A95DB5" w:rsidRDefault="00813292" w:rsidP="00A95DB5">
      <w:pPr>
        <w:pStyle w:val="Heading3"/>
      </w:pPr>
      <w:r>
        <w:t>Simulated gambling</w:t>
      </w:r>
    </w:p>
    <w:p w14:paraId="38A1F83C" w14:textId="229DA3D7" w:rsidR="009B22B2" w:rsidRDefault="009B22B2" w:rsidP="00AA7A61">
      <w:pPr>
        <w:pStyle w:val="BodyText"/>
        <w:rPr>
          <w:color w:val="auto"/>
        </w:rPr>
      </w:pPr>
      <w:r>
        <w:rPr>
          <w:color w:val="auto"/>
        </w:rPr>
        <w:t>G</w:t>
      </w:r>
      <w:r w:rsidRPr="00332F4E">
        <w:rPr>
          <w:color w:val="auto"/>
        </w:rPr>
        <w:t>ames that structurally resemble traditional gambling activities</w:t>
      </w:r>
      <w:r>
        <w:rPr>
          <w:color w:val="auto"/>
        </w:rPr>
        <w:t xml:space="preserve"> are</w:t>
      </w:r>
      <w:r w:rsidRPr="00332F4E">
        <w:rPr>
          <w:color w:val="auto"/>
        </w:rPr>
        <w:t xml:space="preserve"> commonly referred to as ‘simulated gambling’. </w:t>
      </w:r>
      <w:r w:rsidR="00E17D55">
        <w:rPr>
          <w:color w:val="auto"/>
        </w:rPr>
        <w:t>Alt</w:t>
      </w:r>
      <w:r>
        <w:rPr>
          <w:color w:val="auto"/>
        </w:rPr>
        <w:t>hough s</w:t>
      </w:r>
      <w:r w:rsidRPr="00C27960">
        <w:rPr>
          <w:color w:val="auto"/>
        </w:rPr>
        <w:t>imulated</w:t>
      </w:r>
      <w:r w:rsidRPr="00332F4E">
        <w:rPr>
          <w:color w:val="auto"/>
        </w:rPr>
        <w:t xml:space="preserve"> gambling appears in many forms in video games</w:t>
      </w:r>
      <w:r>
        <w:rPr>
          <w:color w:val="auto"/>
        </w:rPr>
        <w:t xml:space="preserve">, </w:t>
      </w:r>
      <w:r w:rsidRPr="00332F4E">
        <w:rPr>
          <w:color w:val="auto"/>
        </w:rPr>
        <w:t xml:space="preserve">social casino games </w:t>
      </w:r>
      <w:r>
        <w:rPr>
          <w:color w:val="auto"/>
        </w:rPr>
        <w:t>are t</w:t>
      </w:r>
      <w:r w:rsidRPr="00C27960">
        <w:rPr>
          <w:color w:val="auto"/>
        </w:rPr>
        <w:t>he most common</w:t>
      </w:r>
      <w:r>
        <w:rPr>
          <w:color w:val="auto"/>
        </w:rPr>
        <w:t>.</w:t>
      </w:r>
      <w:r w:rsidRPr="00C27960">
        <w:rPr>
          <w:color w:val="auto"/>
        </w:rPr>
        <w:t xml:space="preserve"> </w:t>
      </w:r>
      <w:r>
        <w:rPr>
          <w:color w:val="auto"/>
        </w:rPr>
        <w:t>Social casino games</w:t>
      </w:r>
      <w:r w:rsidRPr="00332F4E">
        <w:rPr>
          <w:color w:val="auto"/>
        </w:rPr>
        <w:t xml:space="preserve"> resemble chance or skill-based gambling activities and offer in-game purchases but exist in a closed-loop economy where money cannot be withdrawn from the game (King, 2018). </w:t>
      </w:r>
    </w:p>
    <w:p w14:paraId="27627C39" w14:textId="2DFFBD1A" w:rsidR="00AA7A61" w:rsidRPr="00897555" w:rsidRDefault="00B669AA" w:rsidP="00AA7A61">
      <w:pPr>
        <w:pStyle w:val="BodyText"/>
        <w:rPr>
          <w:highlight w:val="cyan"/>
        </w:rPr>
      </w:pPr>
      <w:r>
        <w:rPr>
          <w:rFonts w:cs="Arial"/>
        </w:rPr>
        <w:lastRenderedPageBreak/>
        <w:t>Reported p</w:t>
      </w:r>
      <w:r w:rsidR="00C649C4">
        <w:rPr>
          <w:rFonts w:cs="Arial"/>
        </w:rPr>
        <w:t xml:space="preserve">articipation </w:t>
      </w:r>
      <w:r w:rsidR="00702468">
        <w:rPr>
          <w:rFonts w:cs="Arial"/>
        </w:rPr>
        <w:t xml:space="preserve">in simulated gambling </w:t>
      </w:r>
      <w:r>
        <w:rPr>
          <w:rFonts w:cs="Arial"/>
        </w:rPr>
        <w:t xml:space="preserve">(in the previous 12 months) </w:t>
      </w:r>
      <w:r w:rsidR="00C649C4">
        <w:rPr>
          <w:rFonts w:cs="Arial"/>
        </w:rPr>
        <w:t xml:space="preserve">among </w:t>
      </w:r>
      <w:r>
        <w:rPr>
          <w:rFonts w:cs="Arial"/>
        </w:rPr>
        <w:t xml:space="preserve">Australian adolescents aged 12-17 years </w:t>
      </w:r>
      <w:r w:rsidR="00C649C4">
        <w:rPr>
          <w:rFonts w:cs="Arial"/>
        </w:rPr>
        <w:t>rang</w:t>
      </w:r>
      <w:r>
        <w:rPr>
          <w:rFonts w:cs="Arial"/>
        </w:rPr>
        <w:t>e</w:t>
      </w:r>
      <w:r w:rsidR="009B22B2">
        <w:rPr>
          <w:rFonts w:cs="Arial"/>
        </w:rPr>
        <w:t>s</w:t>
      </w:r>
      <w:r w:rsidR="00C649C4">
        <w:rPr>
          <w:rFonts w:cs="Arial"/>
        </w:rPr>
        <w:t xml:space="preserve"> from </w:t>
      </w:r>
      <w:r w:rsidR="00B53EA6">
        <w:rPr>
          <w:rFonts w:cs="Arial"/>
        </w:rPr>
        <w:t>15-</w:t>
      </w:r>
      <w:r>
        <w:rPr>
          <w:rFonts w:cs="Arial"/>
        </w:rPr>
        <w:t>40</w:t>
      </w:r>
      <w:r w:rsidR="00B53EA6">
        <w:rPr>
          <w:rFonts w:cs="Arial"/>
        </w:rPr>
        <w:t>%</w:t>
      </w:r>
      <w:r w:rsidR="00C649C4">
        <w:rPr>
          <w:rFonts w:cs="Arial"/>
        </w:rPr>
        <w:t xml:space="preserve"> </w:t>
      </w:r>
      <w:r>
        <w:rPr>
          <w:rFonts w:cs="Arial"/>
        </w:rPr>
        <w:t xml:space="preserve">(Hing et al., 2020; </w:t>
      </w:r>
      <w:r w:rsidRPr="00F00B10">
        <w:rPr>
          <w:rFonts w:cs="Arial"/>
        </w:rPr>
        <w:t>King et al., 2014</w:t>
      </w:r>
      <w:r>
        <w:rPr>
          <w:rFonts w:cs="Arial"/>
        </w:rPr>
        <w:t xml:space="preserve">; Warren &amp; Yu, 2019). </w:t>
      </w:r>
      <w:r w:rsidR="00AA7A61">
        <w:rPr>
          <w:rFonts w:cs="Arial"/>
        </w:rPr>
        <w:t xml:space="preserve">Factors associated with participation in </w:t>
      </w:r>
      <w:r w:rsidR="00C649C4">
        <w:rPr>
          <w:rFonts w:cs="Arial"/>
        </w:rPr>
        <w:t xml:space="preserve">simulated gambling </w:t>
      </w:r>
      <w:r w:rsidR="00AA7A61">
        <w:rPr>
          <w:rFonts w:cs="Arial"/>
        </w:rPr>
        <w:t>among adolescents include</w:t>
      </w:r>
      <w:r w:rsidR="00AA7A61" w:rsidRPr="00DB3A53">
        <w:rPr>
          <w:rFonts w:cs="Arial"/>
        </w:rPr>
        <w:t xml:space="preserve"> being male, lower wellbeing, higher impulsiveness, parents </w:t>
      </w:r>
      <w:r w:rsidR="00AA7A61">
        <w:rPr>
          <w:rFonts w:cs="Arial"/>
        </w:rPr>
        <w:t>not</w:t>
      </w:r>
      <w:r w:rsidR="00AA7A61" w:rsidRPr="00DB3A53">
        <w:rPr>
          <w:rFonts w:cs="Arial"/>
        </w:rPr>
        <w:t xml:space="preserve"> talk</w:t>
      </w:r>
      <w:r w:rsidR="00AA7A61">
        <w:rPr>
          <w:rFonts w:cs="Arial"/>
        </w:rPr>
        <w:t>ing</w:t>
      </w:r>
      <w:r w:rsidR="00AA7A61" w:rsidRPr="00DB3A53">
        <w:rPr>
          <w:rFonts w:cs="Arial"/>
        </w:rPr>
        <w:t xml:space="preserve"> about safety online, parents not set</w:t>
      </w:r>
      <w:r w:rsidR="00AA7A61">
        <w:rPr>
          <w:rFonts w:cs="Arial"/>
        </w:rPr>
        <w:t>ting</w:t>
      </w:r>
      <w:r w:rsidR="00AA7A61" w:rsidRPr="00DB3A53">
        <w:rPr>
          <w:rFonts w:cs="Arial"/>
        </w:rPr>
        <w:t xml:space="preserve"> rules about online use, feeling a strong sense of belonging to an online community</w:t>
      </w:r>
      <w:r w:rsidR="00AA7A61">
        <w:rPr>
          <w:rFonts w:cs="Arial"/>
        </w:rPr>
        <w:t xml:space="preserve">, and </w:t>
      </w:r>
      <w:r w:rsidR="00AA7A61" w:rsidRPr="00C51D0C">
        <w:rPr>
          <w:rFonts w:cs="Arial"/>
        </w:rPr>
        <w:t>gambling</w:t>
      </w:r>
      <w:r w:rsidR="00C649C4">
        <w:rPr>
          <w:rFonts w:cs="Arial"/>
        </w:rPr>
        <w:t xml:space="preserve"> </w:t>
      </w:r>
      <w:r w:rsidR="003551FC">
        <w:rPr>
          <w:rFonts w:cs="Arial"/>
        </w:rPr>
        <w:t xml:space="preserve">with money </w:t>
      </w:r>
      <w:r w:rsidR="00C649C4">
        <w:rPr>
          <w:rFonts w:cs="Arial"/>
        </w:rPr>
        <w:t xml:space="preserve">in the </w:t>
      </w:r>
      <w:r w:rsidR="006803E0">
        <w:rPr>
          <w:rFonts w:cs="Arial"/>
        </w:rPr>
        <w:t>p</w:t>
      </w:r>
      <w:r w:rsidR="00AA7A61" w:rsidRPr="00C51D0C">
        <w:rPr>
          <w:rFonts w:cs="Arial"/>
        </w:rPr>
        <w:t>ast</w:t>
      </w:r>
      <w:r w:rsidR="00C649C4">
        <w:rPr>
          <w:rFonts w:cs="Arial"/>
        </w:rPr>
        <w:t xml:space="preserve"> 12 months</w:t>
      </w:r>
      <w:r w:rsidR="00AA7A61" w:rsidRPr="00C51D0C">
        <w:rPr>
          <w:rFonts w:cs="Arial"/>
        </w:rPr>
        <w:t xml:space="preserve"> </w:t>
      </w:r>
      <w:r w:rsidR="00AA7A61">
        <w:rPr>
          <w:rFonts w:cs="Arial"/>
        </w:rPr>
        <w:t>(</w:t>
      </w:r>
      <w:r w:rsidR="005B0E50">
        <w:rPr>
          <w:rFonts w:cs="Arial"/>
        </w:rPr>
        <w:t>Hing et al., 2020</w:t>
      </w:r>
      <w:r w:rsidR="00AA7A61">
        <w:rPr>
          <w:rFonts w:cs="Arial"/>
        </w:rPr>
        <w:t xml:space="preserve">; </w:t>
      </w:r>
      <w:r w:rsidR="00AA7A61" w:rsidRPr="00F00B10">
        <w:rPr>
          <w:rFonts w:cs="Arial"/>
        </w:rPr>
        <w:t>King et al., 2014</w:t>
      </w:r>
      <w:r w:rsidR="00AA7A61">
        <w:rPr>
          <w:rFonts w:cs="Arial"/>
        </w:rPr>
        <w:t xml:space="preserve">; Warren &amp; Yu, 2019). </w:t>
      </w:r>
    </w:p>
    <w:p w14:paraId="49545979" w14:textId="0DE571D0" w:rsidR="00A537F1" w:rsidRDefault="00DE6C72" w:rsidP="00897FF2">
      <w:pPr>
        <w:pStyle w:val="BodyText"/>
        <w:rPr>
          <w:rFonts w:cs="Arial"/>
        </w:rPr>
      </w:pPr>
      <w:r>
        <w:rPr>
          <w:rFonts w:cs="Arial"/>
        </w:rPr>
        <w:t>The</w:t>
      </w:r>
      <w:r w:rsidR="00DA3F26">
        <w:rPr>
          <w:rFonts w:cs="Arial"/>
        </w:rPr>
        <w:t xml:space="preserve"> </w:t>
      </w:r>
      <w:r w:rsidR="00D04ED5">
        <w:rPr>
          <w:rFonts w:cs="Arial"/>
        </w:rPr>
        <w:t xml:space="preserve">main </w:t>
      </w:r>
      <w:r w:rsidR="00DA3F26">
        <w:rPr>
          <w:rFonts w:cs="Arial"/>
        </w:rPr>
        <w:t xml:space="preserve">form </w:t>
      </w:r>
      <w:r w:rsidR="00E62BA9">
        <w:rPr>
          <w:rFonts w:cs="Arial"/>
        </w:rPr>
        <w:t xml:space="preserve">of simulated gambling is </w:t>
      </w:r>
      <w:r w:rsidR="00DB150B">
        <w:rPr>
          <w:rFonts w:cs="Arial"/>
        </w:rPr>
        <w:t xml:space="preserve">social casino games. </w:t>
      </w:r>
      <w:r w:rsidR="008F3EFB" w:rsidRPr="008A1A95">
        <w:rPr>
          <w:rFonts w:cs="Arial"/>
        </w:rPr>
        <w:t xml:space="preserve">The 2019 Australian Interactive Gambling Study </w:t>
      </w:r>
      <w:r w:rsidRPr="00DE6C72">
        <w:rPr>
          <w:rFonts w:cs="Arial"/>
        </w:rPr>
        <w:t>(Hing et al., 2021</w:t>
      </w:r>
      <w:r>
        <w:rPr>
          <w:rFonts w:cs="Arial"/>
        </w:rPr>
        <w:t xml:space="preserve">) </w:t>
      </w:r>
      <w:r w:rsidR="008F3EFB" w:rsidRPr="008A1A95">
        <w:rPr>
          <w:rFonts w:cs="Arial"/>
        </w:rPr>
        <w:t xml:space="preserve">found that </w:t>
      </w:r>
      <w:r w:rsidR="00076BDD">
        <w:rPr>
          <w:rFonts w:cs="Arial"/>
        </w:rPr>
        <w:t xml:space="preserve">online </w:t>
      </w:r>
      <w:r w:rsidR="008F3EFB" w:rsidRPr="008A1A95">
        <w:rPr>
          <w:rFonts w:cs="Arial"/>
        </w:rPr>
        <w:t xml:space="preserve">gamblers were significantly more likely than </w:t>
      </w:r>
      <w:r w:rsidR="00992E8A">
        <w:rPr>
          <w:rFonts w:cs="Arial"/>
        </w:rPr>
        <w:t xml:space="preserve">land-based </w:t>
      </w:r>
      <w:r w:rsidR="008F3EFB" w:rsidRPr="008A1A95">
        <w:rPr>
          <w:rFonts w:cs="Arial"/>
        </w:rPr>
        <w:t>gamblers to play social casino games.</w:t>
      </w:r>
      <w:r w:rsidR="008F3EFB">
        <w:rPr>
          <w:rFonts w:cs="Arial"/>
        </w:rPr>
        <w:t xml:space="preserve"> Other Australian studies </w:t>
      </w:r>
      <w:r w:rsidR="00C4770C">
        <w:rPr>
          <w:rFonts w:cs="Arial"/>
        </w:rPr>
        <w:t xml:space="preserve">with adolescents and adults </w:t>
      </w:r>
      <w:r w:rsidR="008F3EFB">
        <w:rPr>
          <w:rFonts w:cs="Arial"/>
        </w:rPr>
        <w:t>have examined differences between social casino game users who make in-game purchases</w:t>
      </w:r>
      <w:r w:rsidR="00323C34">
        <w:rPr>
          <w:rFonts w:cs="Arial"/>
        </w:rPr>
        <w:t>, compared to</w:t>
      </w:r>
      <w:r w:rsidR="008F3EFB">
        <w:rPr>
          <w:rFonts w:cs="Arial"/>
        </w:rPr>
        <w:t xml:space="preserve"> those who do not (</w:t>
      </w:r>
      <w:proofErr w:type="spellStart"/>
      <w:r w:rsidR="008F3EFB">
        <w:rPr>
          <w:rFonts w:cs="Arial"/>
        </w:rPr>
        <w:t>Gainsbury</w:t>
      </w:r>
      <w:proofErr w:type="spellEnd"/>
      <w:r w:rsidR="00200407">
        <w:rPr>
          <w:rFonts w:cs="Arial"/>
        </w:rPr>
        <w:t>, King</w:t>
      </w:r>
      <w:r w:rsidR="008F3EFB">
        <w:rPr>
          <w:rFonts w:cs="Arial"/>
        </w:rPr>
        <w:t xml:space="preserve"> et al., 2016; King et al., 2016). </w:t>
      </w:r>
      <w:r w:rsidR="00323C34">
        <w:rPr>
          <w:rFonts w:cs="Arial"/>
        </w:rPr>
        <w:t>One</w:t>
      </w:r>
      <w:r w:rsidR="008F3EFB">
        <w:rPr>
          <w:rFonts w:cs="Arial"/>
        </w:rPr>
        <w:t xml:space="preserve"> study of adolescent social casino game users found </w:t>
      </w:r>
      <w:r w:rsidR="00323C34">
        <w:rPr>
          <w:rFonts w:cs="Arial"/>
        </w:rPr>
        <w:t xml:space="preserve">that </w:t>
      </w:r>
      <w:r w:rsidR="008F3EFB">
        <w:rPr>
          <w:rFonts w:cs="Arial"/>
        </w:rPr>
        <w:t>participants who ma</w:t>
      </w:r>
      <w:r w:rsidR="00F026A2">
        <w:rPr>
          <w:rFonts w:cs="Arial"/>
        </w:rPr>
        <w:t>d</w:t>
      </w:r>
      <w:r w:rsidR="008F3EFB">
        <w:rPr>
          <w:rFonts w:cs="Arial"/>
        </w:rPr>
        <w:t xml:space="preserve">e in-game purchases were significantly more likely to be male, play social casino games </w:t>
      </w:r>
      <w:r w:rsidR="008F3EFB">
        <w:t>more frequently, and engage in more social casino games activities</w:t>
      </w:r>
      <w:r w:rsidR="00323C34">
        <w:t>, compared to those who d</w:t>
      </w:r>
      <w:r w:rsidR="00F026A2">
        <w:t>id</w:t>
      </w:r>
      <w:r w:rsidR="00323C34">
        <w:t xml:space="preserve"> not make purchases</w:t>
      </w:r>
      <w:r w:rsidR="008F3EFB">
        <w:t xml:space="preserve"> (King et al., 2016). </w:t>
      </w:r>
      <w:r w:rsidR="00323C34">
        <w:t>Another study</w:t>
      </w:r>
      <w:r w:rsidR="0051326D">
        <w:t xml:space="preserve"> with </w:t>
      </w:r>
      <w:r w:rsidR="008F3EFB">
        <w:t xml:space="preserve">adult social casino game users found those making in-game purchases were more likely </w:t>
      </w:r>
      <w:r w:rsidR="00710516">
        <w:t xml:space="preserve">than non-purchasers </w:t>
      </w:r>
      <w:r w:rsidR="008F3EFB">
        <w:t xml:space="preserve">to be male, younger, </w:t>
      </w:r>
      <w:r w:rsidR="008F3EFB">
        <w:rPr>
          <w:rFonts w:cs="Arial"/>
        </w:rPr>
        <w:t xml:space="preserve">speak a language other than English, have a university education, </w:t>
      </w:r>
      <w:r w:rsidR="007A293A">
        <w:rPr>
          <w:rFonts w:cs="Arial"/>
        </w:rPr>
        <w:t xml:space="preserve">have </w:t>
      </w:r>
      <w:r w:rsidR="008F3EFB" w:rsidRPr="0075674D">
        <w:rPr>
          <w:rFonts w:cs="Arial"/>
        </w:rPr>
        <w:t>started playing social casino games earlier, use social features on social casino games</w:t>
      </w:r>
      <w:r w:rsidR="008F3EFB">
        <w:rPr>
          <w:rFonts w:cs="Arial"/>
        </w:rPr>
        <w:t>, and</w:t>
      </w:r>
      <w:r w:rsidR="008F3EFB" w:rsidRPr="0075674D">
        <w:rPr>
          <w:rFonts w:cs="Arial"/>
        </w:rPr>
        <w:t xml:space="preserve"> </w:t>
      </w:r>
      <w:r w:rsidR="008F3EFB">
        <w:rPr>
          <w:rFonts w:cs="Arial"/>
        </w:rPr>
        <w:t>be more highly involved players (frequency, length, forms)</w:t>
      </w:r>
      <w:r w:rsidR="008F3EFB" w:rsidRPr="00EF5365">
        <w:rPr>
          <w:rFonts w:cs="Arial"/>
        </w:rPr>
        <w:t xml:space="preserve"> </w:t>
      </w:r>
      <w:r w:rsidR="008F3EFB">
        <w:rPr>
          <w:rFonts w:cs="Arial"/>
        </w:rPr>
        <w:t>(</w:t>
      </w:r>
      <w:proofErr w:type="spellStart"/>
      <w:r w:rsidR="008F3EFB">
        <w:rPr>
          <w:rFonts w:cs="Arial"/>
        </w:rPr>
        <w:t>Gainsbury</w:t>
      </w:r>
      <w:proofErr w:type="spellEnd"/>
      <w:r w:rsidR="00200407">
        <w:rPr>
          <w:rFonts w:cs="Arial"/>
        </w:rPr>
        <w:t>, King</w:t>
      </w:r>
      <w:r w:rsidR="008F3EFB">
        <w:rPr>
          <w:rFonts w:cs="Arial"/>
        </w:rPr>
        <w:t xml:space="preserve"> et al., 2016). </w:t>
      </w:r>
      <w:r w:rsidR="00B64C68">
        <w:rPr>
          <w:rFonts w:cs="Arial"/>
        </w:rPr>
        <w:t xml:space="preserve">The few studies that have </w:t>
      </w:r>
      <w:r w:rsidR="00323C34">
        <w:rPr>
          <w:rFonts w:cs="Arial"/>
        </w:rPr>
        <w:t>examined</w:t>
      </w:r>
      <w:r w:rsidR="00510630">
        <w:rPr>
          <w:rFonts w:cs="Arial"/>
        </w:rPr>
        <w:t xml:space="preserve"> in-game expenditure </w:t>
      </w:r>
      <w:r w:rsidR="00333438">
        <w:rPr>
          <w:rFonts w:cs="Arial"/>
        </w:rPr>
        <w:t>for social casino games</w:t>
      </w:r>
      <w:r w:rsidR="00414C6E">
        <w:rPr>
          <w:rFonts w:cs="Arial"/>
        </w:rPr>
        <w:t xml:space="preserve"> </w:t>
      </w:r>
      <w:r w:rsidR="00B64C68">
        <w:rPr>
          <w:rFonts w:cs="Arial"/>
        </w:rPr>
        <w:t>found</w:t>
      </w:r>
      <w:r w:rsidR="00AA5C81">
        <w:rPr>
          <w:rFonts w:cs="Arial"/>
        </w:rPr>
        <w:t xml:space="preserve"> the median spend </w:t>
      </w:r>
      <w:r w:rsidR="00B64C68">
        <w:rPr>
          <w:rFonts w:cs="Arial"/>
        </w:rPr>
        <w:t>was</w:t>
      </w:r>
      <w:r w:rsidR="00AA5C81">
        <w:rPr>
          <w:rFonts w:cs="Arial"/>
        </w:rPr>
        <w:t xml:space="preserve"> </w:t>
      </w:r>
      <w:r w:rsidR="00F026A2">
        <w:rPr>
          <w:rFonts w:cs="Arial"/>
        </w:rPr>
        <w:t>around</w:t>
      </w:r>
      <w:r w:rsidR="00AA5C81">
        <w:rPr>
          <w:rFonts w:cs="Arial"/>
        </w:rPr>
        <w:t xml:space="preserve"> $15 </w:t>
      </w:r>
      <w:r w:rsidR="00A17D8B">
        <w:rPr>
          <w:rFonts w:cs="Arial"/>
        </w:rPr>
        <w:t xml:space="preserve">per month for </w:t>
      </w:r>
      <w:r w:rsidR="00323C34">
        <w:rPr>
          <w:rFonts w:cs="Arial"/>
        </w:rPr>
        <w:t>adolescents and</w:t>
      </w:r>
      <w:r w:rsidR="000F7677">
        <w:rPr>
          <w:rFonts w:cs="Arial"/>
        </w:rPr>
        <w:t xml:space="preserve"> adults aged 18-</w:t>
      </w:r>
      <w:r w:rsidR="00BB372C">
        <w:rPr>
          <w:rFonts w:cs="Arial"/>
        </w:rPr>
        <w:t>-29 years (</w:t>
      </w:r>
      <w:r w:rsidR="00B64C68">
        <w:rPr>
          <w:rFonts w:cs="Arial"/>
        </w:rPr>
        <w:t xml:space="preserve">King </w:t>
      </w:r>
      <w:r w:rsidR="00323C34">
        <w:rPr>
          <w:rFonts w:cs="Arial"/>
        </w:rPr>
        <w:t>et al.,</w:t>
      </w:r>
      <w:r w:rsidR="0071132B">
        <w:rPr>
          <w:rFonts w:cs="Arial"/>
        </w:rPr>
        <w:t xml:space="preserve"> </w:t>
      </w:r>
      <w:r w:rsidR="0035476C">
        <w:rPr>
          <w:rFonts w:cs="Arial"/>
        </w:rPr>
        <w:t xml:space="preserve">2016; </w:t>
      </w:r>
      <w:r w:rsidR="00BB372C">
        <w:rPr>
          <w:rFonts w:cs="Arial"/>
        </w:rPr>
        <w:t>Russell et al., 2020).</w:t>
      </w:r>
    </w:p>
    <w:p w14:paraId="4C37FF72" w14:textId="7352B14B" w:rsidR="00DC50C4" w:rsidRDefault="00DE3DF1" w:rsidP="00DC50C4">
      <w:pPr>
        <w:pStyle w:val="Heading3"/>
      </w:pPr>
      <w:r>
        <w:t>Other i</w:t>
      </w:r>
      <w:r w:rsidR="00D835F5">
        <w:t>n-game purchases</w:t>
      </w:r>
    </w:p>
    <w:p w14:paraId="1B4F91A8" w14:textId="157B3579" w:rsidR="00DC50C4" w:rsidRDefault="001E2288" w:rsidP="00897FF2">
      <w:pPr>
        <w:pStyle w:val="BodyText"/>
        <w:rPr>
          <w:rFonts w:cs="Arial"/>
        </w:rPr>
      </w:pPr>
      <w:r>
        <w:t>Australian r</w:t>
      </w:r>
      <w:r w:rsidR="0009532B">
        <w:t>esearch on in-game purchases</w:t>
      </w:r>
      <w:r>
        <w:t xml:space="preserve"> </w:t>
      </w:r>
      <w:r w:rsidR="00FF7E79">
        <w:t>separate to</w:t>
      </w:r>
      <w:r>
        <w:t xml:space="preserve"> buying loot boxes or spending </w:t>
      </w:r>
      <w:r w:rsidR="00B83D25">
        <w:t>money on simulated gambling games is relatively s</w:t>
      </w:r>
      <w:r w:rsidR="0023140A">
        <w:t>c</w:t>
      </w:r>
      <w:r w:rsidR="00B83D25">
        <w:t xml:space="preserve">arce. </w:t>
      </w:r>
      <w:r w:rsidR="00C202E1">
        <w:t xml:space="preserve">A nationally representative study </w:t>
      </w:r>
      <w:r w:rsidR="00D54D27">
        <w:t xml:space="preserve">conducted in 2017 </w:t>
      </w:r>
      <w:r w:rsidR="00C66FF5">
        <w:t>with Australian youth</w:t>
      </w:r>
      <w:r w:rsidR="00E17401">
        <w:t xml:space="preserve"> aged</w:t>
      </w:r>
      <w:r w:rsidR="00C66FF5">
        <w:t xml:space="preserve"> 8</w:t>
      </w:r>
      <w:r w:rsidR="00E17401">
        <w:t>–</w:t>
      </w:r>
      <w:r w:rsidR="00C66FF5">
        <w:t xml:space="preserve">17 years found that 34% </w:t>
      </w:r>
      <w:r w:rsidR="00F026A2">
        <w:t>reported having</w:t>
      </w:r>
      <w:r w:rsidR="00C66FF5">
        <w:t xml:space="preserve"> made in-game purchases in the previous 12-months (Office of the </w:t>
      </w:r>
      <w:proofErr w:type="spellStart"/>
      <w:r w:rsidR="00C66FF5">
        <w:t>eSafety</w:t>
      </w:r>
      <w:proofErr w:type="spellEnd"/>
      <w:r w:rsidR="00C66FF5">
        <w:t xml:space="preserve"> Commiss</w:t>
      </w:r>
      <w:r w:rsidR="00832FB1">
        <w:t xml:space="preserve">ioner, 2018). </w:t>
      </w:r>
      <w:r w:rsidR="00070F13">
        <w:t xml:space="preserve">In this sample, in-game purchases were </w:t>
      </w:r>
      <w:r w:rsidR="00B204A6">
        <w:t>more common</w:t>
      </w:r>
      <w:r w:rsidR="00070F13">
        <w:t xml:space="preserve"> </w:t>
      </w:r>
      <w:r w:rsidR="00F9001D">
        <w:t>among</w:t>
      </w:r>
      <w:r w:rsidR="00070F13">
        <w:t xml:space="preserve"> adolescents (</w:t>
      </w:r>
      <w:r w:rsidR="00182757">
        <w:t>38%)</w:t>
      </w:r>
      <w:r w:rsidR="00070F13">
        <w:t xml:space="preserve"> than </w:t>
      </w:r>
      <w:r w:rsidR="00FF7E79">
        <w:t xml:space="preserve">younger </w:t>
      </w:r>
      <w:r w:rsidR="00182757">
        <w:t>children (</w:t>
      </w:r>
      <w:r w:rsidR="002C6BC2">
        <w:t>32%)</w:t>
      </w:r>
      <w:r w:rsidR="00ED1861">
        <w:t>, and males (</w:t>
      </w:r>
      <w:r w:rsidR="009B5A27">
        <w:t xml:space="preserve">51%) </w:t>
      </w:r>
      <w:r w:rsidR="006A3F80">
        <w:t>compared to</w:t>
      </w:r>
      <w:r w:rsidR="009B5A27">
        <w:t xml:space="preserve"> females (</w:t>
      </w:r>
      <w:r w:rsidR="00BF5C0A">
        <w:t>34%).</w:t>
      </w:r>
      <w:r w:rsidR="005F317D">
        <w:t xml:space="preserve"> </w:t>
      </w:r>
      <w:r w:rsidR="00BD402F">
        <w:t xml:space="preserve">In 2019, the annual Digital Australia </w:t>
      </w:r>
      <w:r w:rsidR="00571A38">
        <w:t>study</w:t>
      </w:r>
      <w:r w:rsidR="00BD402F">
        <w:t xml:space="preserve"> </w:t>
      </w:r>
      <w:r w:rsidR="008F369B">
        <w:t xml:space="preserve">found that </w:t>
      </w:r>
      <w:r w:rsidR="0098761E">
        <w:t>65%</w:t>
      </w:r>
      <w:r w:rsidR="0028361D">
        <w:t xml:space="preserve"> of Australian </w:t>
      </w:r>
      <w:r w:rsidR="00B12FDF">
        <w:t xml:space="preserve">adult </w:t>
      </w:r>
      <w:r w:rsidR="00A670AF">
        <w:t>video-</w:t>
      </w:r>
      <w:r w:rsidR="0028361D">
        <w:t xml:space="preserve">gamers </w:t>
      </w:r>
      <w:r w:rsidR="00FF7E79">
        <w:t xml:space="preserve">reported having </w:t>
      </w:r>
      <w:r w:rsidR="0028361D">
        <w:t>made in-game purchases for themselves</w:t>
      </w:r>
      <w:r w:rsidR="006A3F80">
        <w:t>,</w:t>
      </w:r>
      <w:r w:rsidR="0028361D">
        <w:t xml:space="preserve"> and 40% for others (e.g. their children) (Brand</w:t>
      </w:r>
      <w:r w:rsidR="00A90CF1">
        <w:t>, Jervis, Huggins, &amp; Wilson, 2020).</w:t>
      </w:r>
      <w:r w:rsidR="00F26560">
        <w:t xml:space="preserve"> </w:t>
      </w:r>
      <w:r w:rsidR="00030B8B">
        <w:t xml:space="preserve">A recent study with NSW adolescents </w:t>
      </w:r>
      <w:r w:rsidR="00323C34">
        <w:t xml:space="preserve">aged </w:t>
      </w:r>
      <w:r w:rsidR="00030B8B">
        <w:t xml:space="preserve">12-17 years </w:t>
      </w:r>
      <w:r w:rsidR="00EA7A6D">
        <w:t xml:space="preserve">reported a median expenditure of $10 per month on </w:t>
      </w:r>
      <w:r w:rsidR="002D232E">
        <w:t>in-game purchases</w:t>
      </w:r>
      <w:r w:rsidR="000A66AC">
        <w:t xml:space="preserve">, </w:t>
      </w:r>
      <w:r w:rsidR="00FF7E79">
        <w:t>excluding money spent</w:t>
      </w:r>
      <w:r w:rsidR="000A66AC">
        <w:t xml:space="preserve"> on loot boxes (Hing et al., 2020).</w:t>
      </w:r>
    </w:p>
    <w:p w14:paraId="56939A52" w14:textId="77777777" w:rsidR="00CB423E" w:rsidRDefault="00CB423E" w:rsidP="00CB423E">
      <w:pPr>
        <w:pStyle w:val="Heading2"/>
      </w:pPr>
      <w:bookmarkStart w:id="13" w:name="_Toc97649951"/>
      <w:bookmarkStart w:id="14" w:name="_Toc106359504"/>
      <w:r>
        <w:t>Motivations</w:t>
      </w:r>
      <w:r w:rsidR="00911D1D">
        <w:t xml:space="preserve"> </w:t>
      </w:r>
      <w:r w:rsidR="00930B28">
        <w:t>for use</w:t>
      </w:r>
      <w:bookmarkEnd w:id="13"/>
      <w:bookmarkEnd w:id="14"/>
    </w:p>
    <w:p w14:paraId="062E5D40" w14:textId="6EF4935D" w:rsidR="003F2F3A" w:rsidRDefault="003F2F3A" w:rsidP="003F2F3A">
      <w:pPr>
        <w:pStyle w:val="Heading3"/>
      </w:pPr>
      <w:r>
        <w:t>Loot boxes</w:t>
      </w:r>
    </w:p>
    <w:p w14:paraId="4243E3B0" w14:textId="45FBDF96" w:rsidR="001D65C6" w:rsidRDefault="00470110" w:rsidP="00FF7E79">
      <w:pPr>
        <w:pStyle w:val="BodyText"/>
      </w:pPr>
      <w:r>
        <w:t xml:space="preserve">The most common motivations for loot box engagement </w:t>
      </w:r>
      <w:r w:rsidR="00102E07">
        <w:t xml:space="preserve">reported in </w:t>
      </w:r>
      <w:r w:rsidR="00FF7E79">
        <w:t xml:space="preserve">the </w:t>
      </w:r>
      <w:r w:rsidR="00102E07">
        <w:t xml:space="preserve">Australian and </w:t>
      </w:r>
      <w:r w:rsidR="006A4A8E">
        <w:t xml:space="preserve">international </w:t>
      </w:r>
      <w:r w:rsidR="00323C34">
        <w:t>literature</w:t>
      </w:r>
      <w:r w:rsidR="006A4A8E">
        <w:t xml:space="preserve"> include:</w:t>
      </w:r>
    </w:p>
    <w:p w14:paraId="20690944" w14:textId="64A5556A" w:rsidR="007C2B66" w:rsidRDefault="007C2B66" w:rsidP="0076320B">
      <w:pPr>
        <w:pStyle w:val="ListBullet"/>
      </w:pPr>
      <w:r>
        <w:t>To obtain items</w:t>
      </w:r>
      <w:r w:rsidR="006E5CC0">
        <w:t xml:space="preserve"> for </w:t>
      </w:r>
      <w:r w:rsidR="0026411C">
        <w:t>cosmetic</w:t>
      </w:r>
      <w:r w:rsidR="006E5CC0">
        <w:t xml:space="preserve"> reasons</w:t>
      </w:r>
      <w:r w:rsidR="00323C34">
        <w:t xml:space="preserve"> </w:t>
      </w:r>
      <w:r w:rsidR="00310AA5">
        <w:t>(</w:t>
      </w:r>
      <w:r w:rsidR="006E5CC0">
        <w:t xml:space="preserve">e.g., </w:t>
      </w:r>
      <w:r w:rsidR="00126809">
        <w:t>skins</w:t>
      </w:r>
      <w:r w:rsidR="0026411C">
        <w:t>) or</w:t>
      </w:r>
      <w:r w:rsidR="00310AA5">
        <w:t xml:space="preserve"> to collect rare</w:t>
      </w:r>
      <w:r w:rsidR="0026411C">
        <w:t xml:space="preserve"> items of </w:t>
      </w:r>
      <w:r w:rsidR="00310AA5">
        <w:t>value (</w:t>
      </w:r>
      <w:r w:rsidR="00126809">
        <w:t xml:space="preserve">Hing et al., 2020; </w:t>
      </w:r>
      <w:proofErr w:type="spellStart"/>
      <w:r w:rsidR="00126809">
        <w:t>Rockloff</w:t>
      </w:r>
      <w:proofErr w:type="spellEnd"/>
      <w:r w:rsidR="00126809">
        <w:t xml:space="preserve"> et al., 2020</w:t>
      </w:r>
      <w:r w:rsidR="009C60AE">
        <w:t xml:space="preserve">; </w:t>
      </w:r>
      <w:proofErr w:type="spellStart"/>
      <w:r w:rsidR="009C60AE">
        <w:t>Zendle</w:t>
      </w:r>
      <w:proofErr w:type="spellEnd"/>
      <w:r w:rsidR="009C60AE">
        <w:t>, Meyer, &amp; Over, 2019</w:t>
      </w:r>
      <w:r w:rsidR="00126809">
        <w:t>)</w:t>
      </w:r>
    </w:p>
    <w:p w14:paraId="56969CBD" w14:textId="77777777" w:rsidR="0037568F" w:rsidRDefault="0037568F" w:rsidP="0076320B">
      <w:pPr>
        <w:pStyle w:val="ListBullet"/>
      </w:pPr>
      <w:r>
        <w:t xml:space="preserve">Excitement of unboxing items (Nicklin et al., 2021; </w:t>
      </w:r>
      <w:proofErr w:type="spellStart"/>
      <w:r>
        <w:t>Rockloff</w:t>
      </w:r>
      <w:proofErr w:type="spellEnd"/>
      <w:r>
        <w:t xml:space="preserve"> et al., 2020; </w:t>
      </w:r>
      <w:proofErr w:type="spellStart"/>
      <w:r>
        <w:t>Zendle</w:t>
      </w:r>
      <w:proofErr w:type="spellEnd"/>
      <w:r>
        <w:t>, Meyer, &amp; Over, 2019)</w:t>
      </w:r>
    </w:p>
    <w:p w14:paraId="2C938947" w14:textId="77777777" w:rsidR="006A3F80" w:rsidRDefault="006A3F80" w:rsidP="0076320B">
      <w:pPr>
        <w:pStyle w:val="ListBullet"/>
      </w:pPr>
      <w:r>
        <w:lastRenderedPageBreak/>
        <w:t xml:space="preserve">Gameplay progression (Hing et al., 2020; Nicklin et al., 2021; </w:t>
      </w:r>
      <w:proofErr w:type="spellStart"/>
      <w:r>
        <w:t>Rockloff</w:t>
      </w:r>
      <w:proofErr w:type="spellEnd"/>
      <w:r>
        <w:t xml:space="preserve"> et al., 2020; </w:t>
      </w:r>
      <w:proofErr w:type="spellStart"/>
      <w:r>
        <w:t>Zendle</w:t>
      </w:r>
      <w:proofErr w:type="spellEnd"/>
      <w:r>
        <w:t>, Meyer, &amp; Over, 2019)</w:t>
      </w:r>
    </w:p>
    <w:p w14:paraId="3306311A" w14:textId="77777777" w:rsidR="006A3F80" w:rsidRDefault="006A3F80" w:rsidP="0076320B">
      <w:pPr>
        <w:pStyle w:val="ListBullet"/>
      </w:pPr>
      <w:r>
        <w:t xml:space="preserve">Receiving in-game currency (Hing et al., 2020; </w:t>
      </w:r>
      <w:proofErr w:type="spellStart"/>
      <w:r>
        <w:t>Rockloff</w:t>
      </w:r>
      <w:proofErr w:type="spellEnd"/>
      <w:r>
        <w:t xml:space="preserve"> et al., 2020)</w:t>
      </w:r>
    </w:p>
    <w:p w14:paraId="0F9670CA" w14:textId="77777777" w:rsidR="006A3F80" w:rsidRDefault="006A3F80" w:rsidP="0076320B">
      <w:pPr>
        <w:pStyle w:val="ListBullet"/>
      </w:pPr>
      <w:r>
        <w:t xml:space="preserve">Competitive gameplay advantages/pay-to-win (Hing et al., 2020; Nicklin et al., 2021; </w:t>
      </w:r>
      <w:proofErr w:type="spellStart"/>
      <w:r>
        <w:t>Rockloff</w:t>
      </w:r>
      <w:proofErr w:type="spellEnd"/>
      <w:r>
        <w:t xml:space="preserve"> et al., 2020; </w:t>
      </w:r>
      <w:proofErr w:type="spellStart"/>
      <w:r>
        <w:t>Zendle</w:t>
      </w:r>
      <w:proofErr w:type="spellEnd"/>
      <w:r>
        <w:t>, Meyer, &amp; Over, 2019)</w:t>
      </w:r>
    </w:p>
    <w:p w14:paraId="3240BE60" w14:textId="28F8CFB5" w:rsidR="0037568F" w:rsidRDefault="0037568F" w:rsidP="0076320B">
      <w:pPr>
        <w:pStyle w:val="ListBullet"/>
      </w:pPr>
      <w:r>
        <w:t xml:space="preserve">Social influences (e.g., </w:t>
      </w:r>
      <w:r w:rsidR="001775A1">
        <w:t xml:space="preserve">peer engagement, </w:t>
      </w:r>
      <w:r>
        <w:t>status/</w:t>
      </w:r>
      <w:r w:rsidR="001775A1">
        <w:t>esteem,</w:t>
      </w:r>
      <w:r>
        <w:t xml:space="preserve"> because of streamers/pro gamers)</w:t>
      </w:r>
      <w:r w:rsidR="00760076">
        <w:t xml:space="preserve"> (Nicklin et al., 2021; </w:t>
      </w:r>
      <w:proofErr w:type="spellStart"/>
      <w:r w:rsidR="00760076">
        <w:t>Rockloff</w:t>
      </w:r>
      <w:proofErr w:type="spellEnd"/>
      <w:r w:rsidR="00760076">
        <w:t xml:space="preserve"> et al., 2020)</w:t>
      </w:r>
    </w:p>
    <w:p w14:paraId="07D284E3" w14:textId="509E2F8F" w:rsidR="0037568F" w:rsidRDefault="0037568F" w:rsidP="0076320B">
      <w:pPr>
        <w:pStyle w:val="ListBullet"/>
      </w:pPr>
      <w:r>
        <w:t>Invest</w:t>
      </w:r>
      <w:r w:rsidR="006A3F80">
        <w:t>ment</w:t>
      </w:r>
      <w:r>
        <w:t xml:space="preserve"> in games</w:t>
      </w:r>
      <w:r w:rsidR="00070BC0">
        <w:t xml:space="preserve"> (e.g., </w:t>
      </w:r>
      <w:r w:rsidR="00460EFF">
        <w:t xml:space="preserve">by </w:t>
      </w:r>
      <w:r w:rsidR="00332734">
        <w:t>supporting</w:t>
      </w:r>
      <w:r w:rsidR="00070BC0">
        <w:t xml:space="preserve"> </w:t>
      </w:r>
      <w:r w:rsidR="00913D4D">
        <w:t>the game developers, especially for free games)</w:t>
      </w:r>
      <w:r>
        <w:t xml:space="preserve"> (Nicklin et al., 2021; </w:t>
      </w:r>
      <w:proofErr w:type="spellStart"/>
      <w:r>
        <w:t>Rockloff</w:t>
      </w:r>
      <w:proofErr w:type="spellEnd"/>
      <w:r>
        <w:t xml:space="preserve"> et al., 2020; </w:t>
      </w:r>
      <w:proofErr w:type="spellStart"/>
      <w:r>
        <w:t>Zendle</w:t>
      </w:r>
      <w:proofErr w:type="spellEnd"/>
      <w:r>
        <w:t>, Meyer, &amp; Over, 2019)</w:t>
      </w:r>
    </w:p>
    <w:p w14:paraId="59EB81E4" w14:textId="7DD22FC0" w:rsidR="00F3413C" w:rsidRDefault="00F3413C" w:rsidP="0076320B">
      <w:pPr>
        <w:pStyle w:val="ListBullet"/>
      </w:pPr>
      <w:r>
        <w:t>Emotive/ impulsive influences (urges, temptation, lack of control, boredom, escapism)</w:t>
      </w:r>
      <w:r w:rsidR="00A10003">
        <w:t xml:space="preserve"> (Nicklin et al., 2021; </w:t>
      </w:r>
      <w:proofErr w:type="spellStart"/>
      <w:r w:rsidR="00A10003">
        <w:t>Rockloff</w:t>
      </w:r>
      <w:proofErr w:type="spellEnd"/>
      <w:r w:rsidR="00A10003">
        <w:t xml:space="preserve"> et al., 2020)</w:t>
      </w:r>
    </w:p>
    <w:p w14:paraId="13BD1163" w14:textId="5585B9B6" w:rsidR="00B375CF" w:rsidRDefault="00F3413C" w:rsidP="0076320B">
      <w:pPr>
        <w:pStyle w:val="ListBullet"/>
      </w:pPr>
      <w:r>
        <w:t>Fear of missing out</w:t>
      </w:r>
      <w:r w:rsidR="00B375CF">
        <w:t xml:space="preserve"> (Nicklin et al., 2021; </w:t>
      </w:r>
      <w:proofErr w:type="spellStart"/>
      <w:r w:rsidR="00B375CF">
        <w:t>Rockloff</w:t>
      </w:r>
      <w:proofErr w:type="spellEnd"/>
      <w:r w:rsidR="00B375CF">
        <w:t xml:space="preserve"> et al., 2020)</w:t>
      </w:r>
    </w:p>
    <w:p w14:paraId="1D5ACC81" w14:textId="5FCE9C6E" w:rsidR="00F3413C" w:rsidRDefault="00F3413C" w:rsidP="0076320B">
      <w:pPr>
        <w:pStyle w:val="ListBullet"/>
      </w:pPr>
      <w:r>
        <w:t>Triggers/facilitators (promotions, special events, ease of purchase)</w:t>
      </w:r>
      <w:r w:rsidR="00A10003">
        <w:t xml:space="preserve"> (</w:t>
      </w:r>
      <w:proofErr w:type="spellStart"/>
      <w:r w:rsidR="00A10003">
        <w:rPr>
          <w:color w:val="auto"/>
        </w:rPr>
        <w:t>Nickin</w:t>
      </w:r>
      <w:proofErr w:type="spellEnd"/>
      <w:r w:rsidR="00A10003">
        <w:rPr>
          <w:color w:val="auto"/>
        </w:rPr>
        <w:t xml:space="preserve"> et al., 2021)</w:t>
      </w:r>
      <w:r w:rsidR="00FF7E79">
        <w:rPr>
          <w:color w:val="auto"/>
        </w:rPr>
        <w:t>.</w:t>
      </w:r>
    </w:p>
    <w:p w14:paraId="3B69FFEE" w14:textId="7A88A78D" w:rsidR="008B1222" w:rsidRDefault="008B1222" w:rsidP="00897FF2">
      <w:pPr>
        <w:pStyle w:val="BodyText"/>
      </w:pPr>
      <w:r>
        <w:t xml:space="preserve">The authors </w:t>
      </w:r>
      <w:r w:rsidR="0037568F">
        <w:t>of these studies sugges</w:t>
      </w:r>
      <w:r w:rsidR="001775A1">
        <w:t>t</w:t>
      </w:r>
      <w:r w:rsidR="0037568F">
        <w:t xml:space="preserve"> </w:t>
      </w:r>
      <w:r>
        <w:t xml:space="preserve">that many of these motivations </w:t>
      </w:r>
      <w:r w:rsidR="00551A55">
        <w:t xml:space="preserve">for loot box engagement </w:t>
      </w:r>
      <w:r>
        <w:t>overlap with those of traditional monetary gambling.</w:t>
      </w:r>
    </w:p>
    <w:p w14:paraId="6C8C1F5B" w14:textId="77777777" w:rsidR="00D835F5" w:rsidRDefault="00D835F5" w:rsidP="00D835F5">
      <w:pPr>
        <w:pStyle w:val="Heading3"/>
      </w:pPr>
      <w:r>
        <w:t>Simulated gambling</w:t>
      </w:r>
    </w:p>
    <w:p w14:paraId="569BD45A" w14:textId="55D83195" w:rsidR="00C202D5" w:rsidRDefault="00C202D5" w:rsidP="00897FF2">
      <w:pPr>
        <w:pStyle w:val="BodyText"/>
      </w:pPr>
      <w:r>
        <w:t xml:space="preserve">A narrative review </w:t>
      </w:r>
      <w:r w:rsidR="00607B9C">
        <w:t>of</w:t>
      </w:r>
      <w:r>
        <w:t xml:space="preserve"> </w:t>
      </w:r>
      <w:r w:rsidR="006D3363">
        <w:t xml:space="preserve">young people’s engagement with </w:t>
      </w:r>
      <w:r>
        <w:t>simulated gambling games</w:t>
      </w:r>
      <w:r w:rsidR="00215ADE">
        <w:t>,</w:t>
      </w:r>
      <w:r>
        <w:t xml:space="preserve"> </w:t>
      </w:r>
      <w:r w:rsidR="00723320">
        <w:t xml:space="preserve">including </w:t>
      </w:r>
      <w:r>
        <w:t>social casino games and other types of gambling-like or themed games</w:t>
      </w:r>
      <w:r w:rsidR="00821E25">
        <w:t xml:space="preserve">, </w:t>
      </w:r>
      <w:r w:rsidR="001775A1">
        <w:t xml:space="preserve">found </w:t>
      </w:r>
      <w:r w:rsidR="00414951">
        <w:t>the</w:t>
      </w:r>
      <w:r>
        <w:t xml:space="preserve"> main motivations </w:t>
      </w:r>
      <w:r w:rsidR="00303077">
        <w:t>for participation</w:t>
      </w:r>
      <w:r>
        <w:t xml:space="preserve"> were for fun or entertainment, </w:t>
      </w:r>
      <w:r w:rsidR="006D3363">
        <w:t xml:space="preserve">as </w:t>
      </w:r>
      <w:r>
        <w:t>a way to relax, relieve boredom or pass the time, relieve negative emotion</w:t>
      </w:r>
      <w:r w:rsidR="00514F88">
        <w:t>s</w:t>
      </w:r>
      <w:r>
        <w:t xml:space="preserve"> (e.g. anxiety, depression) and/or escape from problems, practice for ‘real money’ gambling activities, or for the challenge o</w:t>
      </w:r>
      <w:r w:rsidR="00514F88">
        <w:t>r</w:t>
      </w:r>
      <w:r>
        <w:t xml:space="preserve"> the competition</w:t>
      </w:r>
      <w:r w:rsidR="001A4DFC">
        <w:t xml:space="preserve"> (Dickin</w:t>
      </w:r>
      <w:r w:rsidR="00970313">
        <w:t>s</w:t>
      </w:r>
      <w:r w:rsidR="001A4DFC">
        <w:t xml:space="preserve"> &amp; Thomas, 2016)</w:t>
      </w:r>
      <w:r>
        <w:t>.</w:t>
      </w:r>
      <w:r w:rsidR="00E14D9C">
        <w:t xml:space="preserve"> </w:t>
      </w:r>
      <w:proofErr w:type="spellStart"/>
      <w:r w:rsidR="00052511">
        <w:t>Gainsbury</w:t>
      </w:r>
      <w:proofErr w:type="spellEnd"/>
      <w:r w:rsidR="00052511">
        <w:t xml:space="preserve">, King, </w:t>
      </w:r>
      <w:proofErr w:type="spellStart"/>
      <w:r w:rsidR="00052511">
        <w:t>Delfabbro</w:t>
      </w:r>
      <w:proofErr w:type="spellEnd"/>
      <w:r w:rsidR="00052511">
        <w:t xml:space="preserve"> and colleagues (2015) found </w:t>
      </w:r>
      <w:r w:rsidR="00E14D9C">
        <w:t xml:space="preserve">similar </w:t>
      </w:r>
      <w:r w:rsidR="00052511">
        <w:t xml:space="preserve">key </w:t>
      </w:r>
      <w:r w:rsidR="00052511">
        <w:rPr>
          <w:rFonts w:cs="Arial"/>
        </w:rPr>
        <w:t xml:space="preserve">motivations for playing social casino </w:t>
      </w:r>
      <w:r w:rsidR="00052511" w:rsidRPr="001775A1">
        <w:rPr>
          <w:rFonts w:cs="Arial"/>
        </w:rPr>
        <w:t xml:space="preserve">games among </w:t>
      </w:r>
      <w:r w:rsidR="00475912">
        <w:rPr>
          <w:rFonts w:cs="Arial"/>
        </w:rPr>
        <w:t xml:space="preserve">Australian </w:t>
      </w:r>
      <w:r w:rsidR="00052511" w:rsidRPr="001775A1">
        <w:rPr>
          <w:rFonts w:cs="Arial"/>
        </w:rPr>
        <w:t>adults</w:t>
      </w:r>
      <w:r w:rsidR="001775A1">
        <w:rPr>
          <w:rFonts w:cs="Arial"/>
        </w:rPr>
        <w:t xml:space="preserve">, </w:t>
      </w:r>
      <w:r w:rsidR="00052511">
        <w:rPr>
          <w:rFonts w:cs="Arial"/>
        </w:rPr>
        <w:t>includ</w:t>
      </w:r>
      <w:r w:rsidR="001775A1">
        <w:rPr>
          <w:rFonts w:cs="Arial"/>
        </w:rPr>
        <w:t>ing</w:t>
      </w:r>
      <w:r w:rsidR="00D21EAE">
        <w:rPr>
          <w:rFonts w:cs="Arial"/>
        </w:rPr>
        <w:t>:</w:t>
      </w:r>
      <w:r w:rsidR="00052511">
        <w:rPr>
          <w:rFonts w:cs="Arial"/>
        </w:rPr>
        <w:t xml:space="preserve"> to learn games before trying monetary gambling, </w:t>
      </w:r>
      <w:r w:rsidR="00475912">
        <w:rPr>
          <w:rFonts w:cs="Arial"/>
        </w:rPr>
        <w:t xml:space="preserve">to </w:t>
      </w:r>
      <w:r w:rsidR="00052511">
        <w:rPr>
          <w:rFonts w:cs="Arial"/>
        </w:rPr>
        <w:t xml:space="preserve">practice </w:t>
      </w:r>
      <w:proofErr w:type="gramStart"/>
      <w:r w:rsidR="00052511">
        <w:rPr>
          <w:rFonts w:cs="Arial"/>
        </w:rPr>
        <w:t>to improve</w:t>
      </w:r>
      <w:proofErr w:type="gramEnd"/>
      <w:r w:rsidR="00052511">
        <w:rPr>
          <w:rFonts w:cs="Arial"/>
        </w:rPr>
        <w:t xml:space="preserve"> gambling skills, as a substitute for gambling, to gain gambling-like experiences but spend less money, to extend playing time, and to earn credits/bonuses/prizes.</w:t>
      </w:r>
    </w:p>
    <w:p w14:paraId="167BF29D" w14:textId="45ABC552" w:rsidR="00F407DB" w:rsidRPr="00911C3A" w:rsidRDefault="00A402CD" w:rsidP="00897FF2">
      <w:pPr>
        <w:pStyle w:val="BodyText"/>
      </w:pPr>
      <w:r w:rsidRPr="00D0272B">
        <w:rPr>
          <w:rFonts w:cs="Arial"/>
        </w:rPr>
        <w:t xml:space="preserve">An Australian study with </w:t>
      </w:r>
      <w:r w:rsidRPr="001775A1">
        <w:rPr>
          <w:rFonts w:cs="Arial"/>
        </w:rPr>
        <w:t>adolescent social</w:t>
      </w:r>
      <w:r w:rsidRPr="00D0272B">
        <w:rPr>
          <w:rFonts w:cs="Arial"/>
        </w:rPr>
        <w:t xml:space="preserve"> casino gamers (12</w:t>
      </w:r>
      <w:r>
        <w:rPr>
          <w:rFonts w:cs="Arial"/>
        </w:rPr>
        <w:t>–</w:t>
      </w:r>
      <w:r w:rsidRPr="00D0272B">
        <w:rPr>
          <w:rFonts w:cs="Arial"/>
        </w:rPr>
        <w:t xml:space="preserve">17 years) found </w:t>
      </w:r>
      <w:r w:rsidR="00121581">
        <w:rPr>
          <w:rFonts w:cs="Arial"/>
        </w:rPr>
        <w:t xml:space="preserve">those </w:t>
      </w:r>
      <w:r w:rsidRPr="00D0272B">
        <w:rPr>
          <w:rFonts w:cs="Arial"/>
        </w:rPr>
        <w:t xml:space="preserve">who made in-game purchases in </w:t>
      </w:r>
      <w:r w:rsidRPr="00D0272B">
        <w:t xml:space="preserve">social casino games (compared to </w:t>
      </w:r>
      <w:r>
        <w:t>those who didn’t</w:t>
      </w:r>
      <w:r w:rsidRPr="00D0272B">
        <w:t xml:space="preserve">) were more motivated by social interaction, to relieve stress/escape from worries, </w:t>
      </w:r>
      <w:r>
        <w:t xml:space="preserve">to </w:t>
      </w:r>
      <w:r w:rsidRPr="00D0272B">
        <w:t xml:space="preserve">pass the time/avoid boredom, </w:t>
      </w:r>
      <w:r>
        <w:t xml:space="preserve">to </w:t>
      </w:r>
      <w:r w:rsidRPr="00D0272B">
        <w:t>improve gambling skills, to make money</w:t>
      </w:r>
      <w:r w:rsidR="00146574">
        <w:t xml:space="preserve"> (i.e. via selling</w:t>
      </w:r>
      <w:r w:rsidR="00973994">
        <w:t xml:space="preserve"> gaming account online)</w:t>
      </w:r>
      <w:r w:rsidRPr="00D0272B">
        <w:t xml:space="preserve">, and </w:t>
      </w:r>
      <w:r>
        <w:t xml:space="preserve">for the </w:t>
      </w:r>
      <w:r w:rsidRPr="00D0272B">
        <w:t>competition/challenge (but not excitement/fun) (King et al., 2016).</w:t>
      </w:r>
      <w:r w:rsidR="0026337D">
        <w:t xml:space="preserve"> </w:t>
      </w:r>
      <w:r w:rsidR="00FA61C9">
        <w:rPr>
          <w:rFonts w:cs="Arial"/>
        </w:rPr>
        <w:t>A</w:t>
      </w:r>
      <w:r w:rsidR="001775A1">
        <w:rPr>
          <w:rFonts w:cs="Arial"/>
        </w:rPr>
        <w:t>nother</w:t>
      </w:r>
      <w:r w:rsidR="00FA61C9">
        <w:rPr>
          <w:rFonts w:cs="Arial"/>
        </w:rPr>
        <w:t xml:space="preserve"> </w:t>
      </w:r>
      <w:r w:rsidR="00F407DB">
        <w:rPr>
          <w:rFonts w:cs="Arial"/>
        </w:rPr>
        <w:t>cross-sectional study of adult social casino gamers</w:t>
      </w:r>
      <w:r w:rsidR="0065395E">
        <w:rPr>
          <w:rFonts w:cs="Arial"/>
        </w:rPr>
        <w:t xml:space="preserve"> found that the</w:t>
      </w:r>
      <w:r w:rsidR="00F407DB">
        <w:rPr>
          <w:rFonts w:cs="Arial"/>
        </w:rPr>
        <w:t xml:space="preserve"> main motivations for </w:t>
      </w:r>
      <w:r w:rsidR="00F407DB" w:rsidRPr="00F84CF2">
        <w:rPr>
          <w:iCs/>
        </w:rPr>
        <w:t xml:space="preserve">in-game purchases </w:t>
      </w:r>
      <w:r w:rsidR="00F407DB">
        <w:rPr>
          <w:rFonts w:cs="Arial"/>
        </w:rPr>
        <w:t>were to increase enjoyment, to take advantage of special offers, to get ahead in the game, an impuls</w:t>
      </w:r>
      <w:r w:rsidR="00475912">
        <w:rPr>
          <w:rFonts w:cs="Arial"/>
        </w:rPr>
        <w:t>ive</w:t>
      </w:r>
      <w:r w:rsidR="00F407DB">
        <w:rPr>
          <w:rFonts w:cs="Arial"/>
        </w:rPr>
        <w:t xml:space="preserve"> decision to continue play, to make the game fun, to purchase gifts for friends, and to avoid waiting for or earning credits (</w:t>
      </w:r>
      <w:proofErr w:type="spellStart"/>
      <w:r w:rsidR="00F407DB">
        <w:rPr>
          <w:rFonts w:cs="Arial"/>
        </w:rPr>
        <w:t>Gainsbury</w:t>
      </w:r>
      <w:proofErr w:type="spellEnd"/>
      <w:r w:rsidR="00D878A7">
        <w:rPr>
          <w:rFonts w:cs="Arial"/>
        </w:rPr>
        <w:t>, King</w:t>
      </w:r>
      <w:r w:rsidR="00F407DB">
        <w:rPr>
          <w:rFonts w:cs="Arial"/>
        </w:rPr>
        <w:t xml:space="preserve"> et al., 2016). </w:t>
      </w:r>
    </w:p>
    <w:p w14:paraId="10F72F36" w14:textId="77777777" w:rsidR="00AB769C" w:rsidRDefault="009A5904" w:rsidP="00AB769C">
      <w:pPr>
        <w:pStyle w:val="Heading3"/>
      </w:pPr>
      <w:r>
        <w:t>Other i</w:t>
      </w:r>
      <w:r w:rsidR="00AB769C">
        <w:t>n-game purchases</w:t>
      </w:r>
    </w:p>
    <w:p w14:paraId="75DADE64" w14:textId="75B10A10" w:rsidR="00AB769C" w:rsidRDefault="003335EA" w:rsidP="00897FF2">
      <w:pPr>
        <w:pStyle w:val="BodyText"/>
      </w:pPr>
      <w:r>
        <w:t xml:space="preserve">Research has found that </w:t>
      </w:r>
      <w:r w:rsidR="00FA6D81">
        <w:t xml:space="preserve">motivations </w:t>
      </w:r>
      <w:r w:rsidR="00D949D2">
        <w:t xml:space="preserve">for making in-game purchases </w:t>
      </w:r>
      <w:r w:rsidR="00244090">
        <w:t xml:space="preserve">in general are similar to </w:t>
      </w:r>
      <w:r w:rsidR="00262C35">
        <w:t>motiv</w:t>
      </w:r>
      <w:r w:rsidR="00507941">
        <w:t>ations</w:t>
      </w:r>
      <w:r w:rsidR="00244090">
        <w:t xml:space="preserve"> for purchasing </w:t>
      </w:r>
      <w:r w:rsidR="00F30C00">
        <w:t xml:space="preserve">loot boxes or spending in simulated gambling. </w:t>
      </w:r>
      <w:r w:rsidR="0020092A">
        <w:t>For example,</w:t>
      </w:r>
      <w:r w:rsidR="00617F89">
        <w:t xml:space="preserve"> a study of</w:t>
      </w:r>
      <w:r w:rsidR="000A5474">
        <w:t xml:space="preserve"> Australian households</w:t>
      </w:r>
      <w:r w:rsidR="00C62A72">
        <w:t xml:space="preserve"> in 2019</w:t>
      </w:r>
      <w:r w:rsidR="000A5474">
        <w:t xml:space="preserve"> found that </w:t>
      </w:r>
      <w:r w:rsidR="00A82EFC">
        <w:t>motivations for making in-game purchases</w:t>
      </w:r>
      <w:r w:rsidR="0020092A">
        <w:t xml:space="preserve"> among adult video-gamers</w:t>
      </w:r>
      <w:r w:rsidR="00A82EFC">
        <w:t>, either for themselves or others, were</w:t>
      </w:r>
      <w:r w:rsidR="0020092A">
        <w:t xml:space="preserve"> to</w:t>
      </w:r>
      <w:r w:rsidR="00123324">
        <w:t xml:space="preserve">: </w:t>
      </w:r>
      <w:r w:rsidR="00A82C7F">
        <w:t xml:space="preserve">continue playing, unlock new content, support a game, </w:t>
      </w:r>
      <w:r w:rsidR="00A22346">
        <w:t xml:space="preserve">personalise gameplay, speed up gameplay, avoid ads or spam, make gameplay more enjoyable, </w:t>
      </w:r>
      <w:r w:rsidR="00617F89">
        <w:t>enable multiplayer mode</w:t>
      </w:r>
      <w:r w:rsidR="00B20DDE">
        <w:t xml:space="preserve">, and </w:t>
      </w:r>
      <w:r w:rsidR="00A22346">
        <w:t>gain advantage over others</w:t>
      </w:r>
      <w:r w:rsidR="002333BF">
        <w:t xml:space="preserve"> </w:t>
      </w:r>
      <w:r w:rsidR="00D9324F">
        <w:t xml:space="preserve">(Brand et al., 2020). </w:t>
      </w:r>
      <w:r w:rsidR="002333BF">
        <w:t xml:space="preserve"> </w:t>
      </w:r>
    </w:p>
    <w:p w14:paraId="59A64D6E" w14:textId="45E21309" w:rsidR="00CB423E" w:rsidRDefault="00265CB3" w:rsidP="00897FF2">
      <w:pPr>
        <w:pStyle w:val="Heading2"/>
      </w:pPr>
      <w:bookmarkStart w:id="15" w:name="_Toc97649952"/>
      <w:bookmarkStart w:id="16" w:name="_Toc106359505"/>
      <w:r>
        <w:lastRenderedPageBreak/>
        <w:t>Association with m</w:t>
      </w:r>
      <w:r w:rsidR="00131F87">
        <w:t>onetary gambling</w:t>
      </w:r>
      <w:r w:rsidR="00522C35">
        <w:t xml:space="preserve">: </w:t>
      </w:r>
      <w:r>
        <w:t xml:space="preserve">co-occurrence </w:t>
      </w:r>
      <w:r w:rsidR="00522C35">
        <w:t>and migration</w:t>
      </w:r>
      <w:bookmarkEnd w:id="15"/>
      <w:bookmarkEnd w:id="16"/>
    </w:p>
    <w:p w14:paraId="5BF5529F" w14:textId="0D012B0C" w:rsidR="00EB0E60" w:rsidRDefault="00514ED3" w:rsidP="00897FF2">
      <w:pPr>
        <w:pStyle w:val="BodyText"/>
      </w:pPr>
      <w:r>
        <w:t xml:space="preserve">Gaming and gambling are defined as separate </w:t>
      </w:r>
      <w:r w:rsidR="000F6788">
        <w:t>activities,</w:t>
      </w:r>
      <w:r>
        <w:t xml:space="preserve"> but they share features of interactivity, presentational qualities and elements of skill and chance (Hing et al., 2020). Research exploring associations between loot boxes, simulated gambling </w:t>
      </w:r>
      <w:r w:rsidR="003D5E04">
        <w:t xml:space="preserve">and other </w:t>
      </w:r>
      <w:r>
        <w:t xml:space="preserve">in-game purchases and monetary gambling has examined: </w:t>
      </w:r>
    </w:p>
    <w:p w14:paraId="15B25D1D" w14:textId="00DD189F" w:rsidR="004F0333" w:rsidRDefault="00514ED3" w:rsidP="008127C8">
      <w:pPr>
        <w:pStyle w:val="ListNumber"/>
        <w:numPr>
          <w:ilvl w:val="0"/>
          <w:numId w:val="45"/>
        </w:numPr>
        <w:ind w:left="426" w:hanging="142"/>
      </w:pPr>
      <w:r>
        <w:t xml:space="preserve">the </w:t>
      </w:r>
      <w:r w:rsidR="009051A3">
        <w:t>association</w:t>
      </w:r>
      <w:r>
        <w:t xml:space="preserve"> between engagement in these products and monetary gambling (co-occurrence)</w:t>
      </w:r>
    </w:p>
    <w:p w14:paraId="5156B90C" w14:textId="77777777" w:rsidR="004F0333" w:rsidRDefault="00514ED3" w:rsidP="008127C8">
      <w:pPr>
        <w:pStyle w:val="ListNumber"/>
        <w:numPr>
          <w:ilvl w:val="0"/>
          <w:numId w:val="45"/>
        </w:numPr>
        <w:ind w:left="426" w:hanging="142"/>
      </w:pPr>
      <w:r>
        <w:t>retrospective self-reports of the influence of these products on uptake or increased involvement in monetary gambling (self-reported migration)</w:t>
      </w:r>
    </w:p>
    <w:p w14:paraId="7EB2E7F1" w14:textId="6DBEF1FF" w:rsidR="00514ED3" w:rsidRPr="00C912E6" w:rsidRDefault="00514ED3" w:rsidP="008127C8">
      <w:pPr>
        <w:pStyle w:val="ListNumber"/>
        <w:numPr>
          <w:ilvl w:val="0"/>
          <w:numId w:val="45"/>
        </w:numPr>
        <w:ind w:left="426" w:hanging="142"/>
      </w:pPr>
      <w:r>
        <w:t xml:space="preserve">longitudinal </w:t>
      </w:r>
      <w:r w:rsidR="006C47E0">
        <w:t>studies</w:t>
      </w:r>
      <w:r w:rsidR="003C689C">
        <w:t xml:space="preserve"> </w:t>
      </w:r>
      <w:r>
        <w:t xml:space="preserve">directly measuring how engagement in these products at time one influences later monetary gambling at time two (directly measured migration). </w:t>
      </w:r>
    </w:p>
    <w:p w14:paraId="307906E2" w14:textId="77777777" w:rsidR="006A0357" w:rsidRDefault="006A0357" w:rsidP="006A0357">
      <w:pPr>
        <w:pStyle w:val="Heading3"/>
      </w:pPr>
      <w:r>
        <w:t>Loot boxes</w:t>
      </w:r>
    </w:p>
    <w:p w14:paraId="2E09C92B" w14:textId="4C39CEFB" w:rsidR="00B421E8" w:rsidRDefault="00B421E8" w:rsidP="00897FF2">
      <w:pPr>
        <w:pStyle w:val="BodyText"/>
      </w:pPr>
      <w:r>
        <w:t xml:space="preserve">To date, Australian and international research has examined the relationship between loot box engagement </w:t>
      </w:r>
      <w:r w:rsidR="00533905">
        <w:t xml:space="preserve">(opening, buying, or selling) </w:t>
      </w:r>
      <w:r>
        <w:t>and participation in monetary gambling using cross-sectional surveys</w:t>
      </w:r>
      <w:r w:rsidR="0020092A">
        <w:t xml:space="preserve">. These studies </w:t>
      </w:r>
      <w:r w:rsidR="007D00D4">
        <w:t xml:space="preserve">have </w:t>
      </w:r>
      <w:r>
        <w:t>provid</w:t>
      </w:r>
      <w:r w:rsidR="0020092A">
        <w:t>e</w:t>
      </w:r>
      <w:r w:rsidR="007D00D4">
        <w:t>d</w:t>
      </w:r>
      <w:r>
        <w:t xml:space="preserve"> evidence of co-occurrence</w:t>
      </w:r>
      <w:r w:rsidR="007D00D4">
        <w:t xml:space="preserve"> of these behaviours,</w:t>
      </w:r>
      <w:r>
        <w:t xml:space="preserve"> but not a transition effect (</w:t>
      </w:r>
      <w:r w:rsidR="00B9599F">
        <w:t>i.e.</w:t>
      </w:r>
      <w:r w:rsidR="00532D05">
        <w:t>,</w:t>
      </w:r>
      <w:r w:rsidR="00B9599F">
        <w:t xml:space="preserve"> </w:t>
      </w:r>
      <w:r>
        <w:t>migration to monetary gambling)</w:t>
      </w:r>
      <w:r w:rsidR="007D00D4">
        <w:t>,</w:t>
      </w:r>
      <w:r w:rsidR="009832BF">
        <w:t xml:space="preserve"> among </w:t>
      </w:r>
      <w:r w:rsidR="00FE5EA8">
        <w:t xml:space="preserve">samples of </w:t>
      </w:r>
      <w:r w:rsidR="009832BF">
        <w:t>adolescents</w:t>
      </w:r>
      <w:r w:rsidR="00181B09">
        <w:t>, young</w:t>
      </w:r>
      <w:r w:rsidR="000C345F">
        <w:t xml:space="preserve"> adults, and older adults</w:t>
      </w:r>
      <w:r w:rsidR="009832BF">
        <w:t xml:space="preserve"> (</w:t>
      </w:r>
      <w:r w:rsidR="005E58E4">
        <w:t xml:space="preserve">Hing et al., 2020; </w:t>
      </w:r>
      <w:r w:rsidR="00422781">
        <w:rPr>
          <w:rFonts w:cs="Arial"/>
        </w:rPr>
        <w:t xml:space="preserve">Li, </w:t>
      </w:r>
      <w:r w:rsidR="00422781">
        <w:t xml:space="preserve">Mills, &amp; </w:t>
      </w:r>
      <w:proofErr w:type="spellStart"/>
      <w:r w:rsidR="00422781">
        <w:t>Nower</w:t>
      </w:r>
      <w:proofErr w:type="spellEnd"/>
      <w:r w:rsidR="00422781">
        <w:t xml:space="preserve">, </w:t>
      </w:r>
      <w:r w:rsidR="00422781">
        <w:rPr>
          <w:rFonts w:cs="Arial"/>
        </w:rPr>
        <w:t xml:space="preserve">2019; </w:t>
      </w:r>
      <w:proofErr w:type="spellStart"/>
      <w:r w:rsidR="0020018F">
        <w:t>Rockloff</w:t>
      </w:r>
      <w:proofErr w:type="spellEnd"/>
      <w:r w:rsidR="0020018F">
        <w:t xml:space="preserve"> et al., 2020</w:t>
      </w:r>
      <w:r w:rsidR="00B73757">
        <w:t xml:space="preserve">; </w:t>
      </w:r>
      <w:r w:rsidR="000C345F">
        <w:rPr>
          <w:rFonts w:cs="Arial"/>
        </w:rPr>
        <w:t xml:space="preserve">von </w:t>
      </w:r>
      <w:proofErr w:type="spellStart"/>
      <w:r w:rsidR="000C345F">
        <w:rPr>
          <w:rFonts w:cs="Arial"/>
        </w:rPr>
        <w:t>Meduna</w:t>
      </w:r>
      <w:proofErr w:type="spellEnd"/>
      <w:r w:rsidR="000C345F">
        <w:rPr>
          <w:rFonts w:cs="Arial"/>
        </w:rPr>
        <w:t xml:space="preserve">, </w:t>
      </w:r>
      <w:r w:rsidR="000C345F">
        <w:t>Steinmetz, Ante, Reynolds, &amp; Fiedler,</w:t>
      </w:r>
      <w:r w:rsidR="000C345F" w:rsidDel="001204C3">
        <w:rPr>
          <w:rFonts w:cs="Arial"/>
        </w:rPr>
        <w:t xml:space="preserve"> </w:t>
      </w:r>
      <w:r w:rsidR="000C345F">
        <w:rPr>
          <w:rFonts w:cs="Arial"/>
        </w:rPr>
        <w:t xml:space="preserve">2021; Wardle &amp; </w:t>
      </w:r>
      <w:proofErr w:type="spellStart"/>
      <w:r w:rsidR="000C345F">
        <w:rPr>
          <w:rFonts w:cs="Arial"/>
        </w:rPr>
        <w:t>Zendle</w:t>
      </w:r>
      <w:proofErr w:type="spellEnd"/>
      <w:r w:rsidR="000C345F">
        <w:rPr>
          <w:rFonts w:cs="Arial"/>
        </w:rPr>
        <w:t>, 2021</w:t>
      </w:r>
      <w:r w:rsidR="002E0448">
        <w:rPr>
          <w:rFonts w:cs="Arial"/>
        </w:rPr>
        <w:t xml:space="preserve">). </w:t>
      </w:r>
      <w:r w:rsidR="00B42655">
        <w:rPr>
          <w:rFonts w:cs="Arial"/>
        </w:rPr>
        <w:t>In addition to the relationship found between loot box engagement and monetary gambling participation, research has found loot box purchasing</w:t>
      </w:r>
      <w:r w:rsidR="008714A1">
        <w:rPr>
          <w:rFonts w:cs="Arial"/>
        </w:rPr>
        <w:t xml:space="preserve"> </w:t>
      </w:r>
      <w:r w:rsidR="00C12916">
        <w:rPr>
          <w:rFonts w:cs="Arial"/>
        </w:rPr>
        <w:t>to be</w:t>
      </w:r>
      <w:r w:rsidR="008714A1">
        <w:rPr>
          <w:rFonts w:cs="Arial"/>
        </w:rPr>
        <w:t xml:space="preserve"> associated with </w:t>
      </w:r>
      <w:r w:rsidR="00AB1067">
        <w:rPr>
          <w:rFonts w:cs="Arial"/>
        </w:rPr>
        <w:t xml:space="preserve">higher </w:t>
      </w:r>
      <w:r w:rsidR="008714A1">
        <w:rPr>
          <w:rFonts w:cs="Arial"/>
        </w:rPr>
        <w:t>gambling frequen</w:t>
      </w:r>
      <w:r w:rsidR="00AB1067">
        <w:rPr>
          <w:rFonts w:cs="Arial"/>
        </w:rPr>
        <w:t>cy</w:t>
      </w:r>
      <w:r w:rsidR="008714A1">
        <w:rPr>
          <w:rFonts w:cs="Arial"/>
        </w:rPr>
        <w:t xml:space="preserve"> (</w:t>
      </w:r>
      <w:r w:rsidR="003B2E2A">
        <w:rPr>
          <w:rFonts w:cs="Arial"/>
        </w:rPr>
        <w:t xml:space="preserve">Li, </w:t>
      </w:r>
      <w:r w:rsidR="003B2E2A">
        <w:t xml:space="preserve">Mills, &amp; </w:t>
      </w:r>
      <w:proofErr w:type="spellStart"/>
      <w:r w:rsidR="003B2E2A">
        <w:t>Nower</w:t>
      </w:r>
      <w:proofErr w:type="spellEnd"/>
      <w:r w:rsidR="003B2E2A">
        <w:t xml:space="preserve">, </w:t>
      </w:r>
      <w:r w:rsidR="003B2E2A">
        <w:rPr>
          <w:rFonts w:cs="Arial"/>
        </w:rPr>
        <w:t xml:space="preserve">2019; </w:t>
      </w:r>
      <w:proofErr w:type="spellStart"/>
      <w:r w:rsidR="008714A1">
        <w:rPr>
          <w:rFonts w:cs="Arial"/>
        </w:rPr>
        <w:t>Rockloff</w:t>
      </w:r>
      <w:proofErr w:type="spellEnd"/>
      <w:r w:rsidR="008714A1">
        <w:rPr>
          <w:rFonts w:cs="Arial"/>
        </w:rPr>
        <w:t xml:space="preserve"> et al., 2020</w:t>
      </w:r>
      <w:r w:rsidR="003B2E2A" w:rsidRPr="003B2E2A">
        <w:rPr>
          <w:rFonts w:cs="Arial"/>
        </w:rPr>
        <w:t xml:space="preserve"> </w:t>
      </w:r>
      <w:r w:rsidR="003B2E2A">
        <w:rPr>
          <w:rFonts w:cs="Arial"/>
        </w:rPr>
        <w:t xml:space="preserve">von </w:t>
      </w:r>
      <w:proofErr w:type="spellStart"/>
      <w:r w:rsidR="003B2E2A">
        <w:rPr>
          <w:rFonts w:cs="Arial"/>
        </w:rPr>
        <w:t>Meduna</w:t>
      </w:r>
      <w:proofErr w:type="spellEnd"/>
      <w:r w:rsidR="003B2E2A">
        <w:rPr>
          <w:rFonts w:cs="Arial"/>
        </w:rPr>
        <w:t xml:space="preserve"> et al., 2021; </w:t>
      </w:r>
      <w:proofErr w:type="spellStart"/>
      <w:r w:rsidR="003B2E2A">
        <w:rPr>
          <w:rFonts w:cs="Arial"/>
        </w:rPr>
        <w:t>Zendle</w:t>
      </w:r>
      <w:proofErr w:type="spellEnd"/>
      <w:r w:rsidR="003B2E2A">
        <w:rPr>
          <w:rFonts w:cs="Arial"/>
        </w:rPr>
        <w:t>, 2020</w:t>
      </w:r>
      <w:r w:rsidR="008714A1">
        <w:rPr>
          <w:rFonts w:cs="Arial"/>
        </w:rPr>
        <w:t>)</w:t>
      </w:r>
      <w:r w:rsidR="00AB1067">
        <w:rPr>
          <w:rFonts w:cs="Arial"/>
        </w:rPr>
        <w:t>, expenditure (</w:t>
      </w:r>
      <w:proofErr w:type="spellStart"/>
      <w:r w:rsidR="00AB1067">
        <w:rPr>
          <w:rFonts w:cs="Arial"/>
        </w:rPr>
        <w:t>Rockloff</w:t>
      </w:r>
      <w:proofErr w:type="spellEnd"/>
      <w:r w:rsidR="00AB1067">
        <w:rPr>
          <w:rFonts w:cs="Arial"/>
        </w:rPr>
        <w:t xml:space="preserve"> et al., 2020; </w:t>
      </w:r>
      <w:r w:rsidR="002161E1">
        <w:rPr>
          <w:rFonts w:cs="Arial"/>
        </w:rPr>
        <w:t xml:space="preserve">Wardle &amp; </w:t>
      </w:r>
      <w:proofErr w:type="spellStart"/>
      <w:r w:rsidR="002161E1">
        <w:rPr>
          <w:rFonts w:cs="Arial"/>
        </w:rPr>
        <w:t>Zendle</w:t>
      </w:r>
      <w:proofErr w:type="spellEnd"/>
      <w:r w:rsidR="002161E1">
        <w:rPr>
          <w:rFonts w:cs="Arial"/>
        </w:rPr>
        <w:t>, 2021</w:t>
      </w:r>
      <w:r w:rsidR="00453DF2">
        <w:rPr>
          <w:rFonts w:cs="Arial"/>
        </w:rPr>
        <w:t xml:space="preserve">), </w:t>
      </w:r>
      <w:r w:rsidR="00A87819">
        <w:rPr>
          <w:rFonts w:cs="Arial"/>
        </w:rPr>
        <w:t xml:space="preserve">and session length (Li, </w:t>
      </w:r>
      <w:r w:rsidR="00A87819">
        <w:t xml:space="preserve">Mills, &amp; </w:t>
      </w:r>
      <w:proofErr w:type="spellStart"/>
      <w:r w:rsidR="00A87819">
        <w:t>Nower</w:t>
      </w:r>
      <w:proofErr w:type="spellEnd"/>
      <w:r w:rsidR="00A87819">
        <w:t xml:space="preserve">, </w:t>
      </w:r>
      <w:r w:rsidR="00A87819">
        <w:rPr>
          <w:rFonts w:cs="Arial"/>
        </w:rPr>
        <w:t>2019)</w:t>
      </w:r>
      <w:r w:rsidR="007D00D4">
        <w:rPr>
          <w:rFonts w:cs="Arial"/>
        </w:rPr>
        <w:t>,</w:t>
      </w:r>
      <w:r w:rsidR="00850388">
        <w:rPr>
          <w:rFonts w:cs="Arial"/>
        </w:rPr>
        <w:t xml:space="preserve"> as well as </w:t>
      </w:r>
      <w:r w:rsidR="00453DF2">
        <w:rPr>
          <w:rFonts w:cs="Arial"/>
        </w:rPr>
        <w:t>positive attitudes towards gambling (</w:t>
      </w:r>
      <w:proofErr w:type="spellStart"/>
      <w:r w:rsidR="00453DF2">
        <w:rPr>
          <w:rFonts w:cs="Arial"/>
        </w:rPr>
        <w:t>Rockloff</w:t>
      </w:r>
      <w:proofErr w:type="spellEnd"/>
      <w:r w:rsidR="00E461BE">
        <w:rPr>
          <w:rFonts w:cs="Arial"/>
        </w:rPr>
        <w:t xml:space="preserve"> et al., 2020) and future intentions to gamble with money (Hing et al., 2020).</w:t>
      </w:r>
      <w:r w:rsidR="000B249E">
        <w:rPr>
          <w:rFonts w:cs="Arial"/>
        </w:rPr>
        <w:t xml:space="preserve"> </w:t>
      </w:r>
    </w:p>
    <w:p w14:paraId="572DB372" w14:textId="77777777" w:rsidR="009924A2" w:rsidRDefault="009924A2" w:rsidP="009924A2">
      <w:pPr>
        <w:pStyle w:val="Heading3"/>
      </w:pPr>
      <w:r>
        <w:t>Simulated gambling</w:t>
      </w:r>
    </w:p>
    <w:p w14:paraId="70C2B930" w14:textId="40592C52" w:rsidR="00C372B2" w:rsidRDefault="00E33987" w:rsidP="00021048">
      <w:pPr>
        <w:pStyle w:val="BodyText"/>
      </w:pPr>
      <w:r>
        <w:rPr>
          <w:rFonts w:cs="Arial"/>
        </w:rPr>
        <w:t xml:space="preserve">Several literature reviews and commentaries have examined the ‘gateway hypothesis’ that simulated gambling leads to monetary gambling (Armstrong et al., 2018; </w:t>
      </w:r>
      <w:proofErr w:type="spellStart"/>
      <w:r>
        <w:rPr>
          <w:rFonts w:cs="Arial"/>
        </w:rPr>
        <w:t>Delfabbro</w:t>
      </w:r>
      <w:proofErr w:type="spellEnd"/>
      <w:r>
        <w:rPr>
          <w:rFonts w:cs="Arial"/>
        </w:rPr>
        <w:t xml:space="preserve"> &amp; King, 2021; King, 2018; King, Russell, &amp; Hing, 2020; </w:t>
      </w:r>
      <w:proofErr w:type="spellStart"/>
      <w:r w:rsidRPr="00826344">
        <w:t>Kolandai-Matchett</w:t>
      </w:r>
      <w:proofErr w:type="spellEnd"/>
      <w:r>
        <w:t xml:space="preserve"> &amp; </w:t>
      </w:r>
      <w:r w:rsidRPr="00826344">
        <w:t>Abbott</w:t>
      </w:r>
      <w:r>
        <w:t xml:space="preserve">, 2021). </w:t>
      </w:r>
      <w:r w:rsidR="00424A8B">
        <w:t>Although t</w:t>
      </w:r>
      <w:r>
        <w:t xml:space="preserve">here appears to be consensus from the authors that simulated gambling is associated with a greater </w:t>
      </w:r>
      <w:r w:rsidR="00C12916">
        <w:t xml:space="preserve">likelihood </w:t>
      </w:r>
      <w:r>
        <w:t>of engagement in monetary gambling, particularly among young people</w:t>
      </w:r>
      <w:r w:rsidR="00424A8B">
        <w:t>,</w:t>
      </w:r>
      <w:r>
        <w:t xml:space="preserve"> the evidence </w:t>
      </w:r>
      <w:r w:rsidR="00FA207A">
        <w:t xml:space="preserve">to date </w:t>
      </w:r>
      <w:r>
        <w:t xml:space="preserve">is mostly </w:t>
      </w:r>
      <w:r w:rsidR="00FA207A">
        <w:t xml:space="preserve">based on </w:t>
      </w:r>
      <w:r>
        <w:t xml:space="preserve">cross-sectional </w:t>
      </w:r>
      <w:r w:rsidR="00FA207A">
        <w:t xml:space="preserve">studies and has </w:t>
      </w:r>
      <w:r w:rsidR="000B72CA">
        <w:t xml:space="preserve">only </w:t>
      </w:r>
      <w:r w:rsidR="00FA207A">
        <w:t xml:space="preserve">examined </w:t>
      </w:r>
      <w:r w:rsidR="00B72535">
        <w:t>co-occurrence/</w:t>
      </w:r>
      <w:r>
        <w:t>correlational relationships</w:t>
      </w:r>
      <w:r w:rsidR="00B72535">
        <w:t>.</w:t>
      </w:r>
      <w:r w:rsidR="00424A8B">
        <w:t xml:space="preserve"> </w:t>
      </w:r>
      <w:r w:rsidR="00B72535">
        <w:t xml:space="preserve">For example, </w:t>
      </w:r>
      <w:r w:rsidR="00751357">
        <w:t xml:space="preserve">Australian and international studies </w:t>
      </w:r>
      <w:r w:rsidR="00F763C9">
        <w:t xml:space="preserve">show evidence </w:t>
      </w:r>
      <w:r w:rsidR="00F763C9" w:rsidRPr="00424A8B">
        <w:t xml:space="preserve">of </w:t>
      </w:r>
      <w:r w:rsidR="00846965" w:rsidRPr="00424A8B">
        <w:t xml:space="preserve">a relationship </w:t>
      </w:r>
      <w:r w:rsidR="004F77DA" w:rsidRPr="00424A8B">
        <w:t>(co</w:t>
      </w:r>
      <w:r w:rsidR="004F77DA">
        <w:t xml:space="preserve">-occurrence) </w:t>
      </w:r>
      <w:r w:rsidR="00846965">
        <w:t xml:space="preserve">between </w:t>
      </w:r>
      <w:r w:rsidR="00B8590D">
        <w:t xml:space="preserve">simulated gambling </w:t>
      </w:r>
      <w:r w:rsidR="00846965">
        <w:t xml:space="preserve">and </w:t>
      </w:r>
      <w:r w:rsidR="002751E5">
        <w:t>monetary gambling</w:t>
      </w:r>
      <w:r w:rsidR="003A3CAA">
        <w:t xml:space="preserve"> among adolescents</w:t>
      </w:r>
      <w:r w:rsidR="00BB42D3">
        <w:t xml:space="preserve"> (</w:t>
      </w:r>
      <w:proofErr w:type="spellStart"/>
      <w:r w:rsidR="00BB42D3">
        <w:t>Gainsbury</w:t>
      </w:r>
      <w:proofErr w:type="spellEnd"/>
      <w:r w:rsidR="00BD7150">
        <w:t xml:space="preserve">, </w:t>
      </w:r>
      <w:r w:rsidR="005B5452">
        <w:t xml:space="preserve">King, </w:t>
      </w:r>
      <w:proofErr w:type="spellStart"/>
      <w:r w:rsidR="005B5452">
        <w:t>Delfabbro</w:t>
      </w:r>
      <w:proofErr w:type="spellEnd"/>
      <w:r w:rsidR="002B4CD1">
        <w:t xml:space="preserve"> </w:t>
      </w:r>
      <w:r w:rsidR="00BB42D3">
        <w:t>et al., 2015</w:t>
      </w:r>
      <w:r w:rsidR="005B5452">
        <w:t xml:space="preserve">; </w:t>
      </w:r>
      <w:r w:rsidR="003672D7">
        <w:t xml:space="preserve">Hing et al., 2020; </w:t>
      </w:r>
      <w:r w:rsidR="009A6F0F">
        <w:t xml:space="preserve">Kim, Wohl, Gupta, &amp; </w:t>
      </w:r>
      <w:proofErr w:type="spellStart"/>
      <w:r w:rsidR="009A6F0F">
        <w:t>Derevensky</w:t>
      </w:r>
      <w:proofErr w:type="spellEnd"/>
      <w:r w:rsidR="009A6F0F">
        <w:t xml:space="preserve">, 2017; </w:t>
      </w:r>
      <w:r w:rsidR="003672D7">
        <w:t xml:space="preserve">King et al., 2016; </w:t>
      </w:r>
      <w:r w:rsidR="00C62957" w:rsidRPr="00543DF4">
        <w:t xml:space="preserve">Macey &amp; </w:t>
      </w:r>
      <w:proofErr w:type="spellStart"/>
      <w:r w:rsidR="00C62957" w:rsidRPr="00543DF4">
        <w:t>Kinnunen</w:t>
      </w:r>
      <w:proofErr w:type="spellEnd"/>
      <w:r w:rsidR="00C62957" w:rsidRPr="00543DF4">
        <w:t>, 2020</w:t>
      </w:r>
      <w:r w:rsidR="00875193">
        <w:t>)</w:t>
      </w:r>
      <w:r w:rsidR="00A95B2C">
        <w:t xml:space="preserve"> and adults (</w:t>
      </w:r>
      <w:proofErr w:type="spellStart"/>
      <w:r w:rsidR="00A95B2C">
        <w:rPr>
          <w:rFonts w:cs="Arial"/>
        </w:rPr>
        <w:t>Gainsbury</w:t>
      </w:r>
      <w:proofErr w:type="spellEnd"/>
      <w:r w:rsidR="00A95B2C">
        <w:rPr>
          <w:rFonts w:cs="Arial"/>
        </w:rPr>
        <w:t xml:space="preserve">, </w:t>
      </w:r>
      <w:r w:rsidR="00A95B2C">
        <w:t xml:space="preserve">King, </w:t>
      </w:r>
      <w:proofErr w:type="spellStart"/>
      <w:r w:rsidR="00A95B2C">
        <w:t>Delfabbro</w:t>
      </w:r>
      <w:proofErr w:type="spellEnd"/>
      <w:r w:rsidR="00A95B2C">
        <w:rPr>
          <w:rFonts w:cs="Arial"/>
        </w:rPr>
        <w:t xml:space="preserve"> et al., 2015, </w:t>
      </w:r>
      <w:proofErr w:type="spellStart"/>
      <w:r w:rsidR="00A95B2C">
        <w:rPr>
          <w:rFonts w:cs="Arial"/>
        </w:rPr>
        <w:t>Gainsbury</w:t>
      </w:r>
      <w:proofErr w:type="spellEnd"/>
      <w:r w:rsidR="00A95B2C">
        <w:rPr>
          <w:rFonts w:cs="Arial"/>
        </w:rPr>
        <w:t>, Russell et al., 2016</w:t>
      </w:r>
      <w:r w:rsidR="0012566E">
        <w:rPr>
          <w:rFonts w:cs="Arial"/>
        </w:rPr>
        <w:t>;</w:t>
      </w:r>
      <w:r w:rsidR="00C002FC">
        <w:rPr>
          <w:rFonts w:cs="Arial"/>
        </w:rPr>
        <w:t xml:space="preserve"> </w:t>
      </w:r>
      <w:r w:rsidR="00C002FC" w:rsidRPr="00543DF4">
        <w:t xml:space="preserve">Macey &amp; </w:t>
      </w:r>
      <w:proofErr w:type="spellStart"/>
      <w:r w:rsidR="00C002FC" w:rsidRPr="00543DF4">
        <w:t>Kinnunen</w:t>
      </w:r>
      <w:proofErr w:type="spellEnd"/>
      <w:r w:rsidR="00C002FC" w:rsidRPr="00543DF4">
        <w:t>, 2020</w:t>
      </w:r>
      <w:r w:rsidR="00C002FC">
        <w:t xml:space="preserve">; </w:t>
      </w:r>
      <w:proofErr w:type="spellStart"/>
      <w:r w:rsidR="0012566E">
        <w:t>Rockloff</w:t>
      </w:r>
      <w:proofErr w:type="spellEnd"/>
      <w:r w:rsidR="0012566E">
        <w:t xml:space="preserve"> et al., 2018</w:t>
      </w:r>
      <w:r w:rsidR="00921775">
        <w:t xml:space="preserve">; </w:t>
      </w:r>
      <w:proofErr w:type="spellStart"/>
      <w:r w:rsidR="00921775">
        <w:t>Zendle</w:t>
      </w:r>
      <w:proofErr w:type="spellEnd"/>
      <w:r w:rsidR="00921775">
        <w:t>, 2020</w:t>
      </w:r>
      <w:r w:rsidR="00875193">
        <w:t>)</w:t>
      </w:r>
      <w:r w:rsidR="00D97ABE">
        <w:t xml:space="preserve">, </w:t>
      </w:r>
      <w:r w:rsidR="00424A8B">
        <w:t xml:space="preserve">and </w:t>
      </w:r>
      <w:r w:rsidR="00D97ABE">
        <w:t xml:space="preserve">research </w:t>
      </w:r>
      <w:r w:rsidR="007C2546">
        <w:t xml:space="preserve">with adolescent </w:t>
      </w:r>
      <w:r w:rsidR="00D97ABE">
        <w:t>social casino game</w:t>
      </w:r>
      <w:r w:rsidR="007C2546">
        <w:t>r</w:t>
      </w:r>
      <w:r w:rsidR="00D97ABE">
        <w:t>s has found</w:t>
      </w:r>
      <w:r w:rsidR="000B72CA">
        <w:t xml:space="preserve"> that</w:t>
      </w:r>
      <w:r w:rsidR="0003290E">
        <w:t xml:space="preserve"> </w:t>
      </w:r>
      <w:r w:rsidR="007C2546">
        <w:t xml:space="preserve">those </w:t>
      </w:r>
      <w:r w:rsidR="005277D0">
        <w:t xml:space="preserve">making in-game purchases (versus those not) </w:t>
      </w:r>
      <w:r w:rsidR="000B72CA">
        <w:t>we</w:t>
      </w:r>
      <w:r w:rsidR="005277D0">
        <w:t xml:space="preserve">re more likely to </w:t>
      </w:r>
      <w:r w:rsidR="008C62D5">
        <w:t>engage in monetary gambling</w:t>
      </w:r>
      <w:r w:rsidR="006A212F">
        <w:t>,</w:t>
      </w:r>
      <w:r w:rsidR="008C62D5">
        <w:t xml:space="preserve"> and with higher frequency and expenditure (</w:t>
      </w:r>
      <w:r w:rsidR="007C2546">
        <w:t>King et al., 2016</w:t>
      </w:r>
      <w:r w:rsidR="00B425FB">
        <w:t>).</w:t>
      </w:r>
    </w:p>
    <w:p w14:paraId="24F239BF" w14:textId="0D3F89F3" w:rsidR="00905DFD" w:rsidRDefault="00FA207A" w:rsidP="00021048">
      <w:pPr>
        <w:pStyle w:val="BodyText"/>
      </w:pPr>
      <w:r>
        <w:rPr>
          <w:rFonts w:cs="Arial"/>
        </w:rPr>
        <w:t xml:space="preserve">Unlike for loot boxes, however, there </w:t>
      </w:r>
      <w:r w:rsidR="00C372B2">
        <w:rPr>
          <w:rFonts w:cs="Arial"/>
        </w:rPr>
        <w:t xml:space="preserve">is </w:t>
      </w:r>
      <w:r w:rsidR="003E1630">
        <w:rPr>
          <w:rFonts w:cs="Arial"/>
        </w:rPr>
        <w:t xml:space="preserve">some evidence from retrospective self-report surveys and longitudinal studies </w:t>
      </w:r>
      <w:r w:rsidR="00C372B2" w:rsidRPr="00C372B2">
        <w:rPr>
          <w:rFonts w:cs="Arial"/>
        </w:rPr>
        <w:t xml:space="preserve">of </w:t>
      </w:r>
      <w:r w:rsidR="00C372B2" w:rsidRPr="00C372B2">
        <w:t>migration</w:t>
      </w:r>
      <w:r w:rsidR="00C372B2">
        <w:t xml:space="preserve"> from simulated gambling games to monetary gambling among both adolescents and adults </w:t>
      </w:r>
      <w:r w:rsidR="007D368C">
        <w:t>(</w:t>
      </w:r>
      <w:proofErr w:type="spellStart"/>
      <w:r w:rsidR="003E1630">
        <w:t>Brosowski</w:t>
      </w:r>
      <w:proofErr w:type="spellEnd"/>
      <w:r w:rsidR="003E1630">
        <w:t xml:space="preserve">, </w:t>
      </w:r>
      <w:proofErr w:type="spellStart"/>
      <w:r w:rsidR="003E1630">
        <w:t>Turowski</w:t>
      </w:r>
      <w:proofErr w:type="spellEnd"/>
      <w:r w:rsidR="003E1630">
        <w:t xml:space="preserve">, &amp; </w:t>
      </w:r>
      <w:proofErr w:type="spellStart"/>
      <w:r w:rsidR="003E1630">
        <w:t>Hayer</w:t>
      </w:r>
      <w:proofErr w:type="spellEnd"/>
      <w:r w:rsidR="003E1630">
        <w:t xml:space="preserve">, 2020; </w:t>
      </w:r>
      <w:proofErr w:type="spellStart"/>
      <w:r w:rsidR="003E1630">
        <w:t>Dussault</w:t>
      </w:r>
      <w:proofErr w:type="spellEnd"/>
      <w:r w:rsidR="003E1630">
        <w:t xml:space="preserve"> et al., 2017; </w:t>
      </w:r>
      <w:proofErr w:type="spellStart"/>
      <w:r w:rsidR="007D368C">
        <w:rPr>
          <w:rFonts w:cs="Arial"/>
        </w:rPr>
        <w:t>Gainsbury</w:t>
      </w:r>
      <w:proofErr w:type="spellEnd"/>
      <w:r w:rsidR="007D368C" w:rsidRPr="00BB5FDA">
        <w:rPr>
          <w:rFonts w:cs="Arial"/>
        </w:rPr>
        <w:t xml:space="preserve"> </w:t>
      </w:r>
      <w:r w:rsidR="007D368C">
        <w:rPr>
          <w:rFonts w:cs="Arial"/>
        </w:rPr>
        <w:t xml:space="preserve">King, </w:t>
      </w:r>
      <w:proofErr w:type="spellStart"/>
      <w:r w:rsidR="007D368C">
        <w:t>Delfabbro</w:t>
      </w:r>
      <w:proofErr w:type="spellEnd"/>
      <w:r w:rsidR="007D368C">
        <w:t xml:space="preserve"> et al., </w:t>
      </w:r>
      <w:r w:rsidR="007D368C">
        <w:rPr>
          <w:rFonts w:cs="Arial"/>
        </w:rPr>
        <w:t xml:space="preserve">2015; </w:t>
      </w:r>
      <w:proofErr w:type="spellStart"/>
      <w:r w:rsidR="007D368C">
        <w:rPr>
          <w:rFonts w:cs="Arial"/>
        </w:rPr>
        <w:t>Gainsbury</w:t>
      </w:r>
      <w:proofErr w:type="spellEnd"/>
      <w:r w:rsidR="007D368C">
        <w:rPr>
          <w:rFonts w:cs="Arial"/>
        </w:rPr>
        <w:t>, Russell et al., 2016</w:t>
      </w:r>
      <w:r w:rsidR="00B8520E">
        <w:t xml:space="preserve">; </w:t>
      </w:r>
      <w:r w:rsidR="003E1630">
        <w:t xml:space="preserve">Kim et al., 2015; </w:t>
      </w:r>
      <w:proofErr w:type="spellStart"/>
      <w:r w:rsidR="00B8520E">
        <w:lastRenderedPageBreak/>
        <w:t>Rockloff</w:t>
      </w:r>
      <w:proofErr w:type="spellEnd"/>
      <w:r w:rsidR="00B8520E">
        <w:t xml:space="preserve"> et al., 2018</w:t>
      </w:r>
      <w:r w:rsidR="007D368C">
        <w:rPr>
          <w:rFonts w:cs="Arial"/>
        </w:rPr>
        <w:t>)</w:t>
      </w:r>
      <w:r w:rsidR="00846965">
        <w:t>.</w:t>
      </w:r>
      <w:r w:rsidR="009854F3">
        <w:t xml:space="preserve"> </w:t>
      </w:r>
      <w:proofErr w:type="spellStart"/>
      <w:r w:rsidR="0077560C">
        <w:t>Gainsbury</w:t>
      </w:r>
      <w:proofErr w:type="spellEnd"/>
      <w:r w:rsidR="0077560C">
        <w:t xml:space="preserve"> and colleagues (</w:t>
      </w:r>
      <w:r w:rsidR="004D4C83">
        <w:t>2015)</w:t>
      </w:r>
      <w:r w:rsidR="00247668">
        <w:t xml:space="preserve"> </w:t>
      </w:r>
      <w:r w:rsidR="004D4C83">
        <w:t xml:space="preserve">found that </w:t>
      </w:r>
      <w:r w:rsidR="0077560C">
        <w:rPr>
          <w:rFonts w:cs="Arial"/>
        </w:rPr>
        <w:t>self-reported migration from social casino games to monetary gambling was more common among males (adolescents and adults), younger adults, adults engaging in higher frequency social casino game play, adults making in-game purchases, and</w:t>
      </w:r>
      <w:r w:rsidR="0077560C" w:rsidRPr="00076384">
        <w:t xml:space="preserve"> </w:t>
      </w:r>
      <w:r w:rsidR="0077560C" w:rsidRPr="00076384">
        <w:rPr>
          <w:rFonts w:cs="Arial"/>
        </w:rPr>
        <w:t xml:space="preserve">adults </w:t>
      </w:r>
      <w:r w:rsidR="0077560C">
        <w:rPr>
          <w:rFonts w:cs="Arial"/>
        </w:rPr>
        <w:t xml:space="preserve">experiencing </w:t>
      </w:r>
      <w:r w:rsidR="0077560C" w:rsidRPr="00076384">
        <w:rPr>
          <w:rFonts w:cs="Arial"/>
        </w:rPr>
        <w:t>higher levels of problem gambling</w:t>
      </w:r>
      <w:r w:rsidR="0077560C">
        <w:rPr>
          <w:rFonts w:cs="Arial"/>
        </w:rPr>
        <w:t>. The m</w:t>
      </w:r>
      <w:r w:rsidR="0077560C">
        <w:t xml:space="preserve">ost common reason to migrate from a social casino game </w:t>
      </w:r>
      <w:r w:rsidR="001774EA">
        <w:t xml:space="preserve">use </w:t>
      </w:r>
      <w:r w:rsidR="0077560C">
        <w:t>to monetary gambling was to win money.</w:t>
      </w:r>
      <w:r w:rsidR="00021048">
        <w:t xml:space="preserve"> </w:t>
      </w:r>
    </w:p>
    <w:p w14:paraId="4CA8F382" w14:textId="508F761E" w:rsidR="00021048" w:rsidRPr="00B140ED" w:rsidRDefault="0089495D" w:rsidP="00A35406">
      <w:pPr>
        <w:pStyle w:val="BodyText"/>
        <w:rPr>
          <w:rFonts w:cs="Arial"/>
        </w:rPr>
      </w:pPr>
      <w:r>
        <w:t>S</w:t>
      </w:r>
      <w:r w:rsidR="007E0EA2">
        <w:t xml:space="preserve">elf-reported </w:t>
      </w:r>
      <w:r w:rsidR="00021048">
        <w:t>migration in the other direction from monetary gambling to social casino game engagement</w:t>
      </w:r>
      <w:r>
        <w:t xml:space="preserve"> has also been reported</w:t>
      </w:r>
      <w:r w:rsidR="00021048">
        <w:t xml:space="preserve">; the main </w:t>
      </w:r>
      <w:r>
        <w:t xml:space="preserve">reported </w:t>
      </w:r>
      <w:r w:rsidR="00021048">
        <w:t>motivations for this were to play without spending money, and that social casino games were easier to play, more social, and more fun/better than monetary gambling (</w:t>
      </w:r>
      <w:proofErr w:type="spellStart"/>
      <w:r w:rsidR="00021048">
        <w:t>Gainsbury</w:t>
      </w:r>
      <w:proofErr w:type="spellEnd"/>
      <w:r w:rsidR="00021048">
        <w:t xml:space="preserve">, King, </w:t>
      </w:r>
      <w:proofErr w:type="spellStart"/>
      <w:r w:rsidR="00021048">
        <w:t>Delfabbro</w:t>
      </w:r>
      <w:proofErr w:type="spellEnd"/>
      <w:r w:rsidR="00021048">
        <w:t xml:space="preserve"> et al., 2015). </w:t>
      </w:r>
    </w:p>
    <w:p w14:paraId="66793DE3" w14:textId="77777777" w:rsidR="00AB769C" w:rsidRDefault="0059464A" w:rsidP="00AB769C">
      <w:pPr>
        <w:pStyle w:val="Heading3"/>
      </w:pPr>
      <w:r>
        <w:t>Other i</w:t>
      </w:r>
      <w:r w:rsidR="00AB769C">
        <w:t>n-game purchases</w:t>
      </w:r>
    </w:p>
    <w:p w14:paraId="54482221" w14:textId="3D063426" w:rsidR="00BB7ADA" w:rsidRDefault="007C7A66" w:rsidP="00897FF2">
      <w:pPr>
        <w:pStyle w:val="BodyText"/>
      </w:pPr>
      <w:r>
        <w:t>There is l</w:t>
      </w:r>
      <w:r w:rsidR="00C555F1">
        <w:t>imited</w:t>
      </w:r>
      <w:r>
        <w:t xml:space="preserve"> r</w:t>
      </w:r>
      <w:r w:rsidR="0091131D">
        <w:t>esearch</w:t>
      </w:r>
      <w:r w:rsidR="0088182D">
        <w:t xml:space="preserve"> </w:t>
      </w:r>
      <w:r w:rsidR="0047583C">
        <w:t xml:space="preserve">examining </w:t>
      </w:r>
      <w:r w:rsidR="0088182D">
        <w:t xml:space="preserve">the </w:t>
      </w:r>
      <w:r w:rsidR="0091131D">
        <w:t xml:space="preserve">association </w:t>
      </w:r>
      <w:r w:rsidR="0088182D">
        <w:t xml:space="preserve">between in-game purchases and monetary gambling </w:t>
      </w:r>
      <w:r w:rsidR="005B4110">
        <w:t>(</w:t>
      </w:r>
      <w:r w:rsidR="0088182D">
        <w:t xml:space="preserve">separate </w:t>
      </w:r>
      <w:r w:rsidR="002415F3">
        <w:t xml:space="preserve">to </w:t>
      </w:r>
      <w:r w:rsidR="0091131D">
        <w:t>in-game purchasing made specifically for loot boxes and simulated gambling</w:t>
      </w:r>
      <w:r w:rsidR="007B58B6">
        <w:t>)</w:t>
      </w:r>
      <w:r w:rsidR="0091131D">
        <w:t xml:space="preserve">. A study with </w:t>
      </w:r>
      <w:r w:rsidR="00724004">
        <w:t xml:space="preserve">German adults on in-game purchasing for game advantage (called pay-to-win) found </w:t>
      </w:r>
      <w:r w:rsidR="00BA1F6C">
        <w:t xml:space="preserve">that </w:t>
      </w:r>
      <w:r w:rsidR="00821B85">
        <w:t xml:space="preserve">making more frequent pay-to-win payments </w:t>
      </w:r>
      <w:r w:rsidR="00BA1F6C">
        <w:t>was</w:t>
      </w:r>
      <w:r w:rsidR="00821B85">
        <w:t xml:space="preserve"> associated with </w:t>
      </w:r>
      <w:r w:rsidR="00027CA6">
        <w:t xml:space="preserve">more frequent </w:t>
      </w:r>
      <w:r w:rsidR="00821B85">
        <w:t xml:space="preserve">gambling participation in lotteries, slots, </w:t>
      </w:r>
      <w:proofErr w:type="gramStart"/>
      <w:r w:rsidR="00821B85">
        <w:t>poker</w:t>
      </w:r>
      <w:proofErr w:type="gramEnd"/>
      <w:r w:rsidR="00821B85">
        <w:t xml:space="preserve"> and casinos</w:t>
      </w:r>
      <w:r w:rsidR="00027CA6">
        <w:t xml:space="preserve"> (Steinmetz</w:t>
      </w:r>
      <w:r w:rsidR="002E1ECA">
        <w:t xml:space="preserve">, Fiedler, von </w:t>
      </w:r>
      <w:proofErr w:type="spellStart"/>
      <w:r w:rsidR="002E1ECA">
        <w:t>Meduna</w:t>
      </w:r>
      <w:proofErr w:type="spellEnd"/>
      <w:r w:rsidR="002E1ECA">
        <w:t xml:space="preserve">, &amp; Ante, </w:t>
      </w:r>
      <w:r w:rsidR="00027CA6">
        <w:t xml:space="preserve">2021). </w:t>
      </w:r>
      <w:r w:rsidR="00502D72">
        <w:t>A</w:t>
      </w:r>
      <w:r w:rsidR="0020092A">
        <w:t>nother</w:t>
      </w:r>
      <w:r w:rsidR="00502D72">
        <w:t xml:space="preserve"> Finnish study with </w:t>
      </w:r>
      <w:r w:rsidR="007D00D4" w:rsidDel="00701A5B">
        <w:t>15</w:t>
      </w:r>
      <w:r w:rsidR="007D00D4">
        <w:t>–16-year-olds</w:t>
      </w:r>
      <w:r w:rsidR="00502D72">
        <w:t xml:space="preserve"> found that </w:t>
      </w:r>
      <w:r w:rsidR="007B0850">
        <w:t xml:space="preserve">using money in digital games increased the risk of gambling in the </w:t>
      </w:r>
      <w:r w:rsidR="00E378EF">
        <w:t xml:space="preserve">past </w:t>
      </w:r>
      <w:r w:rsidR="007B0850">
        <w:t>12 months</w:t>
      </w:r>
      <w:r w:rsidR="00BB7ADA">
        <w:t xml:space="preserve">, and that this was more </w:t>
      </w:r>
      <w:r w:rsidR="008848C7">
        <w:t>likely among</w:t>
      </w:r>
      <w:r w:rsidR="00BB7ADA">
        <w:t xml:space="preserve"> males than females (</w:t>
      </w:r>
      <w:proofErr w:type="spellStart"/>
      <w:r w:rsidR="00BB7ADA">
        <w:t>Castrén</w:t>
      </w:r>
      <w:proofErr w:type="spellEnd"/>
      <w:r w:rsidR="00BB7ADA">
        <w:t xml:space="preserve">, </w:t>
      </w:r>
      <w:proofErr w:type="spellStart"/>
      <w:r w:rsidR="00BB7ADA">
        <w:t>Järvinen-Tassopoulos</w:t>
      </w:r>
      <w:proofErr w:type="spellEnd"/>
      <w:r w:rsidR="00BB7ADA">
        <w:t xml:space="preserve">, &amp; </w:t>
      </w:r>
      <w:proofErr w:type="spellStart"/>
      <w:r w:rsidR="00BB7ADA">
        <w:t>Raitasalo</w:t>
      </w:r>
      <w:proofErr w:type="spellEnd"/>
      <w:r w:rsidR="00BB7ADA">
        <w:t>, 2021).</w:t>
      </w:r>
    </w:p>
    <w:p w14:paraId="6E521EB5" w14:textId="77777777" w:rsidR="00F97EFA" w:rsidRDefault="00F97EFA" w:rsidP="00897FF2">
      <w:pPr>
        <w:pStyle w:val="Heading2"/>
      </w:pPr>
      <w:bookmarkStart w:id="17" w:name="_Toc97649953"/>
      <w:bookmarkStart w:id="18" w:name="_Toc106359506"/>
      <w:bookmarkStart w:id="19" w:name="_Toc87017211"/>
      <w:r>
        <w:t xml:space="preserve">Harms associated with loot boxes, simulated </w:t>
      </w:r>
      <w:proofErr w:type="gramStart"/>
      <w:r>
        <w:t>gambling</w:t>
      </w:r>
      <w:proofErr w:type="gramEnd"/>
      <w:r>
        <w:t xml:space="preserve"> and </w:t>
      </w:r>
      <w:r w:rsidR="0059464A">
        <w:t xml:space="preserve">other </w:t>
      </w:r>
      <w:r>
        <w:t>in-game purchases: the importance of reviewing the evidence</w:t>
      </w:r>
      <w:bookmarkEnd w:id="17"/>
      <w:bookmarkEnd w:id="18"/>
    </w:p>
    <w:p w14:paraId="51ED252B" w14:textId="77777777" w:rsidR="00075820" w:rsidRDefault="00A20222" w:rsidP="0076320B">
      <w:pPr>
        <w:pStyle w:val="BodyText"/>
      </w:pPr>
      <w:r>
        <w:t xml:space="preserve">Over the </w:t>
      </w:r>
      <w:r w:rsidR="005B12B6">
        <w:t>p</w:t>
      </w:r>
      <w:r>
        <w:t>ast decade</w:t>
      </w:r>
      <w:r w:rsidR="004B4FB0">
        <w:t>,</w:t>
      </w:r>
      <w:r>
        <w:t xml:space="preserve"> </w:t>
      </w:r>
      <w:r w:rsidR="00D11859">
        <w:t>concerns have been raised</w:t>
      </w:r>
      <w:r w:rsidR="00915900">
        <w:t xml:space="preserve"> that </w:t>
      </w:r>
      <w:r w:rsidR="005C2052">
        <w:t xml:space="preserve">video game </w:t>
      </w:r>
      <w:r w:rsidR="002D3F8D">
        <w:t xml:space="preserve">features </w:t>
      </w:r>
      <w:r w:rsidR="009E4543">
        <w:t xml:space="preserve">such as </w:t>
      </w:r>
      <w:r w:rsidR="00860B5E">
        <w:t xml:space="preserve">loot boxes, simulated gambling and </w:t>
      </w:r>
      <w:r w:rsidR="00780988">
        <w:t>in-game purchases</w:t>
      </w:r>
      <w:r w:rsidR="00860B5E">
        <w:t xml:space="preserve"> </w:t>
      </w:r>
      <w:r w:rsidR="00CC5F23">
        <w:t xml:space="preserve">are </w:t>
      </w:r>
      <w:r w:rsidR="00BC0B5E">
        <w:t xml:space="preserve">potentially harmful to consumers, </w:t>
      </w:r>
      <w:r w:rsidR="00AB122E">
        <w:t>especially</w:t>
      </w:r>
      <w:r w:rsidR="006B0471">
        <w:t xml:space="preserve"> those</w:t>
      </w:r>
      <w:r w:rsidR="00524C9A">
        <w:t xml:space="preserve"> </w:t>
      </w:r>
      <w:r w:rsidR="008E1443">
        <w:t xml:space="preserve">who may be at </w:t>
      </w:r>
      <w:r w:rsidR="0094182B">
        <w:t xml:space="preserve">greater </w:t>
      </w:r>
      <w:r w:rsidR="008E1443">
        <w:t>risk of</w:t>
      </w:r>
      <w:r w:rsidR="00524C9A">
        <w:t xml:space="preserve"> harm (e.</w:t>
      </w:r>
      <w:r w:rsidR="005D161C">
        <w:t>g</w:t>
      </w:r>
      <w:r w:rsidR="00524C9A">
        <w:t xml:space="preserve">. young people, </w:t>
      </w:r>
      <w:r w:rsidR="0029406B">
        <w:t>people who ga</w:t>
      </w:r>
      <w:r w:rsidR="00A23D4C">
        <w:t>mble</w:t>
      </w:r>
      <w:r w:rsidR="00524C9A">
        <w:t>)</w:t>
      </w:r>
      <w:r w:rsidR="00104D13">
        <w:t xml:space="preserve"> (</w:t>
      </w:r>
      <w:proofErr w:type="spellStart"/>
      <w:r w:rsidR="00503DD3">
        <w:t>Derevensky</w:t>
      </w:r>
      <w:proofErr w:type="spellEnd"/>
      <w:r w:rsidR="00503DD3">
        <w:t xml:space="preserve"> &amp; </w:t>
      </w:r>
      <w:proofErr w:type="spellStart"/>
      <w:r w:rsidR="00503DD3">
        <w:t>Gainsbury</w:t>
      </w:r>
      <w:proofErr w:type="spellEnd"/>
      <w:r w:rsidR="00503DD3">
        <w:t xml:space="preserve">, 2016; </w:t>
      </w:r>
      <w:r w:rsidR="00EB0618">
        <w:t xml:space="preserve">Drummond &amp; Sauer, 2018; King et al., 2019; King &amp; </w:t>
      </w:r>
      <w:proofErr w:type="spellStart"/>
      <w:r w:rsidR="00EB0618">
        <w:t>Delfabbro</w:t>
      </w:r>
      <w:proofErr w:type="spellEnd"/>
      <w:r w:rsidR="00EB0618">
        <w:t>, 2018</w:t>
      </w:r>
      <w:r w:rsidR="00141FDD">
        <w:t>a, 2018b</w:t>
      </w:r>
      <w:r w:rsidR="00EB0618">
        <w:t xml:space="preserve">; </w:t>
      </w:r>
      <w:proofErr w:type="spellStart"/>
      <w:r w:rsidR="00EB0618">
        <w:t>Petrovskaya</w:t>
      </w:r>
      <w:proofErr w:type="spellEnd"/>
      <w:r w:rsidR="00EB0618">
        <w:t xml:space="preserve"> &amp; </w:t>
      </w:r>
      <w:proofErr w:type="spellStart"/>
      <w:r w:rsidR="00EB0618">
        <w:t>Zendle</w:t>
      </w:r>
      <w:proofErr w:type="spellEnd"/>
      <w:r w:rsidR="00EB0618">
        <w:t>, 2021)</w:t>
      </w:r>
      <w:r w:rsidR="00503DD3">
        <w:t>.</w:t>
      </w:r>
      <w:r w:rsidR="00BD563F">
        <w:t xml:space="preserve"> </w:t>
      </w:r>
      <w:r w:rsidR="00DD62E0">
        <w:t xml:space="preserve">Understanding the types and </w:t>
      </w:r>
      <w:r w:rsidR="00DD62E0" w:rsidRPr="00E56388">
        <w:t xml:space="preserve">amount </w:t>
      </w:r>
      <w:r w:rsidR="00DD62E0">
        <w:t xml:space="preserve">of harm associated with </w:t>
      </w:r>
      <w:r w:rsidR="00672F7F">
        <w:t xml:space="preserve">engaging </w:t>
      </w:r>
      <w:r w:rsidR="007A6D0F">
        <w:t xml:space="preserve">with a product or activity </w:t>
      </w:r>
      <w:r w:rsidR="00DD62E0">
        <w:t>is crucial to</w:t>
      </w:r>
      <w:r w:rsidR="007A6D0F">
        <w:t xml:space="preserve"> inform</w:t>
      </w:r>
      <w:r w:rsidR="0094182B">
        <w:t>ing</w:t>
      </w:r>
      <w:r w:rsidR="007A6D0F">
        <w:t xml:space="preserve"> </w:t>
      </w:r>
      <w:r w:rsidR="00DD62E0">
        <w:t>effective harm-minimisation strategies</w:t>
      </w:r>
      <w:r w:rsidR="00313629">
        <w:t xml:space="preserve"> and regulation</w:t>
      </w:r>
      <w:r w:rsidR="00DD62E0">
        <w:t>.</w:t>
      </w:r>
      <w:r w:rsidR="00E821E2">
        <w:t xml:space="preserve"> </w:t>
      </w:r>
    </w:p>
    <w:p w14:paraId="06879546" w14:textId="6DD95D9D" w:rsidR="00AB682E" w:rsidRDefault="0049637D" w:rsidP="0076320B">
      <w:pPr>
        <w:pStyle w:val="BodyText"/>
      </w:pPr>
      <w:r>
        <w:t xml:space="preserve">Harms associated with </w:t>
      </w:r>
      <w:r w:rsidR="005A283C">
        <w:t>loot boxes, simulated gambling and in-game purchases</w:t>
      </w:r>
      <w:r>
        <w:t xml:space="preserve"> c</w:t>
      </w:r>
      <w:r w:rsidR="00CB3C42">
        <w:t>an</w:t>
      </w:r>
      <w:r>
        <w:t xml:space="preserve"> be direct (e.g. financial harm, gaming disorder) or indirect (e.g. via monetary gambling and gambling problems). </w:t>
      </w:r>
      <w:r w:rsidR="00CD0609">
        <w:t>As these products often simulate gambling-like features, the experience of gambling harm is a key concern</w:t>
      </w:r>
      <w:r w:rsidR="00397757">
        <w:t>. I</w:t>
      </w:r>
      <w:r w:rsidR="00A44EB3">
        <w:t>ndividuals can be harmed from gambling in a variety of ways</w:t>
      </w:r>
      <w:r w:rsidR="00CB3E1F">
        <w:t xml:space="preserve">, </w:t>
      </w:r>
      <w:r w:rsidR="00CB3C42">
        <w:t xml:space="preserve">including </w:t>
      </w:r>
      <w:r w:rsidR="000F28C0">
        <w:t xml:space="preserve">impacts on </w:t>
      </w:r>
      <w:r w:rsidR="00CB3C42">
        <w:t>financ</w:t>
      </w:r>
      <w:r w:rsidR="000F28C0">
        <w:t>e</w:t>
      </w:r>
      <w:r w:rsidR="004873D6">
        <w:t>s</w:t>
      </w:r>
      <w:r w:rsidR="00403809">
        <w:t>,</w:t>
      </w:r>
      <w:r w:rsidR="00A44EB3">
        <w:t xml:space="preserve"> relationship</w:t>
      </w:r>
      <w:r w:rsidR="004873D6">
        <w:t>s</w:t>
      </w:r>
      <w:r w:rsidR="00A44EB3">
        <w:t xml:space="preserve">, </w:t>
      </w:r>
      <w:r w:rsidR="00F60C10">
        <w:t xml:space="preserve">health, </w:t>
      </w:r>
      <w:r w:rsidR="00512811">
        <w:t>emotional/psychological</w:t>
      </w:r>
      <w:r w:rsidR="004873D6">
        <w:t xml:space="preserve"> wellbeing</w:t>
      </w:r>
      <w:r w:rsidR="00F60C10">
        <w:t xml:space="preserve">, </w:t>
      </w:r>
      <w:r w:rsidR="00083FD7">
        <w:t xml:space="preserve">and work/study </w:t>
      </w:r>
      <w:r w:rsidR="008523A5">
        <w:t>(Browne et al., 2016)</w:t>
      </w:r>
      <w:r w:rsidR="000E7213">
        <w:t>.</w:t>
      </w:r>
      <w:r w:rsidR="009C2729">
        <w:t xml:space="preserve"> </w:t>
      </w:r>
      <w:r w:rsidR="00300657">
        <w:t xml:space="preserve">The most common measure of gambling harm is the Short Gambling Harm Screen (SGHS; Browne, </w:t>
      </w:r>
      <w:r w:rsidR="00AB682E">
        <w:t xml:space="preserve">Goodwin &amp; </w:t>
      </w:r>
      <w:proofErr w:type="spellStart"/>
      <w:r w:rsidR="00AB682E">
        <w:t>Rockloff</w:t>
      </w:r>
      <w:proofErr w:type="spellEnd"/>
      <w:r w:rsidR="00AB682E">
        <w:t>, 201</w:t>
      </w:r>
      <w:r w:rsidR="00867A22">
        <w:t>7</w:t>
      </w:r>
      <w:r w:rsidR="00AB682E">
        <w:t xml:space="preserve">). </w:t>
      </w:r>
    </w:p>
    <w:p w14:paraId="0B4C78CB" w14:textId="40A5A08C" w:rsidR="000D4EB4" w:rsidRDefault="009C2729" w:rsidP="00897FF2">
      <w:pPr>
        <w:pStyle w:val="BodyText"/>
      </w:pPr>
      <w:r>
        <w:t>Behaviours are often easier to measure than harms.</w:t>
      </w:r>
      <w:r w:rsidR="009242DF">
        <w:t xml:space="preserve"> </w:t>
      </w:r>
      <w:r w:rsidR="0066127D">
        <w:t xml:space="preserve">Risk of </w:t>
      </w:r>
      <w:r w:rsidR="00E322AE">
        <w:t>‘</w:t>
      </w:r>
      <w:r w:rsidR="00AB682E">
        <w:t>P</w:t>
      </w:r>
      <w:r w:rsidR="001B7A81">
        <w:t xml:space="preserve">roblem </w:t>
      </w:r>
      <w:r w:rsidR="00AB682E">
        <w:t>G</w:t>
      </w:r>
      <w:r w:rsidR="001B7A81">
        <w:t>ambling</w:t>
      </w:r>
      <w:r w:rsidR="00E322AE">
        <w:t>’</w:t>
      </w:r>
      <w:r w:rsidR="00AB682E">
        <w:t>,</w:t>
      </w:r>
      <w:r w:rsidR="001B7A81">
        <w:t xml:space="preserve"> </w:t>
      </w:r>
      <w:r>
        <w:t xml:space="preserve">or symptoms of </w:t>
      </w:r>
      <w:r w:rsidR="00E322AE">
        <w:t>‘</w:t>
      </w:r>
      <w:r>
        <w:t>Gam</w:t>
      </w:r>
      <w:r w:rsidR="009F6DF1">
        <w:t>bl</w:t>
      </w:r>
      <w:r>
        <w:t>ing Disorder</w:t>
      </w:r>
      <w:r w:rsidR="00E322AE">
        <w:t>’</w:t>
      </w:r>
      <w:r w:rsidR="001B7A81">
        <w:t xml:space="preserve"> </w:t>
      </w:r>
      <w:r>
        <w:t>are</w:t>
      </w:r>
      <w:r w:rsidR="001B7A81">
        <w:t xml:space="preserve"> often measured instead of harms</w:t>
      </w:r>
      <w:r w:rsidR="00854ECB">
        <w:t xml:space="preserve">. Scales designed to screen for these </w:t>
      </w:r>
      <w:r w:rsidR="007602A7">
        <w:t>issues</w:t>
      </w:r>
      <w:r w:rsidR="00300657">
        <w:t xml:space="preserve"> often </w:t>
      </w:r>
      <w:r w:rsidR="007602A7">
        <w:t>probe</w:t>
      </w:r>
      <w:r w:rsidR="00300657">
        <w:t xml:space="preserve"> certain ‘high-risk’ </w:t>
      </w:r>
      <w:r w:rsidR="007602A7">
        <w:t xml:space="preserve">gambling </w:t>
      </w:r>
      <w:r w:rsidR="00300657">
        <w:t xml:space="preserve">behaviours (e.g., </w:t>
      </w:r>
      <w:r w:rsidR="001C47BA">
        <w:t>‘</w:t>
      </w:r>
      <w:r w:rsidR="00300657">
        <w:t>Gambled more than I could afford to lose</w:t>
      </w:r>
      <w:r w:rsidR="001C47BA">
        <w:t>’</w:t>
      </w:r>
      <w:r w:rsidR="00300657">
        <w:t>)</w:t>
      </w:r>
      <w:r>
        <w:t>.</w:t>
      </w:r>
      <w:r w:rsidR="00300657">
        <w:t xml:space="preserve"> The most </w:t>
      </w:r>
      <w:r w:rsidR="001C47BA">
        <w:t>common</w:t>
      </w:r>
      <w:r w:rsidR="00300657">
        <w:t xml:space="preserve"> measure </w:t>
      </w:r>
      <w:r w:rsidR="0053281A">
        <w:t>of</w:t>
      </w:r>
      <w:r w:rsidR="00300657">
        <w:t xml:space="preserve"> </w:t>
      </w:r>
      <w:r w:rsidR="0053281A">
        <w:t>‘</w:t>
      </w:r>
      <w:r w:rsidR="007602A7">
        <w:t>P</w:t>
      </w:r>
      <w:r w:rsidR="00300657">
        <w:t xml:space="preserve">roblem </w:t>
      </w:r>
      <w:r w:rsidR="007602A7">
        <w:t>G</w:t>
      </w:r>
      <w:r w:rsidR="00300657">
        <w:t>ambling</w:t>
      </w:r>
      <w:r w:rsidR="0053281A">
        <w:t>’</w:t>
      </w:r>
      <w:r w:rsidR="00300657">
        <w:t xml:space="preserve"> is the Problem Gambling Severity Index (PGSI; Ferris &amp; Wynne, 2001).</w:t>
      </w:r>
      <w:r w:rsidR="001B7A81">
        <w:t xml:space="preserve"> </w:t>
      </w:r>
    </w:p>
    <w:p w14:paraId="0FC2B55A" w14:textId="0CEADD72" w:rsidR="000D4EB4" w:rsidRDefault="00B67AC4" w:rsidP="00897FF2">
      <w:pPr>
        <w:pStyle w:val="BodyText"/>
      </w:pPr>
      <w:r>
        <w:t>Another</w:t>
      </w:r>
      <w:r w:rsidR="000D4EB4">
        <w:t xml:space="preserve"> type of harm relevant to </w:t>
      </w:r>
      <w:r w:rsidR="0067669D">
        <w:t xml:space="preserve">simulated gambling activities </w:t>
      </w:r>
      <w:r>
        <w:t>is harm associated with video game consumption.</w:t>
      </w:r>
      <w:r w:rsidR="0098769D">
        <w:t xml:space="preserve"> E</w:t>
      </w:r>
      <w:r w:rsidR="002B1C0F">
        <w:t>xcessive or harmful video game consumption</w:t>
      </w:r>
      <w:r>
        <w:t xml:space="preserve"> can </w:t>
      </w:r>
      <w:r w:rsidR="00D53538">
        <w:t>be associated with</w:t>
      </w:r>
      <w:r>
        <w:t xml:space="preserve"> </w:t>
      </w:r>
      <w:r w:rsidR="00227484">
        <w:lastRenderedPageBreak/>
        <w:t xml:space="preserve">health </w:t>
      </w:r>
      <w:r w:rsidR="002B1C0F">
        <w:t>problems</w:t>
      </w:r>
      <w:r w:rsidR="00227484">
        <w:t>,</w:t>
      </w:r>
      <w:r w:rsidR="00F27CB4">
        <w:t xml:space="preserve"> </w:t>
      </w:r>
      <w:r>
        <w:t xml:space="preserve">psychological distress, </w:t>
      </w:r>
      <w:r w:rsidR="00D53538" w:rsidRPr="00D53538">
        <w:t xml:space="preserve">lack of motivation, </w:t>
      </w:r>
      <w:r w:rsidR="00D472BB">
        <w:t>lack of sleep</w:t>
      </w:r>
      <w:r w:rsidR="002B1C0F">
        <w:t xml:space="preserve"> and</w:t>
      </w:r>
      <w:r w:rsidR="004C7118">
        <w:t xml:space="preserve"> poor hygiene</w:t>
      </w:r>
      <w:r w:rsidR="00FA032C">
        <w:t xml:space="preserve"> (</w:t>
      </w:r>
      <w:proofErr w:type="spellStart"/>
      <w:r w:rsidR="008523A5">
        <w:t>Lemmens</w:t>
      </w:r>
      <w:proofErr w:type="spellEnd"/>
      <w:r w:rsidR="001A5549">
        <w:t>,</w:t>
      </w:r>
      <w:r w:rsidR="008523A5">
        <w:t xml:space="preserve"> </w:t>
      </w:r>
      <w:r w:rsidR="001A5549" w:rsidRPr="00FC2ACE">
        <w:t>Valkenburg, &amp; Gentile</w:t>
      </w:r>
      <w:r w:rsidR="001A5549">
        <w:t>,</w:t>
      </w:r>
      <w:r w:rsidR="001A5549" w:rsidDel="001A5549">
        <w:t xml:space="preserve"> </w:t>
      </w:r>
      <w:r w:rsidR="008523A5">
        <w:t>2015</w:t>
      </w:r>
      <w:r w:rsidR="00FA032C">
        <w:t>)</w:t>
      </w:r>
      <w:r w:rsidR="004C7118">
        <w:t>.</w:t>
      </w:r>
      <w:r w:rsidR="009F6DF1">
        <w:t xml:space="preserve"> </w:t>
      </w:r>
      <w:r w:rsidR="008F29BA">
        <w:t>Internet gaming disorder is a</w:t>
      </w:r>
      <w:r w:rsidR="008F29BA" w:rsidRPr="00645E1E">
        <w:t xml:space="preserve"> measure of disordered gaming based on the </w:t>
      </w:r>
      <w:r w:rsidR="008F29BA" w:rsidRPr="00BA7687">
        <w:rPr>
          <w:rFonts w:cs="Arial"/>
          <w:color w:val="auto"/>
          <w:szCs w:val="20"/>
        </w:rPr>
        <w:t>Diagnostic and Statistical Manual for Mental Disorders (DSM-V</w:t>
      </w:r>
      <w:r w:rsidR="008F29BA">
        <w:rPr>
          <w:rFonts w:cs="Arial"/>
          <w:color w:val="auto"/>
          <w:szCs w:val="20"/>
        </w:rPr>
        <w:t xml:space="preserve">) </w:t>
      </w:r>
      <w:r w:rsidR="008F29BA" w:rsidRPr="00645E1E">
        <w:t>(Petry et al., 2014).</w:t>
      </w:r>
    </w:p>
    <w:p w14:paraId="3BB3FA9D" w14:textId="293E2500" w:rsidR="004C543A" w:rsidRPr="00C85C8B" w:rsidRDefault="00DD62E0" w:rsidP="00897FF2">
      <w:pPr>
        <w:pStyle w:val="BodyText"/>
      </w:pPr>
      <w:r>
        <w:t>Causal relationships between</w:t>
      </w:r>
      <w:r w:rsidR="00E970F4" w:rsidDel="008523A5">
        <w:t xml:space="preserve"> </w:t>
      </w:r>
      <w:r w:rsidR="00C15EDD">
        <w:t xml:space="preserve">engagement with </w:t>
      </w:r>
      <w:r>
        <w:t>loot boxes, simulated gambling</w:t>
      </w:r>
      <w:r w:rsidR="00641D9D">
        <w:t>,</w:t>
      </w:r>
      <w:r w:rsidR="00E970F4">
        <w:t xml:space="preserve"> and </w:t>
      </w:r>
      <w:r w:rsidR="00641D9D">
        <w:t xml:space="preserve">other </w:t>
      </w:r>
      <w:r w:rsidR="00E970F4">
        <w:t xml:space="preserve">in-game purchases </w:t>
      </w:r>
      <w:r w:rsidR="008523A5">
        <w:t xml:space="preserve">and harm </w:t>
      </w:r>
      <w:r>
        <w:t xml:space="preserve">are </w:t>
      </w:r>
      <w:r w:rsidR="00B76EAF">
        <w:t>theorised but</w:t>
      </w:r>
      <w:r>
        <w:t xml:space="preserve"> are difficult to </w:t>
      </w:r>
      <w:r w:rsidR="00213F60">
        <w:t>assess</w:t>
      </w:r>
      <w:r>
        <w:t xml:space="preserve"> definitively. This is </w:t>
      </w:r>
      <w:proofErr w:type="gramStart"/>
      <w:r>
        <w:t>similar to</w:t>
      </w:r>
      <w:proofErr w:type="gramEnd"/>
      <w:r>
        <w:t xml:space="preserve"> our understanding of how </w:t>
      </w:r>
      <w:r w:rsidR="00266733">
        <w:t xml:space="preserve">monetary </w:t>
      </w:r>
      <w:r>
        <w:t xml:space="preserve">gambling products (e.g. </w:t>
      </w:r>
      <w:r w:rsidR="00DE4B91">
        <w:t>EGMs</w:t>
      </w:r>
      <w:r w:rsidR="00B76EAF">
        <w:t>/pokies</w:t>
      </w:r>
      <w:r>
        <w:t xml:space="preserve">) relate to gambling problems. </w:t>
      </w:r>
      <w:r w:rsidR="00443E16">
        <w:t>Understanding the s</w:t>
      </w:r>
      <w:r w:rsidR="00411DE0">
        <w:t xml:space="preserve">trength </w:t>
      </w:r>
      <w:r>
        <w:t>of association</w:t>
      </w:r>
      <w:r w:rsidR="002F2B60">
        <w:t xml:space="preserve"> and</w:t>
      </w:r>
      <w:r>
        <w:t xml:space="preserve"> accounting for other factors </w:t>
      </w:r>
      <w:r w:rsidR="008A0F7B">
        <w:t xml:space="preserve">that </w:t>
      </w:r>
      <w:r>
        <w:t>may influence harm</w:t>
      </w:r>
      <w:r w:rsidR="0069607E">
        <w:t>, such as</w:t>
      </w:r>
      <w:r>
        <w:t xml:space="preserve"> demographic</w:t>
      </w:r>
      <w:r w:rsidR="00B76EAF">
        <w:t xml:space="preserve"> characteristics and </w:t>
      </w:r>
      <w:r>
        <w:t>other gambling consumption</w:t>
      </w:r>
      <w:r w:rsidR="0069607E">
        <w:t xml:space="preserve"> (</w:t>
      </w:r>
      <w:r>
        <w:t xml:space="preserve">see </w:t>
      </w:r>
      <w:r w:rsidR="00EB1DF6">
        <w:t xml:space="preserve">Appendix </w:t>
      </w:r>
      <w:r w:rsidR="007F4410">
        <w:t>E</w:t>
      </w:r>
      <w:r w:rsidR="00F92498">
        <w:t xml:space="preserve"> for </w:t>
      </w:r>
      <w:r w:rsidR="00EB1DF6">
        <w:t>definition of ‘</w:t>
      </w:r>
      <w:r w:rsidR="00394F34">
        <w:t>p</w:t>
      </w:r>
      <w:r w:rsidR="00EB1DF6" w:rsidRPr="00EB1DF6">
        <w:t>redictors, mediators, and moderators</w:t>
      </w:r>
      <w:r w:rsidR="00EB1DF6">
        <w:t>’</w:t>
      </w:r>
      <w:r>
        <w:t xml:space="preserve">), </w:t>
      </w:r>
      <w:r w:rsidR="00443E16">
        <w:t xml:space="preserve">can </w:t>
      </w:r>
      <w:r w:rsidR="00394F34">
        <w:t xml:space="preserve">help to </w:t>
      </w:r>
      <w:r>
        <w:t>provide</w:t>
      </w:r>
      <w:r w:rsidR="00DE1F4A">
        <w:t xml:space="preserve"> a more nuanced understanding of </w:t>
      </w:r>
      <w:r>
        <w:t>the relationship between these products and harm.</w:t>
      </w:r>
    </w:p>
    <w:p w14:paraId="02A2265D" w14:textId="77777777" w:rsidR="008773E7" w:rsidRPr="009C67DB" w:rsidRDefault="008773E7" w:rsidP="009C67DB">
      <w:pPr>
        <w:pStyle w:val="BodyText"/>
      </w:pPr>
      <w:bookmarkStart w:id="20" w:name="_Toc97649954"/>
      <w:r w:rsidRPr="009C67DB">
        <w:br w:type="page"/>
      </w:r>
    </w:p>
    <w:p w14:paraId="21A682A5" w14:textId="77777777" w:rsidR="00590C3D" w:rsidRDefault="00F918D0" w:rsidP="00590C3D">
      <w:pPr>
        <w:pStyle w:val="Heading1"/>
      </w:pPr>
      <w:bookmarkStart w:id="21" w:name="_Toc106359507"/>
      <w:r>
        <w:lastRenderedPageBreak/>
        <w:t>Methodology</w:t>
      </w:r>
      <w:bookmarkEnd w:id="20"/>
      <w:bookmarkEnd w:id="21"/>
    </w:p>
    <w:p w14:paraId="0BEECB04" w14:textId="75B867F2" w:rsidR="00F84CF2" w:rsidRDefault="005B1B1E" w:rsidP="00F84CF2">
      <w:pPr>
        <w:pStyle w:val="BodyText"/>
        <w:rPr>
          <w:color w:val="auto"/>
        </w:rPr>
      </w:pPr>
      <w:bookmarkStart w:id="22" w:name="_Hlk95679947"/>
      <w:r>
        <w:t>Th</w:t>
      </w:r>
      <w:r w:rsidR="008F6F15">
        <w:t>is</w:t>
      </w:r>
      <w:r>
        <w:t xml:space="preserve"> research </w:t>
      </w:r>
      <w:r w:rsidR="008F6F15">
        <w:t>aimed</w:t>
      </w:r>
      <w:r>
        <w:t xml:space="preserve"> to evaluat</w:t>
      </w:r>
      <w:r w:rsidR="003A2313">
        <w:t>e</w:t>
      </w:r>
      <w:r>
        <w:t xml:space="preserve"> the evidence on the impacts of loot boxes, </w:t>
      </w:r>
      <w:r w:rsidR="00371880">
        <w:t xml:space="preserve">simulated </w:t>
      </w:r>
      <w:proofErr w:type="gramStart"/>
      <w:r w:rsidR="00371880">
        <w:t>gambling</w:t>
      </w:r>
      <w:proofErr w:type="gramEnd"/>
      <w:r w:rsidR="00371880">
        <w:t xml:space="preserve"> and other </w:t>
      </w:r>
      <w:r>
        <w:t>in-game purchases</w:t>
      </w:r>
      <w:r w:rsidR="00371880">
        <w:t xml:space="preserve">. </w:t>
      </w:r>
      <w:r>
        <w:t xml:space="preserve">Focusing on the harm related to </w:t>
      </w:r>
      <w:r w:rsidR="001D5F15">
        <w:t xml:space="preserve">the </w:t>
      </w:r>
      <w:r>
        <w:t xml:space="preserve">use of these products, the </w:t>
      </w:r>
      <w:r w:rsidRPr="00E3200B">
        <w:rPr>
          <w:color w:val="auto"/>
        </w:rPr>
        <w:t xml:space="preserve">literature review </w:t>
      </w:r>
      <w:r w:rsidR="008F6F15">
        <w:rPr>
          <w:color w:val="auto"/>
        </w:rPr>
        <w:t>sought</w:t>
      </w:r>
      <w:r w:rsidRPr="00E3200B">
        <w:rPr>
          <w:color w:val="auto"/>
        </w:rPr>
        <w:t xml:space="preserve"> to answer </w:t>
      </w:r>
      <w:r w:rsidR="008E7A77">
        <w:rPr>
          <w:color w:val="auto"/>
        </w:rPr>
        <w:t>four</w:t>
      </w:r>
      <w:r w:rsidRPr="00E3200B">
        <w:rPr>
          <w:color w:val="auto"/>
        </w:rPr>
        <w:t xml:space="preserve"> key research questions: </w:t>
      </w:r>
      <w:bookmarkStart w:id="23" w:name="_Hlk89093298"/>
    </w:p>
    <w:p w14:paraId="62EEFF1D" w14:textId="3AEBF021" w:rsidR="00F84CF2" w:rsidRPr="00EF322C" w:rsidRDefault="00F84CF2" w:rsidP="00381DE1">
      <w:pPr>
        <w:pStyle w:val="ListNumber"/>
        <w:numPr>
          <w:ilvl w:val="0"/>
          <w:numId w:val="58"/>
        </w:numPr>
      </w:pPr>
      <w:r w:rsidRPr="00EF322C">
        <w:t>What types of harm, if any, are associated with the use of these products?</w:t>
      </w:r>
    </w:p>
    <w:p w14:paraId="05BDF140" w14:textId="6F342E66" w:rsidR="003A2313" w:rsidRPr="00897FF2" w:rsidRDefault="005B1B1E" w:rsidP="00F72306">
      <w:pPr>
        <w:pStyle w:val="ListNumber"/>
        <w:tabs>
          <w:tab w:val="clear" w:pos="360"/>
        </w:tabs>
      </w:pPr>
      <w:r w:rsidRPr="00897FF2">
        <w:t xml:space="preserve">What is the strength of the </w:t>
      </w:r>
      <w:r w:rsidR="00142B05">
        <w:t>relationship</w:t>
      </w:r>
      <w:r w:rsidRPr="00897FF2">
        <w:t xml:space="preserve"> between the use of these products and harm?</w:t>
      </w:r>
    </w:p>
    <w:p w14:paraId="62DCE570" w14:textId="77777777" w:rsidR="003A2313" w:rsidRPr="00897FF2" w:rsidRDefault="005B1B1E" w:rsidP="00F84CF2">
      <w:pPr>
        <w:pStyle w:val="ListNumber"/>
      </w:pPr>
      <w:r w:rsidRPr="00897FF2">
        <w:t>Which groups are most at</w:t>
      </w:r>
      <w:r w:rsidR="001D5F15" w:rsidRPr="00EF322C">
        <w:t xml:space="preserve"> </w:t>
      </w:r>
      <w:r w:rsidRPr="00897FF2">
        <w:t>risk or vulnerable to harm?</w:t>
      </w:r>
    </w:p>
    <w:p w14:paraId="4F5AD493" w14:textId="77777777" w:rsidR="003A2313" w:rsidRPr="00897FF2" w:rsidRDefault="5CD79731" w:rsidP="00F84CF2">
      <w:pPr>
        <w:pStyle w:val="ListNumber"/>
      </w:pPr>
      <w:r>
        <w:t xml:space="preserve">What are the key predictors, </w:t>
      </w:r>
      <w:proofErr w:type="gramStart"/>
      <w:r>
        <w:t>mediators</w:t>
      </w:r>
      <w:proofErr w:type="gramEnd"/>
      <w:r>
        <w:t xml:space="preserve"> and moderators of harm?</w:t>
      </w:r>
      <w:bookmarkStart w:id="24" w:name="_Hlk89684039"/>
    </w:p>
    <w:p w14:paraId="6A99F1E7" w14:textId="77777777" w:rsidR="009B7FBF" w:rsidRPr="00897FF2" w:rsidRDefault="005F487B" w:rsidP="00F84CF2">
      <w:pPr>
        <w:pStyle w:val="BodyText"/>
      </w:pPr>
      <w:r w:rsidRPr="00897FF2">
        <w:t xml:space="preserve">We also </w:t>
      </w:r>
      <w:r w:rsidR="004C4E7C" w:rsidRPr="00897FF2">
        <w:t xml:space="preserve">examined </w:t>
      </w:r>
      <w:r w:rsidR="00FD7DBB" w:rsidRPr="00897FF2">
        <w:t xml:space="preserve">recommendations </w:t>
      </w:r>
      <w:r w:rsidR="00D56216" w:rsidRPr="00897FF2">
        <w:t xml:space="preserve">in the literature </w:t>
      </w:r>
      <w:r w:rsidR="00FD7DBB" w:rsidRPr="00897FF2">
        <w:t xml:space="preserve">for </w:t>
      </w:r>
      <w:r w:rsidR="005B1B1E" w:rsidRPr="00897FF2">
        <w:t>mitigation and regulatory responses to reduce harm</w:t>
      </w:r>
      <w:r w:rsidR="00C74460" w:rsidRPr="00897FF2">
        <w:t xml:space="preserve"> related to the consumption of these products</w:t>
      </w:r>
      <w:r w:rsidR="00B90298" w:rsidRPr="00897FF2">
        <w:t>.</w:t>
      </w:r>
    </w:p>
    <w:bookmarkEnd w:id="22"/>
    <w:p w14:paraId="2EE21757" w14:textId="77777777" w:rsidR="009B7FBF" w:rsidRPr="00897FF2" w:rsidDel="00FE3591" w:rsidRDefault="0085527A" w:rsidP="00F84CF2">
      <w:pPr>
        <w:pStyle w:val="BodyText"/>
      </w:pPr>
      <w:r w:rsidRPr="00897FF2">
        <w:t xml:space="preserve">The </w:t>
      </w:r>
      <w:r w:rsidR="00FE15D5" w:rsidRPr="00897FF2">
        <w:t xml:space="preserve">review </w:t>
      </w:r>
      <w:r w:rsidRPr="00897FF2">
        <w:t>process included</w:t>
      </w:r>
      <w:r w:rsidR="0082636A" w:rsidRPr="00897FF2">
        <w:t xml:space="preserve"> </w:t>
      </w:r>
      <w:r w:rsidR="00A26161" w:rsidRPr="00897FF2">
        <w:t>t</w:t>
      </w:r>
      <w:r w:rsidR="002E607E" w:rsidRPr="00897FF2">
        <w:t>wo</w:t>
      </w:r>
      <w:r w:rsidR="0082636A" w:rsidRPr="00897FF2">
        <w:t xml:space="preserve"> main stages</w:t>
      </w:r>
      <w:r w:rsidR="00EE61CF" w:rsidRPr="00897FF2">
        <w:t>:</w:t>
      </w:r>
    </w:p>
    <w:p w14:paraId="32A63814" w14:textId="77777777" w:rsidR="0082636A" w:rsidRPr="00897FF2" w:rsidRDefault="6A4B5836" w:rsidP="00F72306">
      <w:pPr>
        <w:pStyle w:val="ListNumber"/>
        <w:numPr>
          <w:ilvl w:val="0"/>
          <w:numId w:val="21"/>
        </w:numPr>
      </w:pPr>
      <w:r>
        <w:t xml:space="preserve">We undertook a </w:t>
      </w:r>
      <w:r w:rsidR="33EDB195">
        <w:t xml:space="preserve">literature search </w:t>
      </w:r>
      <w:r w:rsidR="5C902851">
        <w:t xml:space="preserve">to identify </w:t>
      </w:r>
      <w:r w:rsidR="6F49B6A3">
        <w:t xml:space="preserve">research evidence from the </w:t>
      </w:r>
      <w:r w:rsidR="332C4459">
        <w:t>past 10 years</w:t>
      </w:r>
      <w:r w:rsidR="6F49B6A3">
        <w:t xml:space="preserve"> on the harms associated with loot boxes, simulated </w:t>
      </w:r>
      <w:proofErr w:type="gramStart"/>
      <w:r w:rsidR="6F49B6A3">
        <w:t>gambling</w:t>
      </w:r>
      <w:proofErr w:type="gramEnd"/>
      <w:r w:rsidR="6F49B6A3">
        <w:t xml:space="preserve"> and </w:t>
      </w:r>
      <w:r w:rsidR="00A66FF9">
        <w:t>other in-game</w:t>
      </w:r>
      <w:r w:rsidR="6F49B6A3">
        <w:t xml:space="preserve"> purchases</w:t>
      </w:r>
      <w:r w:rsidR="1BB34DFD">
        <w:t>.</w:t>
      </w:r>
    </w:p>
    <w:p w14:paraId="2DC21814" w14:textId="3506B275" w:rsidR="0001004F" w:rsidRPr="00897FF2" w:rsidRDefault="008F1392" w:rsidP="00F72306">
      <w:pPr>
        <w:pStyle w:val="ListNumber"/>
        <w:numPr>
          <w:ilvl w:val="0"/>
          <w:numId w:val="21"/>
        </w:numPr>
      </w:pPr>
      <w:r>
        <w:t xml:space="preserve">We </w:t>
      </w:r>
      <w:r w:rsidR="004F025D" w:rsidRPr="008F1392">
        <w:t>r</w:t>
      </w:r>
      <w:r w:rsidR="0007656C" w:rsidRPr="008F1392">
        <w:t>eview</w:t>
      </w:r>
      <w:r w:rsidR="00BB7829">
        <w:t>ed</w:t>
      </w:r>
      <w:r w:rsidR="004F025D" w:rsidRPr="00897FF2">
        <w:t xml:space="preserve"> the </w:t>
      </w:r>
      <w:r w:rsidR="0007656C" w:rsidRPr="00897FF2">
        <w:t xml:space="preserve">in-scope </w:t>
      </w:r>
      <w:r w:rsidR="00990F1E" w:rsidRPr="00897FF2">
        <w:t>literature t</w:t>
      </w:r>
      <w:r w:rsidR="00864FE0" w:rsidRPr="00897FF2">
        <w:t xml:space="preserve">o identify </w:t>
      </w:r>
      <w:r w:rsidR="00DF0DD4" w:rsidRPr="00897FF2">
        <w:t xml:space="preserve">the </w:t>
      </w:r>
      <w:r w:rsidR="00865FB1" w:rsidRPr="00897FF2">
        <w:t>generalisability</w:t>
      </w:r>
      <w:r w:rsidR="00703A42" w:rsidRPr="00897FF2">
        <w:t>, strength</w:t>
      </w:r>
      <w:r w:rsidR="00EE27E5">
        <w:t>,</w:t>
      </w:r>
      <w:r w:rsidR="00703A42" w:rsidRPr="00897FF2">
        <w:t xml:space="preserve"> and </w:t>
      </w:r>
      <w:r w:rsidR="00DE1F4E">
        <w:t>value</w:t>
      </w:r>
      <w:r w:rsidR="00703A42" w:rsidRPr="00897FF2">
        <w:t xml:space="preserve"> of the evidence as they relate to </w:t>
      </w:r>
      <w:r w:rsidR="00875FB9" w:rsidRPr="00897FF2">
        <w:t>the four research questions (</w:t>
      </w:r>
      <w:r w:rsidR="00EE27E5">
        <w:t xml:space="preserve">described </w:t>
      </w:r>
      <w:r w:rsidR="00163B36" w:rsidRPr="00897FF2">
        <w:t>above)</w:t>
      </w:r>
      <w:r w:rsidR="00737C79" w:rsidRPr="00897FF2">
        <w:t xml:space="preserve">, as well as recommendations for </w:t>
      </w:r>
      <w:r w:rsidR="00534AFF" w:rsidRPr="00897FF2">
        <w:t>harm mitig</w:t>
      </w:r>
      <w:r w:rsidR="00596A27" w:rsidRPr="00897FF2">
        <w:t>ation and regulatory responses</w:t>
      </w:r>
      <w:r w:rsidR="00163B36" w:rsidRPr="00897FF2">
        <w:t>.</w:t>
      </w:r>
    </w:p>
    <w:p w14:paraId="0A2295AE" w14:textId="1C6342ED" w:rsidR="00350315" w:rsidRPr="00897FF2" w:rsidRDefault="00B84BF2" w:rsidP="00F84CF2">
      <w:pPr>
        <w:pStyle w:val="BodyText"/>
        <w:rPr>
          <w:color w:val="000000"/>
        </w:rPr>
      </w:pPr>
      <w:r>
        <w:t>A glossary of key terms used in th</w:t>
      </w:r>
      <w:r w:rsidR="008007C4">
        <w:t>e</w:t>
      </w:r>
      <w:r>
        <w:t xml:space="preserve"> review are included in Appendix A</w:t>
      </w:r>
      <w:r w:rsidR="0054122E">
        <w:t xml:space="preserve"> and </w:t>
      </w:r>
      <w:r w:rsidR="0088172B" w:rsidRPr="00897FF2">
        <w:t xml:space="preserve">sources of </w:t>
      </w:r>
      <w:r w:rsidR="009304F4" w:rsidRPr="00897FF2">
        <w:t xml:space="preserve">literature in Appendix </w:t>
      </w:r>
      <w:r w:rsidR="0054122E">
        <w:t>B</w:t>
      </w:r>
      <w:r w:rsidR="00973AB7" w:rsidRPr="00897FF2">
        <w:t xml:space="preserve">. </w:t>
      </w:r>
      <w:r w:rsidR="001A5613" w:rsidRPr="00897FF2">
        <w:t xml:space="preserve">Included </w:t>
      </w:r>
      <w:r w:rsidR="00743811" w:rsidRPr="00897FF2">
        <w:t xml:space="preserve">studies were drawn from </w:t>
      </w:r>
      <w:r w:rsidR="00B16285" w:rsidRPr="00897FF2">
        <w:t xml:space="preserve">empirical </w:t>
      </w:r>
      <w:r w:rsidR="00A62192" w:rsidRPr="00897FF2">
        <w:t>research, literature reviews,</w:t>
      </w:r>
      <w:r w:rsidR="003A2D30" w:rsidRPr="00897FF2">
        <w:t xml:space="preserve"> and meta-analyses. </w:t>
      </w:r>
      <w:r w:rsidR="0015798A" w:rsidRPr="00897FF2">
        <w:rPr>
          <w:color w:val="000000"/>
        </w:rPr>
        <w:t xml:space="preserve">Appendix </w:t>
      </w:r>
      <w:r w:rsidR="0054122E">
        <w:rPr>
          <w:color w:val="000000"/>
        </w:rPr>
        <w:t xml:space="preserve">C </w:t>
      </w:r>
      <w:r w:rsidR="0015798A" w:rsidRPr="00897FF2">
        <w:rPr>
          <w:color w:val="000000"/>
        </w:rPr>
        <w:t xml:space="preserve">provides a </w:t>
      </w:r>
      <w:r w:rsidR="0015798A" w:rsidRPr="00252DFC">
        <w:rPr>
          <w:color w:val="000000"/>
        </w:rPr>
        <w:t>flow</w:t>
      </w:r>
      <w:r w:rsidR="00BB7829">
        <w:rPr>
          <w:color w:val="000000"/>
        </w:rPr>
        <w:t xml:space="preserve"> </w:t>
      </w:r>
      <w:r w:rsidR="0015798A" w:rsidRPr="00252DFC">
        <w:rPr>
          <w:color w:val="000000"/>
        </w:rPr>
        <w:t>chart</w:t>
      </w:r>
      <w:r w:rsidR="0015798A" w:rsidRPr="00897FF2">
        <w:rPr>
          <w:color w:val="000000"/>
        </w:rPr>
        <w:t xml:space="preserve"> of the review process. </w:t>
      </w:r>
    </w:p>
    <w:p w14:paraId="6BD4E297" w14:textId="2350806E" w:rsidR="0015798A" w:rsidRPr="00897FF2" w:rsidRDefault="00994067" w:rsidP="00F84CF2">
      <w:pPr>
        <w:pStyle w:val="BodyText"/>
        <w:rPr>
          <w:color w:val="000000"/>
        </w:rPr>
      </w:pPr>
      <w:r>
        <w:rPr>
          <w:color w:val="000000"/>
        </w:rPr>
        <w:t>A</w:t>
      </w:r>
      <w:r w:rsidR="0015798A" w:rsidRPr="00897FF2">
        <w:rPr>
          <w:color w:val="000000"/>
        </w:rPr>
        <w:t>rticles were collected and reviewed</w:t>
      </w:r>
      <w:r w:rsidR="005E6B50">
        <w:rPr>
          <w:color w:val="000000"/>
        </w:rPr>
        <w:t xml:space="preserve"> </w:t>
      </w:r>
      <w:r w:rsidR="000E593B" w:rsidRPr="00897FF2">
        <w:rPr>
          <w:color w:val="000000"/>
        </w:rPr>
        <w:t xml:space="preserve">independently </w:t>
      </w:r>
      <w:r w:rsidR="00560CD4" w:rsidRPr="00560CD4">
        <w:rPr>
          <w:color w:val="000000"/>
        </w:rPr>
        <w:t xml:space="preserve">during November 2021 to February 2022 </w:t>
      </w:r>
      <w:r w:rsidR="00051573" w:rsidRPr="00051573">
        <w:rPr>
          <w:color w:val="000000"/>
        </w:rPr>
        <w:t xml:space="preserve">by two researchers </w:t>
      </w:r>
      <w:r w:rsidR="005E6B50">
        <w:rPr>
          <w:color w:val="000000"/>
        </w:rPr>
        <w:t>b</w:t>
      </w:r>
      <w:r w:rsidR="005E6B50" w:rsidRPr="00897FF2">
        <w:rPr>
          <w:color w:val="000000"/>
        </w:rPr>
        <w:t>ased</w:t>
      </w:r>
      <w:r w:rsidR="00AD21FF" w:rsidRPr="00897FF2" w:rsidDel="00B92760">
        <w:rPr>
          <w:color w:val="000000"/>
        </w:rPr>
        <w:t xml:space="preserve"> on</w:t>
      </w:r>
      <w:r w:rsidR="0015798A" w:rsidRPr="00897FF2" w:rsidDel="00B92760">
        <w:rPr>
          <w:color w:val="000000"/>
        </w:rPr>
        <w:t xml:space="preserve"> the </w:t>
      </w:r>
      <w:r w:rsidR="00F94A03" w:rsidRPr="00897FF2" w:rsidDel="00B92760">
        <w:rPr>
          <w:color w:val="000000"/>
        </w:rPr>
        <w:t>six</w:t>
      </w:r>
      <w:r w:rsidR="0015798A" w:rsidRPr="00897FF2" w:rsidDel="00B92760">
        <w:rPr>
          <w:color w:val="000000"/>
        </w:rPr>
        <w:t xml:space="preserve"> inclusion criteria</w:t>
      </w:r>
      <w:r w:rsidR="0015798A" w:rsidRPr="00897FF2">
        <w:rPr>
          <w:color w:val="000000"/>
        </w:rPr>
        <w:t xml:space="preserve"> </w:t>
      </w:r>
      <w:r w:rsidR="000E593B">
        <w:rPr>
          <w:color w:val="000000"/>
        </w:rPr>
        <w:t xml:space="preserve">outlined in </w:t>
      </w:r>
      <w:r w:rsidR="00F829B6">
        <w:rPr>
          <w:color w:val="000000"/>
        </w:rPr>
        <w:t>Table 1 below</w:t>
      </w:r>
      <w:r w:rsidR="0015798A" w:rsidRPr="00897FF2">
        <w:rPr>
          <w:color w:val="000000"/>
        </w:rPr>
        <w:t>.</w:t>
      </w:r>
      <w:r w:rsidR="0015798A" w:rsidRPr="00897FF2" w:rsidDel="00B92760">
        <w:rPr>
          <w:color w:val="000000"/>
        </w:rPr>
        <w:t xml:space="preserve"> </w:t>
      </w:r>
      <w:r w:rsidR="00786DC3">
        <w:rPr>
          <w:color w:val="000000"/>
        </w:rPr>
        <w:t>Several</w:t>
      </w:r>
      <w:r w:rsidR="0015798A" w:rsidRPr="00897FF2" w:rsidDel="00B92760">
        <w:rPr>
          <w:color w:val="000000"/>
        </w:rPr>
        <w:t xml:space="preserve"> studies met the search </w:t>
      </w:r>
      <w:r w:rsidR="000A60A6" w:rsidRPr="00897FF2" w:rsidDel="00B92760">
        <w:rPr>
          <w:color w:val="000000"/>
        </w:rPr>
        <w:t>criteria</w:t>
      </w:r>
      <w:r w:rsidR="0015798A" w:rsidRPr="00897FF2" w:rsidDel="00B92760">
        <w:rPr>
          <w:color w:val="000000"/>
        </w:rPr>
        <w:t xml:space="preserve"> but did not meet </w:t>
      </w:r>
      <w:r w:rsidR="006C4E43">
        <w:rPr>
          <w:color w:val="000000"/>
        </w:rPr>
        <w:t xml:space="preserve">one or more of </w:t>
      </w:r>
      <w:r w:rsidR="0015798A" w:rsidRPr="00897FF2">
        <w:rPr>
          <w:color w:val="000000"/>
        </w:rPr>
        <w:t>the</w:t>
      </w:r>
      <w:r w:rsidR="0015798A" w:rsidRPr="00897FF2" w:rsidDel="00B92760">
        <w:rPr>
          <w:color w:val="000000"/>
        </w:rPr>
        <w:t xml:space="preserve"> specified inclusion criteria</w:t>
      </w:r>
      <w:r w:rsidR="000A60A6" w:rsidRPr="00897FF2" w:rsidDel="00B92760">
        <w:rPr>
          <w:color w:val="000000"/>
        </w:rPr>
        <w:t xml:space="preserve">. </w:t>
      </w:r>
      <w:r w:rsidR="004E6F6E" w:rsidRPr="00897FF2" w:rsidDel="00B92760">
        <w:rPr>
          <w:color w:val="000000"/>
        </w:rPr>
        <w:t xml:space="preserve">The </w:t>
      </w:r>
      <w:r w:rsidR="0015798A" w:rsidRPr="00897FF2" w:rsidDel="00B92760">
        <w:rPr>
          <w:color w:val="000000"/>
        </w:rPr>
        <w:t>most common</w:t>
      </w:r>
      <w:r w:rsidR="004E6F6E" w:rsidRPr="00897FF2" w:rsidDel="00B92760">
        <w:rPr>
          <w:color w:val="000000"/>
        </w:rPr>
        <w:t xml:space="preserve"> reasons </w:t>
      </w:r>
      <w:r w:rsidR="00B40782" w:rsidRPr="00897FF2" w:rsidDel="00B92760">
        <w:rPr>
          <w:color w:val="000000"/>
        </w:rPr>
        <w:t>for exclusion</w:t>
      </w:r>
      <w:r w:rsidR="004E6F6E" w:rsidRPr="00897FF2" w:rsidDel="00B92760">
        <w:rPr>
          <w:color w:val="000000"/>
        </w:rPr>
        <w:t xml:space="preserve"> were </w:t>
      </w:r>
      <w:r w:rsidR="00553546" w:rsidRPr="00897FF2" w:rsidDel="00B92760">
        <w:rPr>
          <w:color w:val="000000"/>
        </w:rPr>
        <w:t>for not meeting the</w:t>
      </w:r>
      <w:r w:rsidR="000A60A6" w:rsidRPr="00897FF2" w:rsidDel="00B92760">
        <w:rPr>
          <w:color w:val="000000"/>
        </w:rPr>
        <w:t xml:space="preserve"> study type</w:t>
      </w:r>
      <w:r w:rsidR="00CB5213" w:rsidRPr="00897FF2" w:rsidDel="00B92760">
        <w:rPr>
          <w:color w:val="000000"/>
        </w:rPr>
        <w:t xml:space="preserve"> (</w:t>
      </w:r>
      <w:r w:rsidR="007350BD" w:rsidRPr="00897FF2" w:rsidDel="00B92760">
        <w:rPr>
          <w:color w:val="000000"/>
        </w:rPr>
        <w:t>inclusio</w:t>
      </w:r>
      <w:r w:rsidR="005257BC" w:rsidRPr="00897FF2" w:rsidDel="00B92760">
        <w:rPr>
          <w:color w:val="000000"/>
        </w:rPr>
        <w:t>n criteria 5</w:t>
      </w:r>
      <w:r w:rsidR="0098435E" w:rsidRPr="00897FF2" w:rsidDel="00B92760">
        <w:rPr>
          <w:color w:val="000000"/>
        </w:rPr>
        <w:t xml:space="preserve">) </w:t>
      </w:r>
      <w:r w:rsidR="000A60A6" w:rsidRPr="00897FF2" w:rsidDel="00B92760">
        <w:rPr>
          <w:color w:val="000000"/>
        </w:rPr>
        <w:t>or topic</w:t>
      </w:r>
      <w:r w:rsidR="00B20CDB" w:rsidRPr="00897FF2" w:rsidDel="00B92760">
        <w:rPr>
          <w:color w:val="000000"/>
        </w:rPr>
        <w:t xml:space="preserve"> (</w:t>
      </w:r>
      <w:r w:rsidR="00033A90" w:rsidRPr="00897FF2" w:rsidDel="00B92760">
        <w:rPr>
          <w:color w:val="000000"/>
        </w:rPr>
        <w:t>inclusion criteria 6</w:t>
      </w:r>
      <w:r w:rsidR="00B20CDB" w:rsidRPr="00897FF2" w:rsidDel="00B92760">
        <w:rPr>
          <w:color w:val="000000"/>
        </w:rPr>
        <w:t>)</w:t>
      </w:r>
      <w:r w:rsidR="000A60A6" w:rsidRPr="00897FF2" w:rsidDel="00B92760">
        <w:rPr>
          <w:color w:val="000000"/>
        </w:rPr>
        <w:t xml:space="preserve">. </w:t>
      </w:r>
      <w:r w:rsidR="0015798A" w:rsidRPr="00897FF2">
        <w:rPr>
          <w:color w:val="000000"/>
        </w:rPr>
        <w:t xml:space="preserve">A total of 64 research outputs </w:t>
      </w:r>
      <w:r w:rsidR="00E81E92">
        <w:rPr>
          <w:color w:val="000000"/>
        </w:rPr>
        <w:t>met the criteria</w:t>
      </w:r>
      <w:r w:rsidR="00F968C9">
        <w:rPr>
          <w:color w:val="000000"/>
        </w:rPr>
        <w:t xml:space="preserve"> for </w:t>
      </w:r>
      <w:r w:rsidR="00E81E92">
        <w:rPr>
          <w:color w:val="000000"/>
        </w:rPr>
        <w:t>inclusion</w:t>
      </w:r>
      <w:r w:rsidR="00E7436C">
        <w:rPr>
          <w:color w:val="000000"/>
        </w:rPr>
        <w:t>. Detailed information about the individual articles</w:t>
      </w:r>
      <w:r w:rsidR="00E81E92">
        <w:rPr>
          <w:color w:val="000000"/>
        </w:rPr>
        <w:t xml:space="preserve"> </w:t>
      </w:r>
      <w:r w:rsidR="00E7436C">
        <w:rPr>
          <w:color w:val="000000"/>
        </w:rPr>
        <w:t>evaluated</w:t>
      </w:r>
      <w:r w:rsidR="00F968C9" w:rsidRPr="00897FF2">
        <w:rPr>
          <w:color w:val="000000"/>
        </w:rPr>
        <w:t xml:space="preserve"> </w:t>
      </w:r>
      <w:r w:rsidR="0015798A" w:rsidRPr="00897FF2">
        <w:rPr>
          <w:color w:val="000000"/>
        </w:rPr>
        <w:t xml:space="preserve">in the </w:t>
      </w:r>
      <w:r w:rsidR="00E7436C">
        <w:rPr>
          <w:color w:val="000000"/>
        </w:rPr>
        <w:t>current</w:t>
      </w:r>
      <w:r w:rsidR="0015798A" w:rsidRPr="00897FF2">
        <w:rPr>
          <w:color w:val="000000"/>
        </w:rPr>
        <w:t xml:space="preserve"> review</w:t>
      </w:r>
      <w:r w:rsidR="00E7436C">
        <w:rPr>
          <w:color w:val="000000"/>
        </w:rPr>
        <w:t xml:space="preserve"> </w:t>
      </w:r>
      <w:r w:rsidR="00CE7223">
        <w:rPr>
          <w:color w:val="000000"/>
        </w:rPr>
        <w:t>is</w:t>
      </w:r>
      <w:r w:rsidR="00E7436C">
        <w:rPr>
          <w:color w:val="000000"/>
        </w:rPr>
        <w:t xml:space="preserve"> provided in </w:t>
      </w:r>
      <w:r w:rsidR="00490989">
        <w:rPr>
          <w:color w:val="000000"/>
        </w:rPr>
        <w:t>Supplementary Document</w:t>
      </w:r>
      <w:r w:rsidR="007673DC">
        <w:rPr>
          <w:color w:val="000000"/>
        </w:rPr>
        <w:t xml:space="preserve"> 1: Evidence table</w:t>
      </w:r>
      <w:r w:rsidR="0015798A" w:rsidRPr="00897FF2">
        <w:rPr>
          <w:color w:val="000000"/>
        </w:rPr>
        <w:t>.</w:t>
      </w:r>
    </w:p>
    <w:p w14:paraId="298EDA4B" w14:textId="23A0AA6E" w:rsidR="0088540D" w:rsidRPr="00897FF2" w:rsidRDefault="0088540D" w:rsidP="0088540D">
      <w:pPr>
        <w:pStyle w:val="TableCaption"/>
        <w:numPr>
          <w:ilvl w:val="0"/>
          <w:numId w:val="0"/>
        </w:numPr>
        <w:ind w:left="992" w:hanging="992"/>
      </w:pPr>
      <w:r w:rsidRPr="00897FF2">
        <w:t xml:space="preserve">Table 1: </w:t>
      </w:r>
      <w:r w:rsidR="001E12BF">
        <w:t xml:space="preserve">Inclusion criteria </w:t>
      </w:r>
      <w:r w:rsidR="00F829B6">
        <w:t xml:space="preserve">and search terms </w:t>
      </w:r>
      <w:r w:rsidR="001E12BF">
        <w:t>for</w:t>
      </w:r>
      <w:r w:rsidR="00F829B6">
        <w:t xml:space="preserve"> research articles</w:t>
      </w:r>
    </w:p>
    <w:tbl>
      <w:tblPr>
        <w:tblStyle w:val="TableGrid"/>
        <w:tblW w:w="849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0" w:space="0" w:color="auto"/>
          <w:insideV w:val="single" w:sz="8" w:space="0" w:color="FFFFFF" w:themeColor="background1"/>
        </w:tblBorders>
        <w:tblLook w:val="04A0" w:firstRow="1" w:lastRow="0" w:firstColumn="1" w:lastColumn="0" w:noHBand="0" w:noVBand="1"/>
      </w:tblPr>
      <w:tblGrid>
        <w:gridCol w:w="432"/>
        <w:gridCol w:w="1428"/>
        <w:gridCol w:w="5552"/>
        <w:gridCol w:w="1083"/>
      </w:tblGrid>
      <w:tr w:rsidR="002C2516" w14:paraId="235051C2" w14:textId="6CD162FC" w:rsidTr="002C2516">
        <w:trPr>
          <w:cnfStyle w:val="100000000000" w:firstRow="1" w:lastRow="0" w:firstColumn="0" w:lastColumn="0" w:oddVBand="0" w:evenVBand="0" w:oddHBand="0" w:evenHBand="0" w:firstRowFirstColumn="0" w:firstRowLastColumn="0" w:lastRowFirstColumn="0" w:lastRowLastColumn="0"/>
          <w:trHeight w:val="416"/>
        </w:trPr>
        <w:tc>
          <w:tcPr>
            <w:tcW w:w="435" w:type="dxa"/>
            <w:tcBorders>
              <w:top w:val="single" w:sz="4" w:space="0" w:color="auto"/>
              <w:bottom w:val="single" w:sz="4" w:space="0" w:color="auto"/>
              <w:right w:val="single" w:sz="4" w:space="0" w:color="auto"/>
            </w:tcBorders>
            <w:vAlign w:val="center"/>
          </w:tcPr>
          <w:p w14:paraId="2CE4C2C7" w14:textId="77777777" w:rsidR="002C2516" w:rsidRDefault="002C2516" w:rsidP="00697063">
            <w:pPr>
              <w:pStyle w:val="BodyText"/>
              <w:spacing w:before="0" w:line="240" w:lineRule="auto"/>
              <w:rPr>
                <w:b/>
                <w:bCs/>
                <w:color w:val="FFFFFF" w:themeColor="background1"/>
              </w:rPr>
            </w:pPr>
            <w:r>
              <w:rPr>
                <w:b/>
                <w:bCs/>
                <w:color w:val="FFFFFF" w:themeColor="background1"/>
              </w:rPr>
              <w:t>#</w:t>
            </w:r>
          </w:p>
        </w:tc>
        <w:tc>
          <w:tcPr>
            <w:tcW w:w="1433" w:type="dxa"/>
            <w:tcBorders>
              <w:top w:val="single" w:sz="4" w:space="0" w:color="auto"/>
              <w:bottom w:val="single" w:sz="4" w:space="0" w:color="auto"/>
              <w:right w:val="single" w:sz="4" w:space="0" w:color="auto"/>
            </w:tcBorders>
            <w:vAlign w:val="center"/>
          </w:tcPr>
          <w:p w14:paraId="5F1124A2" w14:textId="77777777" w:rsidR="002C2516" w:rsidRPr="00AA29D5" w:rsidRDefault="002C2516" w:rsidP="00697063">
            <w:pPr>
              <w:pStyle w:val="BodyText"/>
              <w:spacing w:before="0" w:line="240" w:lineRule="auto"/>
              <w:rPr>
                <w:b/>
                <w:bCs/>
                <w:color w:val="FFFFFF" w:themeColor="background1"/>
              </w:rPr>
            </w:pPr>
            <w:r>
              <w:rPr>
                <w:b/>
                <w:bCs/>
                <w:color w:val="FFFFFF" w:themeColor="background1"/>
              </w:rPr>
              <w:t>Parameter</w:t>
            </w:r>
          </w:p>
        </w:tc>
        <w:tc>
          <w:tcPr>
            <w:tcW w:w="5635" w:type="dxa"/>
            <w:tcBorders>
              <w:top w:val="single" w:sz="4" w:space="0" w:color="auto"/>
              <w:left w:val="single" w:sz="4" w:space="0" w:color="auto"/>
              <w:bottom w:val="single" w:sz="4" w:space="0" w:color="auto"/>
              <w:right w:val="nil"/>
            </w:tcBorders>
            <w:vAlign w:val="center"/>
          </w:tcPr>
          <w:p w14:paraId="2FB73A9C" w14:textId="77777777" w:rsidR="002C2516" w:rsidRDefault="002C2516" w:rsidP="00697063">
            <w:pPr>
              <w:pStyle w:val="BodyText"/>
              <w:spacing w:before="0" w:line="240" w:lineRule="auto"/>
              <w:rPr>
                <w:b/>
                <w:bCs/>
                <w:color w:val="FFFFFF" w:themeColor="background1"/>
              </w:rPr>
            </w:pPr>
            <w:r>
              <w:rPr>
                <w:b/>
                <w:bCs/>
                <w:color w:val="FFFFFF" w:themeColor="background1"/>
              </w:rPr>
              <w:t>Inclusion criteria</w:t>
            </w:r>
          </w:p>
        </w:tc>
        <w:tc>
          <w:tcPr>
            <w:tcW w:w="992" w:type="dxa"/>
            <w:tcBorders>
              <w:top w:val="single" w:sz="4" w:space="0" w:color="auto"/>
              <w:left w:val="single" w:sz="4" w:space="0" w:color="auto"/>
              <w:bottom w:val="single" w:sz="4" w:space="0" w:color="auto"/>
              <w:right w:val="nil"/>
            </w:tcBorders>
          </w:tcPr>
          <w:p w14:paraId="37CF55CF" w14:textId="26D77B75" w:rsidR="002C2516" w:rsidRDefault="002C2516" w:rsidP="00697063">
            <w:pPr>
              <w:pStyle w:val="BodyText"/>
              <w:spacing w:before="0" w:line="240" w:lineRule="auto"/>
              <w:rPr>
                <w:b/>
                <w:bCs/>
                <w:color w:val="FFFFFF" w:themeColor="background1"/>
              </w:rPr>
            </w:pPr>
            <w:r>
              <w:rPr>
                <w:b/>
                <w:bCs/>
                <w:color w:val="FFFFFF" w:themeColor="background1"/>
              </w:rPr>
              <w:t>Number</w:t>
            </w:r>
            <w:r w:rsidR="0029731B">
              <w:rPr>
                <w:b/>
                <w:bCs/>
                <w:color w:val="FFFFFF" w:themeColor="background1"/>
              </w:rPr>
              <w:t xml:space="preserve"> excluded</w:t>
            </w:r>
          </w:p>
        </w:tc>
      </w:tr>
      <w:tr w:rsidR="002C2516" w14:paraId="2D865E7A" w14:textId="446544BF" w:rsidTr="002C2516">
        <w:trPr>
          <w:trHeight w:val="266"/>
        </w:trPr>
        <w:tc>
          <w:tcPr>
            <w:tcW w:w="435" w:type="dxa"/>
            <w:tcBorders>
              <w:top w:val="single" w:sz="4" w:space="0" w:color="auto"/>
              <w:bottom w:val="single" w:sz="4" w:space="0" w:color="auto"/>
              <w:right w:val="single" w:sz="4" w:space="0" w:color="auto"/>
            </w:tcBorders>
          </w:tcPr>
          <w:p w14:paraId="5B5D4635" w14:textId="77777777" w:rsidR="002C2516" w:rsidRDefault="002C2516" w:rsidP="00697063">
            <w:pPr>
              <w:pStyle w:val="BodyText"/>
              <w:spacing w:before="0" w:line="240" w:lineRule="auto"/>
              <w:rPr>
                <w:lang w:bidi="ar-SA"/>
              </w:rPr>
            </w:pPr>
            <w:r>
              <w:rPr>
                <w:lang w:bidi="ar-SA"/>
              </w:rPr>
              <w:t>1</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45B4B14" w14:textId="77777777" w:rsidR="002C2516" w:rsidRDefault="002C2516" w:rsidP="002C2516">
            <w:pPr>
              <w:pStyle w:val="BodyText"/>
              <w:spacing w:before="0" w:line="240" w:lineRule="auto"/>
              <w:jc w:val="left"/>
            </w:pPr>
            <w:r>
              <w:rPr>
                <w:lang w:bidi="ar-SA"/>
              </w:rPr>
              <w:t>Publication date</w:t>
            </w:r>
          </w:p>
        </w:tc>
        <w:tc>
          <w:tcPr>
            <w:tcW w:w="5635" w:type="dxa"/>
            <w:tcBorders>
              <w:top w:val="single" w:sz="4" w:space="0" w:color="auto"/>
              <w:left w:val="single" w:sz="4" w:space="0" w:color="auto"/>
              <w:bottom w:val="single" w:sz="4" w:space="0" w:color="auto"/>
              <w:right w:val="nil"/>
            </w:tcBorders>
          </w:tcPr>
          <w:p w14:paraId="5D5C005A" w14:textId="13B96E59" w:rsidR="002C2516" w:rsidRDefault="002C2516" w:rsidP="002C2516">
            <w:pPr>
              <w:pStyle w:val="BodyText"/>
              <w:spacing w:before="0" w:line="240" w:lineRule="auto"/>
              <w:jc w:val="left"/>
            </w:pPr>
            <w:r>
              <w:rPr>
                <w:lang w:bidi="ar-SA"/>
              </w:rPr>
              <w:t>January 20</w:t>
            </w:r>
            <w:r w:rsidR="00DC5DC4">
              <w:rPr>
                <w:lang w:bidi="ar-SA"/>
              </w:rPr>
              <w:t>1</w:t>
            </w:r>
            <w:r>
              <w:rPr>
                <w:lang w:bidi="ar-SA"/>
              </w:rPr>
              <w:t>1 – December 2021</w:t>
            </w:r>
          </w:p>
        </w:tc>
        <w:tc>
          <w:tcPr>
            <w:tcW w:w="992" w:type="dxa"/>
            <w:tcBorders>
              <w:top w:val="single" w:sz="4" w:space="0" w:color="auto"/>
              <w:left w:val="single" w:sz="4" w:space="0" w:color="auto"/>
              <w:bottom w:val="single" w:sz="4" w:space="0" w:color="auto"/>
              <w:right w:val="nil"/>
            </w:tcBorders>
          </w:tcPr>
          <w:p w14:paraId="7C0B3B89" w14:textId="7E040F36" w:rsidR="002C2516" w:rsidRDefault="003C526C" w:rsidP="00FA14AB">
            <w:pPr>
              <w:pStyle w:val="BodyText"/>
              <w:spacing w:before="0" w:line="240" w:lineRule="auto"/>
              <w:jc w:val="center"/>
              <w:rPr>
                <w:lang w:bidi="ar-SA"/>
              </w:rPr>
            </w:pPr>
            <w:r>
              <w:rPr>
                <w:lang w:bidi="ar-SA"/>
              </w:rPr>
              <w:t>0</w:t>
            </w:r>
          </w:p>
        </w:tc>
      </w:tr>
      <w:tr w:rsidR="002C2516" w14:paraId="040B40AA" w14:textId="727B2454" w:rsidTr="002C2516">
        <w:trPr>
          <w:trHeight w:val="266"/>
        </w:trPr>
        <w:tc>
          <w:tcPr>
            <w:tcW w:w="435" w:type="dxa"/>
            <w:tcBorders>
              <w:top w:val="single" w:sz="4" w:space="0" w:color="auto"/>
              <w:bottom w:val="single" w:sz="4" w:space="0" w:color="auto"/>
              <w:right w:val="single" w:sz="4" w:space="0" w:color="auto"/>
            </w:tcBorders>
          </w:tcPr>
          <w:p w14:paraId="16E349BC" w14:textId="77777777" w:rsidR="002C2516" w:rsidRDefault="002C2516" w:rsidP="00697063">
            <w:pPr>
              <w:pStyle w:val="BodyText"/>
              <w:spacing w:before="0" w:line="240" w:lineRule="auto"/>
              <w:rPr>
                <w:lang w:bidi="ar-SA"/>
              </w:rPr>
            </w:pPr>
            <w:r>
              <w:rPr>
                <w:lang w:bidi="ar-SA"/>
              </w:rPr>
              <w:t>2</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8907BDA" w14:textId="77777777" w:rsidR="002C2516" w:rsidRDefault="002C2516" w:rsidP="002C2516">
            <w:pPr>
              <w:pStyle w:val="BodyText"/>
              <w:spacing w:before="0" w:line="240" w:lineRule="auto"/>
              <w:jc w:val="left"/>
              <w:rPr>
                <w:lang w:bidi="ar-SA"/>
              </w:rPr>
            </w:pPr>
            <w:r>
              <w:rPr>
                <w:lang w:bidi="ar-SA"/>
              </w:rPr>
              <w:t>Language</w:t>
            </w:r>
          </w:p>
        </w:tc>
        <w:tc>
          <w:tcPr>
            <w:tcW w:w="5635" w:type="dxa"/>
            <w:tcBorders>
              <w:top w:val="single" w:sz="4" w:space="0" w:color="auto"/>
              <w:left w:val="single" w:sz="4" w:space="0" w:color="auto"/>
              <w:bottom w:val="single" w:sz="4" w:space="0" w:color="auto"/>
              <w:right w:val="nil"/>
            </w:tcBorders>
          </w:tcPr>
          <w:p w14:paraId="49EC29C5" w14:textId="77777777" w:rsidR="002C2516" w:rsidRDefault="002C2516" w:rsidP="002C2516">
            <w:pPr>
              <w:pStyle w:val="BodyText"/>
              <w:spacing w:before="0" w:line="240" w:lineRule="auto"/>
              <w:jc w:val="left"/>
              <w:rPr>
                <w:lang w:bidi="ar-SA"/>
              </w:rPr>
            </w:pPr>
            <w:r>
              <w:rPr>
                <w:lang w:bidi="ar-SA"/>
              </w:rPr>
              <w:t>English</w:t>
            </w:r>
          </w:p>
        </w:tc>
        <w:tc>
          <w:tcPr>
            <w:tcW w:w="992" w:type="dxa"/>
            <w:tcBorders>
              <w:top w:val="single" w:sz="4" w:space="0" w:color="auto"/>
              <w:left w:val="single" w:sz="4" w:space="0" w:color="auto"/>
              <w:bottom w:val="single" w:sz="4" w:space="0" w:color="auto"/>
              <w:right w:val="nil"/>
            </w:tcBorders>
          </w:tcPr>
          <w:p w14:paraId="792DAA6A" w14:textId="3F74C706" w:rsidR="002C2516" w:rsidRDefault="003C526C" w:rsidP="00FA14AB">
            <w:pPr>
              <w:pStyle w:val="BodyText"/>
              <w:spacing w:before="0" w:line="240" w:lineRule="auto"/>
              <w:jc w:val="center"/>
              <w:rPr>
                <w:lang w:bidi="ar-SA"/>
              </w:rPr>
            </w:pPr>
            <w:r>
              <w:rPr>
                <w:lang w:bidi="ar-SA"/>
              </w:rPr>
              <w:t>0</w:t>
            </w:r>
          </w:p>
        </w:tc>
      </w:tr>
      <w:tr w:rsidR="002C2516" w14:paraId="2BA2EF28" w14:textId="18315A26" w:rsidTr="002C2516">
        <w:trPr>
          <w:trHeight w:val="284"/>
        </w:trPr>
        <w:tc>
          <w:tcPr>
            <w:tcW w:w="435" w:type="dxa"/>
            <w:tcBorders>
              <w:top w:val="single" w:sz="4" w:space="0" w:color="auto"/>
              <w:bottom w:val="single" w:sz="4" w:space="0" w:color="auto"/>
              <w:right w:val="single" w:sz="4" w:space="0" w:color="auto"/>
            </w:tcBorders>
          </w:tcPr>
          <w:p w14:paraId="3EBC61EB" w14:textId="77777777" w:rsidR="002C2516" w:rsidRDefault="002C2516" w:rsidP="00697063">
            <w:pPr>
              <w:pStyle w:val="BodyText"/>
              <w:spacing w:before="0" w:line="240" w:lineRule="auto"/>
              <w:rPr>
                <w:lang w:bidi="ar-SA"/>
              </w:rPr>
            </w:pPr>
            <w:r>
              <w:rPr>
                <w:lang w:bidi="ar-SA"/>
              </w:rPr>
              <w:t>3</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055BFF" w14:textId="77777777" w:rsidR="002C2516" w:rsidRDefault="002C2516" w:rsidP="002C2516">
            <w:pPr>
              <w:pStyle w:val="BodyText"/>
              <w:spacing w:before="0" w:line="240" w:lineRule="auto"/>
              <w:jc w:val="left"/>
            </w:pPr>
            <w:r>
              <w:rPr>
                <w:lang w:bidi="ar-SA"/>
              </w:rPr>
              <w:t>Publication type</w:t>
            </w:r>
          </w:p>
        </w:tc>
        <w:tc>
          <w:tcPr>
            <w:tcW w:w="5635" w:type="dxa"/>
            <w:tcBorders>
              <w:top w:val="single" w:sz="4" w:space="0" w:color="auto"/>
              <w:left w:val="single" w:sz="4" w:space="0" w:color="auto"/>
              <w:bottom w:val="single" w:sz="4" w:space="0" w:color="auto"/>
              <w:right w:val="nil"/>
            </w:tcBorders>
          </w:tcPr>
          <w:p w14:paraId="54A7277E" w14:textId="77777777" w:rsidR="002C2516" w:rsidRPr="00FA73D9" w:rsidRDefault="002C2516" w:rsidP="002C2516">
            <w:pPr>
              <w:pStyle w:val="BodyText"/>
              <w:spacing w:before="0" w:line="240" w:lineRule="auto"/>
              <w:jc w:val="left"/>
            </w:pPr>
            <w:r>
              <w:t>Journal articles, reports</w:t>
            </w:r>
          </w:p>
        </w:tc>
        <w:tc>
          <w:tcPr>
            <w:tcW w:w="992" w:type="dxa"/>
            <w:tcBorders>
              <w:top w:val="single" w:sz="4" w:space="0" w:color="auto"/>
              <w:left w:val="single" w:sz="4" w:space="0" w:color="auto"/>
              <w:bottom w:val="single" w:sz="4" w:space="0" w:color="auto"/>
              <w:right w:val="nil"/>
            </w:tcBorders>
          </w:tcPr>
          <w:p w14:paraId="385C13AF" w14:textId="297097DF" w:rsidR="002C2516" w:rsidRDefault="003B50B3" w:rsidP="00FA14AB">
            <w:pPr>
              <w:pStyle w:val="BodyText"/>
              <w:spacing w:before="0" w:line="240" w:lineRule="auto"/>
              <w:jc w:val="center"/>
            </w:pPr>
            <w:r>
              <w:t>0</w:t>
            </w:r>
          </w:p>
        </w:tc>
      </w:tr>
      <w:tr w:rsidR="002C2516" w14:paraId="18DBA7F1" w14:textId="5432E646" w:rsidTr="002C2516">
        <w:trPr>
          <w:trHeight w:val="274"/>
        </w:trPr>
        <w:tc>
          <w:tcPr>
            <w:tcW w:w="435" w:type="dxa"/>
            <w:tcBorders>
              <w:top w:val="single" w:sz="4" w:space="0" w:color="auto"/>
              <w:bottom w:val="single" w:sz="4" w:space="0" w:color="auto"/>
              <w:right w:val="single" w:sz="4" w:space="0" w:color="auto"/>
            </w:tcBorders>
          </w:tcPr>
          <w:p w14:paraId="24BD97F7" w14:textId="77777777" w:rsidR="002C2516" w:rsidRDefault="002C2516" w:rsidP="00697063">
            <w:pPr>
              <w:pStyle w:val="BodyText"/>
              <w:spacing w:before="0" w:line="240" w:lineRule="auto"/>
              <w:rPr>
                <w:lang w:bidi="ar-SA"/>
              </w:rPr>
            </w:pPr>
            <w:r>
              <w:rPr>
                <w:lang w:bidi="ar-SA"/>
              </w:rPr>
              <w:t>4</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87BAEAF" w14:textId="77777777" w:rsidR="002C2516" w:rsidRDefault="002C2516" w:rsidP="002C2516">
            <w:pPr>
              <w:pStyle w:val="BodyText"/>
              <w:spacing w:before="0" w:line="240" w:lineRule="auto"/>
              <w:jc w:val="left"/>
            </w:pPr>
            <w:r>
              <w:t>If journal article:</w:t>
            </w:r>
          </w:p>
        </w:tc>
        <w:tc>
          <w:tcPr>
            <w:tcW w:w="5635" w:type="dxa"/>
            <w:tcBorders>
              <w:top w:val="single" w:sz="4" w:space="0" w:color="auto"/>
              <w:left w:val="single" w:sz="4" w:space="0" w:color="auto"/>
              <w:bottom w:val="single" w:sz="4" w:space="0" w:color="auto"/>
              <w:right w:val="nil"/>
            </w:tcBorders>
          </w:tcPr>
          <w:p w14:paraId="5BE91BC8" w14:textId="77777777" w:rsidR="002C2516" w:rsidRDefault="002C2516" w:rsidP="002C2516">
            <w:pPr>
              <w:pStyle w:val="BodyText"/>
              <w:spacing w:before="0" w:line="240" w:lineRule="auto"/>
              <w:jc w:val="left"/>
            </w:pPr>
            <w:r>
              <w:t>Peer reviewed, exclude pre-prints</w:t>
            </w:r>
          </w:p>
        </w:tc>
        <w:tc>
          <w:tcPr>
            <w:tcW w:w="992" w:type="dxa"/>
            <w:tcBorders>
              <w:top w:val="single" w:sz="4" w:space="0" w:color="auto"/>
              <w:left w:val="single" w:sz="4" w:space="0" w:color="auto"/>
              <w:bottom w:val="single" w:sz="4" w:space="0" w:color="auto"/>
              <w:right w:val="nil"/>
            </w:tcBorders>
          </w:tcPr>
          <w:p w14:paraId="3FB8E6C5" w14:textId="1B12B337" w:rsidR="002C2516" w:rsidRDefault="00FA14AB" w:rsidP="00FA14AB">
            <w:pPr>
              <w:pStyle w:val="BodyText"/>
              <w:spacing w:before="0" w:line="240" w:lineRule="auto"/>
              <w:jc w:val="center"/>
            </w:pPr>
            <w:r>
              <w:t>12</w:t>
            </w:r>
          </w:p>
        </w:tc>
      </w:tr>
      <w:tr w:rsidR="002C2516" w14:paraId="5B059A1D" w14:textId="7DBCE200" w:rsidTr="002C2516">
        <w:trPr>
          <w:trHeight w:val="567"/>
        </w:trPr>
        <w:tc>
          <w:tcPr>
            <w:tcW w:w="435" w:type="dxa"/>
            <w:tcBorders>
              <w:top w:val="single" w:sz="4" w:space="0" w:color="auto"/>
              <w:bottom w:val="single" w:sz="4" w:space="0" w:color="auto"/>
              <w:right w:val="single" w:sz="4" w:space="0" w:color="auto"/>
            </w:tcBorders>
          </w:tcPr>
          <w:p w14:paraId="3DC68BB0" w14:textId="77777777" w:rsidR="002C2516" w:rsidRDefault="002C2516" w:rsidP="00697063">
            <w:pPr>
              <w:pStyle w:val="BodyText"/>
              <w:spacing w:before="0" w:line="240" w:lineRule="auto"/>
              <w:rPr>
                <w:lang w:bidi="ar-SA"/>
              </w:rPr>
            </w:pPr>
            <w:r>
              <w:rPr>
                <w:lang w:bidi="ar-SA"/>
              </w:rPr>
              <w:t>5</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4E9AF31" w14:textId="77777777" w:rsidR="002C2516" w:rsidRDefault="002C2516" w:rsidP="002C2516">
            <w:pPr>
              <w:pStyle w:val="BodyText"/>
              <w:spacing w:before="0" w:line="240" w:lineRule="auto"/>
              <w:jc w:val="left"/>
            </w:pPr>
            <w:r>
              <w:rPr>
                <w:lang w:bidi="ar-SA"/>
              </w:rPr>
              <w:t xml:space="preserve">Study type </w:t>
            </w:r>
          </w:p>
        </w:tc>
        <w:tc>
          <w:tcPr>
            <w:tcW w:w="5635" w:type="dxa"/>
            <w:tcBorders>
              <w:top w:val="single" w:sz="4" w:space="0" w:color="auto"/>
              <w:left w:val="single" w:sz="4" w:space="0" w:color="auto"/>
              <w:bottom w:val="single" w:sz="4" w:space="0" w:color="auto"/>
              <w:right w:val="nil"/>
            </w:tcBorders>
          </w:tcPr>
          <w:p w14:paraId="13F28C86" w14:textId="77777777" w:rsidR="002C2516" w:rsidRPr="00FA73D9" w:rsidRDefault="002C2516" w:rsidP="002C2516">
            <w:pPr>
              <w:pStyle w:val="BodyText"/>
              <w:spacing w:before="0" w:line="240" w:lineRule="auto"/>
              <w:jc w:val="left"/>
            </w:pPr>
            <w:r>
              <w:rPr>
                <w:lang w:bidi="ar-SA"/>
              </w:rPr>
              <w:t>E</w:t>
            </w:r>
            <w:r w:rsidRPr="007C24A3">
              <w:t>mpirical research (qualitative or quantitative</w:t>
            </w:r>
            <w:r>
              <w:t xml:space="preserve">), </w:t>
            </w:r>
            <w:r w:rsidRPr="007C24A3">
              <w:t>meta-analy</w:t>
            </w:r>
            <w:r>
              <w:t xml:space="preserve">ses, and systematic </w:t>
            </w:r>
            <w:r w:rsidRPr="007C24A3">
              <w:t xml:space="preserve">reviews </w:t>
            </w:r>
            <w:r>
              <w:t>including scoping and rapid reviews.</w:t>
            </w:r>
          </w:p>
        </w:tc>
        <w:tc>
          <w:tcPr>
            <w:tcW w:w="992" w:type="dxa"/>
            <w:tcBorders>
              <w:top w:val="single" w:sz="4" w:space="0" w:color="auto"/>
              <w:left w:val="single" w:sz="4" w:space="0" w:color="auto"/>
              <w:bottom w:val="single" w:sz="4" w:space="0" w:color="auto"/>
              <w:right w:val="nil"/>
            </w:tcBorders>
          </w:tcPr>
          <w:p w14:paraId="52371269" w14:textId="6C8EDB02" w:rsidR="002C2516" w:rsidRDefault="003C526C" w:rsidP="00FA14AB">
            <w:pPr>
              <w:pStyle w:val="BodyText"/>
              <w:spacing w:before="0" w:line="240" w:lineRule="auto"/>
              <w:jc w:val="center"/>
              <w:rPr>
                <w:lang w:bidi="ar-SA"/>
              </w:rPr>
            </w:pPr>
            <w:r>
              <w:rPr>
                <w:lang w:bidi="ar-SA"/>
              </w:rPr>
              <w:t>64</w:t>
            </w:r>
          </w:p>
        </w:tc>
      </w:tr>
      <w:tr w:rsidR="002C2516" w14:paraId="15CABB69" w14:textId="1DDB336C" w:rsidTr="002C2516">
        <w:trPr>
          <w:trHeight w:val="567"/>
        </w:trPr>
        <w:tc>
          <w:tcPr>
            <w:tcW w:w="435" w:type="dxa"/>
            <w:tcBorders>
              <w:top w:val="single" w:sz="4" w:space="0" w:color="auto"/>
              <w:bottom w:val="single" w:sz="4" w:space="0" w:color="auto"/>
              <w:right w:val="single" w:sz="4" w:space="0" w:color="auto"/>
            </w:tcBorders>
          </w:tcPr>
          <w:p w14:paraId="00F63589" w14:textId="77777777" w:rsidR="002C2516" w:rsidRDefault="002C2516" w:rsidP="00697063">
            <w:pPr>
              <w:pStyle w:val="BodyText"/>
              <w:spacing w:before="0" w:line="240" w:lineRule="auto"/>
            </w:pPr>
            <w:r>
              <w:t>6</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0708AEF" w14:textId="77777777" w:rsidR="002C2516" w:rsidRDefault="002C2516" w:rsidP="002C2516">
            <w:pPr>
              <w:pStyle w:val="BodyText"/>
              <w:spacing w:before="0" w:line="240" w:lineRule="auto"/>
              <w:jc w:val="left"/>
            </w:pPr>
            <w:r>
              <w:t>Topic</w:t>
            </w:r>
          </w:p>
        </w:tc>
        <w:tc>
          <w:tcPr>
            <w:tcW w:w="5635" w:type="dxa"/>
            <w:tcBorders>
              <w:top w:val="single" w:sz="4" w:space="0" w:color="auto"/>
              <w:left w:val="single" w:sz="4" w:space="0" w:color="auto"/>
              <w:bottom w:val="single" w:sz="4" w:space="0" w:color="auto"/>
              <w:right w:val="nil"/>
            </w:tcBorders>
          </w:tcPr>
          <w:p w14:paraId="788EB535" w14:textId="77777777" w:rsidR="002C2516" w:rsidRPr="00FA73D9" w:rsidRDefault="002C2516" w:rsidP="002C2516">
            <w:pPr>
              <w:pStyle w:val="BodyText"/>
              <w:spacing w:before="0" w:line="240" w:lineRule="auto"/>
              <w:jc w:val="left"/>
            </w:pPr>
            <w:r>
              <w:t>Research that examined harms associated with loot boxes, simulated gambling activities, or games that involve in-game purchases (microtransactions).</w:t>
            </w:r>
          </w:p>
        </w:tc>
        <w:tc>
          <w:tcPr>
            <w:tcW w:w="992" w:type="dxa"/>
            <w:tcBorders>
              <w:top w:val="single" w:sz="4" w:space="0" w:color="auto"/>
              <w:left w:val="single" w:sz="4" w:space="0" w:color="auto"/>
              <w:bottom w:val="single" w:sz="4" w:space="0" w:color="auto"/>
              <w:right w:val="nil"/>
            </w:tcBorders>
          </w:tcPr>
          <w:p w14:paraId="7D5070FA" w14:textId="34460ED4" w:rsidR="002C2516" w:rsidRDefault="003C526C" w:rsidP="00FA14AB">
            <w:pPr>
              <w:pStyle w:val="BodyText"/>
              <w:spacing w:before="0" w:line="240" w:lineRule="auto"/>
              <w:jc w:val="center"/>
            </w:pPr>
            <w:r>
              <w:t>95</w:t>
            </w:r>
          </w:p>
        </w:tc>
      </w:tr>
      <w:tr w:rsidR="002C2516" w14:paraId="5EF395BD" w14:textId="0444BFB3" w:rsidTr="002C2516">
        <w:trPr>
          <w:trHeight w:val="567"/>
        </w:trPr>
        <w:tc>
          <w:tcPr>
            <w:tcW w:w="435" w:type="dxa"/>
            <w:tcBorders>
              <w:top w:val="single" w:sz="4" w:space="0" w:color="auto"/>
              <w:bottom w:val="single" w:sz="4" w:space="0" w:color="auto"/>
              <w:right w:val="single" w:sz="4" w:space="0" w:color="auto"/>
            </w:tcBorders>
          </w:tcPr>
          <w:p w14:paraId="1D846DC2" w14:textId="77777777" w:rsidR="002C2516" w:rsidRDefault="002C2516" w:rsidP="00697063">
            <w:pPr>
              <w:pStyle w:val="BodyText"/>
              <w:spacing w:before="0" w:line="240" w:lineRule="auto"/>
            </w:pPr>
          </w:p>
        </w:tc>
        <w:tc>
          <w:tcPr>
            <w:tcW w:w="1433" w:type="dxa"/>
            <w:tcBorders>
              <w:top w:val="single" w:sz="4" w:space="0" w:color="auto"/>
              <w:bottom w:val="single" w:sz="4" w:space="0" w:color="auto"/>
              <w:right w:val="single" w:sz="4" w:space="0" w:color="auto"/>
            </w:tcBorders>
            <w:shd w:val="clear" w:color="auto" w:fill="auto"/>
          </w:tcPr>
          <w:p w14:paraId="7C73714E" w14:textId="77777777" w:rsidR="002C2516" w:rsidRDefault="002C2516" w:rsidP="00697063">
            <w:pPr>
              <w:pStyle w:val="BodyText"/>
              <w:spacing w:before="0" w:line="240" w:lineRule="auto"/>
            </w:pPr>
            <w:r>
              <w:t>Search terms</w:t>
            </w:r>
          </w:p>
        </w:tc>
        <w:tc>
          <w:tcPr>
            <w:tcW w:w="5635" w:type="dxa"/>
            <w:tcBorders>
              <w:top w:val="single" w:sz="4" w:space="0" w:color="auto"/>
              <w:left w:val="single" w:sz="4" w:space="0" w:color="auto"/>
              <w:bottom w:val="single" w:sz="4" w:space="0" w:color="auto"/>
              <w:right w:val="nil"/>
            </w:tcBorders>
          </w:tcPr>
          <w:p w14:paraId="73CEC8A0" w14:textId="77777777" w:rsidR="002C2516" w:rsidRDefault="002C2516" w:rsidP="00697063">
            <w:pPr>
              <w:pStyle w:val="BodyText"/>
              <w:spacing w:before="0" w:line="240" w:lineRule="auto"/>
            </w:pPr>
            <w:r w:rsidRPr="00FA73D9">
              <w:t xml:space="preserve">loot box* (NOT esports, skin* in Title), </w:t>
            </w:r>
            <w:r>
              <w:t>‘</w:t>
            </w:r>
            <w:r w:rsidRPr="00FA73D9">
              <w:t>social casino</w:t>
            </w:r>
            <w:r>
              <w:t>’</w:t>
            </w:r>
            <w:r w:rsidRPr="00FA73D9">
              <w:t xml:space="preserve">, </w:t>
            </w:r>
            <w:r>
              <w:t>‘</w:t>
            </w:r>
            <w:r w:rsidRPr="00FA73D9">
              <w:t>simulated gambling</w:t>
            </w:r>
            <w:r>
              <w:t>’</w:t>
            </w:r>
            <w:r w:rsidRPr="00FA73D9">
              <w:t xml:space="preserve"> (NOT cue, experiment*, cognit*), </w:t>
            </w:r>
            <w:proofErr w:type="spellStart"/>
            <w:r w:rsidRPr="00FA73D9">
              <w:t>microtransact</w:t>
            </w:r>
            <w:proofErr w:type="spellEnd"/>
            <w:r w:rsidRPr="00FA73D9">
              <w:t xml:space="preserve">*, </w:t>
            </w:r>
            <w:r>
              <w:t>‘</w:t>
            </w:r>
            <w:r w:rsidRPr="00FA73D9">
              <w:t>in-game purchase</w:t>
            </w:r>
            <w:r>
              <w:t>’</w:t>
            </w:r>
            <w:r w:rsidRPr="00FA73D9">
              <w:t xml:space="preserve">, </w:t>
            </w:r>
            <w:r>
              <w:t>‘</w:t>
            </w:r>
            <w:r w:rsidRPr="00FA73D9">
              <w:t>in-app purchase</w:t>
            </w:r>
            <w:r>
              <w:t>’</w:t>
            </w:r>
            <w:r w:rsidRPr="00FA73D9">
              <w:t xml:space="preserve"> AND harm*, impact*, risk*, problem*, addict* (Abstract and Title Only), disorder*</w:t>
            </w:r>
          </w:p>
        </w:tc>
        <w:tc>
          <w:tcPr>
            <w:tcW w:w="992" w:type="dxa"/>
            <w:tcBorders>
              <w:top w:val="single" w:sz="4" w:space="0" w:color="auto"/>
              <w:left w:val="single" w:sz="4" w:space="0" w:color="auto"/>
              <w:bottom w:val="single" w:sz="4" w:space="0" w:color="auto"/>
              <w:right w:val="nil"/>
            </w:tcBorders>
          </w:tcPr>
          <w:p w14:paraId="5C7ADAF7" w14:textId="77777777" w:rsidR="002C2516" w:rsidRPr="00FA73D9" w:rsidRDefault="002C2516" w:rsidP="00697063">
            <w:pPr>
              <w:pStyle w:val="BodyText"/>
              <w:spacing w:before="0" w:line="240" w:lineRule="auto"/>
            </w:pPr>
          </w:p>
        </w:tc>
      </w:tr>
    </w:tbl>
    <w:p w14:paraId="6105A567" w14:textId="0D294D1C" w:rsidR="0037212D" w:rsidRDefault="0037212D" w:rsidP="00897FF2">
      <w:pPr>
        <w:pStyle w:val="Heading2"/>
      </w:pPr>
      <w:bookmarkStart w:id="25" w:name="_Toc97649955"/>
      <w:bookmarkStart w:id="26" w:name="_Toc106359508"/>
      <w:bookmarkEnd w:id="19"/>
      <w:bookmarkEnd w:id="23"/>
      <w:bookmarkEnd w:id="24"/>
      <w:r>
        <w:lastRenderedPageBreak/>
        <w:t>Assessing the evidence</w:t>
      </w:r>
      <w:bookmarkEnd w:id="25"/>
      <w:bookmarkEnd w:id="26"/>
    </w:p>
    <w:p w14:paraId="30A745A6" w14:textId="397A268A" w:rsidR="0037212D" w:rsidRPr="00F84CF2" w:rsidRDefault="00912E86" w:rsidP="00F84CF2">
      <w:pPr>
        <w:pStyle w:val="BodyText"/>
      </w:pPr>
      <w:r w:rsidRPr="00F84CF2">
        <w:t xml:space="preserve">The </w:t>
      </w:r>
      <w:r w:rsidR="008007C4">
        <w:t xml:space="preserve">research </w:t>
      </w:r>
      <w:r w:rsidR="0034500C" w:rsidRPr="00F84CF2">
        <w:t xml:space="preserve">included </w:t>
      </w:r>
      <w:r w:rsidRPr="00F84CF2">
        <w:t>in this review w</w:t>
      </w:r>
      <w:r w:rsidR="008007C4">
        <w:t>as</w:t>
      </w:r>
      <w:r w:rsidRPr="00F84CF2">
        <w:t xml:space="preserve"> assessed against three key criteria: strength of evidence, </w:t>
      </w:r>
      <w:r w:rsidR="00DE1F4E">
        <w:t>value</w:t>
      </w:r>
      <w:r w:rsidRPr="00F84CF2">
        <w:t xml:space="preserve"> of evidence, and generalisability to the Australian context</w:t>
      </w:r>
      <w:r w:rsidR="0023298E" w:rsidRPr="00F84CF2">
        <w:t xml:space="preserve"> (</w:t>
      </w:r>
      <w:r w:rsidR="00F54968" w:rsidRPr="00F84CF2">
        <w:t>as they relate</w:t>
      </w:r>
      <w:r w:rsidR="00394C3F" w:rsidRPr="00F84CF2">
        <w:t>d</w:t>
      </w:r>
      <w:r w:rsidR="0023298E" w:rsidRPr="00F84CF2">
        <w:t xml:space="preserve"> to the four research questions)</w:t>
      </w:r>
      <w:r w:rsidRPr="00F84CF2">
        <w:t>.</w:t>
      </w:r>
      <w:r w:rsidR="001C1A0E" w:rsidRPr="00F84CF2">
        <w:t xml:space="preserve"> Each criteria included three levels: low, </w:t>
      </w:r>
      <w:proofErr w:type="gramStart"/>
      <w:r w:rsidR="001C1A0E" w:rsidRPr="00F84CF2">
        <w:t>medium</w:t>
      </w:r>
      <w:proofErr w:type="gramEnd"/>
      <w:r w:rsidR="001C1A0E" w:rsidRPr="00F84CF2">
        <w:t xml:space="preserve"> and high </w:t>
      </w:r>
      <w:r w:rsidR="00E2513C">
        <w:t>(</w:t>
      </w:r>
      <w:r w:rsidR="00DE2693">
        <w:t>described</w:t>
      </w:r>
      <w:r w:rsidR="001C1A0E" w:rsidRPr="00F84CF2">
        <w:t xml:space="preserve"> in </w:t>
      </w:r>
      <w:r w:rsidR="00F03E5C" w:rsidRPr="00F84CF2">
        <w:t>Appendix</w:t>
      </w:r>
      <w:r w:rsidR="000A1CAD">
        <w:t xml:space="preserve"> D</w:t>
      </w:r>
      <w:r w:rsidR="00DE2693">
        <w:t>)</w:t>
      </w:r>
      <w:r w:rsidR="00E707B6" w:rsidRPr="009145F6">
        <w:t>.</w:t>
      </w:r>
    </w:p>
    <w:p w14:paraId="05172D75" w14:textId="2824D88C" w:rsidR="007C04F3" w:rsidRDefault="00BC1E39" w:rsidP="00F84CF2">
      <w:pPr>
        <w:pStyle w:val="BodyText"/>
      </w:pPr>
      <w:r w:rsidRPr="00F84CF2">
        <w:t xml:space="preserve">Strength of evidence related to </w:t>
      </w:r>
      <w:r w:rsidR="00AF6635" w:rsidRPr="00F84CF2">
        <w:t xml:space="preserve">the </w:t>
      </w:r>
      <w:r w:rsidR="00AF6635" w:rsidRPr="00F84CF2">
        <w:rPr>
          <w:i/>
        </w:rPr>
        <w:t xml:space="preserve">types </w:t>
      </w:r>
      <w:r w:rsidR="00AF6635" w:rsidRPr="00F84CF2">
        <w:t>of articles reviewed</w:t>
      </w:r>
      <w:r w:rsidR="007E5713" w:rsidRPr="00F84CF2">
        <w:t xml:space="preserve">. </w:t>
      </w:r>
      <w:r w:rsidR="00AF6635" w:rsidRPr="00F84CF2">
        <w:t xml:space="preserve">Articles </w:t>
      </w:r>
      <w:r w:rsidR="000E2AC7">
        <w:t>that</w:t>
      </w:r>
      <w:r w:rsidR="000E2AC7" w:rsidRPr="00F84CF2">
        <w:t xml:space="preserve"> </w:t>
      </w:r>
      <w:r w:rsidR="000A4AC7" w:rsidRPr="00F84CF2">
        <w:t>synthesised information from</w:t>
      </w:r>
      <w:r w:rsidR="00AF6635" w:rsidRPr="00F84CF2">
        <w:t xml:space="preserve"> multiple </w:t>
      </w:r>
      <w:r w:rsidR="000A4AC7" w:rsidRPr="00F84CF2">
        <w:t>resources</w:t>
      </w:r>
      <w:r w:rsidR="00DE2693">
        <w:t xml:space="preserve"> or studies</w:t>
      </w:r>
      <w:r w:rsidR="000A4AC7" w:rsidRPr="00F84CF2">
        <w:t xml:space="preserve"> – such as meta-analyses – were rated more highly</w:t>
      </w:r>
      <w:r w:rsidR="00E73D8E" w:rsidRPr="00F84CF2">
        <w:t xml:space="preserve"> than those from a single source. Quantitative evidence </w:t>
      </w:r>
      <w:r w:rsidR="007E5713" w:rsidRPr="00F84CF2">
        <w:t xml:space="preserve">was </w:t>
      </w:r>
      <w:r w:rsidR="009B4247" w:rsidRPr="00F84CF2">
        <w:t>rated high</w:t>
      </w:r>
      <w:r w:rsidR="00D70968">
        <w:t>er strength</w:t>
      </w:r>
      <w:r w:rsidR="007E5713" w:rsidRPr="00F84CF2" w:rsidDel="00424160">
        <w:t xml:space="preserve"> </w:t>
      </w:r>
      <w:r w:rsidR="0032616C" w:rsidRPr="00F84CF2">
        <w:t xml:space="preserve">than </w:t>
      </w:r>
      <w:r w:rsidR="007E5713" w:rsidRPr="00F84CF2">
        <w:t>qualitative evidence</w:t>
      </w:r>
      <w:r w:rsidR="00DE2693">
        <w:t xml:space="preserve"> for this topic</w:t>
      </w:r>
      <w:r w:rsidR="007E5713" w:rsidRPr="00F84CF2">
        <w:t>.</w:t>
      </w:r>
      <w:r w:rsidRPr="00F84CF2">
        <w:t xml:space="preserve"> </w:t>
      </w:r>
      <w:r w:rsidR="00D70968">
        <w:t>Similarly, studies with larger</w:t>
      </w:r>
      <w:r w:rsidR="007C04F3">
        <w:t xml:space="preserve"> or more representative</w:t>
      </w:r>
      <w:r w:rsidR="00D70968">
        <w:t xml:space="preserve"> sample sizes were </w:t>
      </w:r>
      <w:r w:rsidR="007C04F3">
        <w:t>considered stronger evidence that smaller or less representative samples</w:t>
      </w:r>
      <w:r w:rsidR="007E5713" w:rsidRPr="00F84CF2">
        <w:t>.</w:t>
      </w:r>
      <w:r w:rsidRPr="00F84CF2">
        <w:t xml:space="preserve"> </w:t>
      </w:r>
    </w:p>
    <w:p w14:paraId="2083710C" w14:textId="7C8D0137" w:rsidR="007C04F3" w:rsidRDefault="007912A0" w:rsidP="00F84CF2">
      <w:pPr>
        <w:pStyle w:val="BodyText"/>
      </w:pPr>
      <w:r>
        <w:t>Value</w:t>
      </w:r>
      <w:r w:rsidR="002728A1" w:rsidRPr="00F84CF2">
        <w:t xml:space="preserve"> of evidence related to the </w:t>
      </w:r>
      <w:r w:rsidR="002728A1" w:rsidRPr="00F84CF2">
        <w:rPr>
          <w:i/>
        </w:rPr>
        <w:t xml:space="preserve">content </w:t>
      </w:r>
      <w:r w:rsidR="002728A1" w:rsidRPr="00F84CF2">
        <w:t>of articles reviewed</w:t>
      </w:r>
      <w:r w:rsidR="00FD469D" w:rsidRPr="00F84CF2">
        <w:t>;</w:t>
      </w:r>
      <w:r w:rsidR="00B22FAA" w:rsidRPr="00F84CF2">
        <w:t xml:space="preserve"> </w:t>
      </w:r>
      <w:r w:rsidR="00FD469D" w:rsidRPr="00F84CF2">
        <w:t>s</w:t>
      </w:r>
      <w:r w:rsidR="00B22FAA" w:rsidRPr="00F84CF2">
        <w:t>pecifically</w:t>
      </w:r>
      <w:r w:rsidR="00DE1830" w:rsidRPr="00F84CF2">
        <w:t>,</w:t>
      </w:r>
      <w:r w:rsidR="00B22FAA" w:rsidRPr="00F84CF2">
        <w:t xml:space="preserve"> how </w:t>
      </w:r>
      <w:r w:rsidR="00DE1830" w:rsidRPr="00F84CF2">
        <w:t xml:space="preserve">much each article </w:t>
      </w:r>
      <w:r w:rsidR="000E2AC7">
        <w:t xml:space="preserve">could </w:t>
      </w:r>
      <w:r w:rsidR="00DE1830" w:rsidRPr="00F84CF2">
        <w:t>help</w:t>
      </w:r>
      <w:r w:rsidR="00B22FAA" w:rsidRPr="00F84CF2">
        <w:t xml:space="preserve"> answer </w:t>
      </w:r>
      <w:r w:rsidR="00DE1830" w:rsidRPr="00F84CF2">
        <w:t xml:space="preserve">the </w:t>
      </w:r>
      <w:r w:rsidR="00B22FAA" w:rsidRPr="00F84CF2">
        <w:t>research questions</w:t>
      </w:r>
      <w:r w:rsidR="002728A1" w:rsidRPr="00F84CF2">
        <w:t xml:space="preserve">. </w:t>
      </w:r>
      <w:r w:rsidR="001D427D">
        <w:t>‘</w:t>
      </w:r>
      <w:r>
        <w:t>Value’</w:t>
      </w:r>
      <w:r w:rsidR="001D427D">
        <w:t xml:space="preserve"> </w:t>
      </w:r>
      <w:r w:rsidR="00833177">
        <w:t>in this context</w:t>
      </w:r>
      <w:r>
        <w:t xml:space="preserve"> incorporates some elements of </w:t>
      </w:r>
      <w:r w:rsidR="00E05B55">
        <w:t>article quality, such as appropriateness of methodology</w:t>
      </w:r>
      <w:r w:rsidR="00E36F5C">
        <w:t xml:space="preserve"> and conclusions (Appendix D)</w:t>
      </w:r>
      <w:r w:rsidR="00E05B55">
        <w:t xml:space="preserve">, </w:t>
      </w:r>
      <w:r w:rsidR="009E0EF1">
        <w:t>in addition to</w:t>
      </w:r>
      <w:r w:rsidR="00E05B55">
        <w:t xml:space="preserve"> </w:t>
      </w:r>
      <w:r w:rsidR="001039CC">
        <w:t>context-specific assessments of</w:t>
      </w:r>
      <w:r w:rsidR="00833177">
        <w:t xml:space="preserve"> </w:t>
      </w:r>
      <w:r>
        <w:t xml:space="preserve">the quality of </w:t>
      </w:r>
      <w:r w:rsidR="001039CC">
        <w:t>the</w:t>
      </w:r>
      <w:r>
        <w:t xml:space="preserve"> articles</w:t>
      </w:r>
      <w:r w:rsidR="003D746B">
        <w:t xml:space="preserve"> reviewed.</w:t>
      </w:r>
      <w:r w:rsidR="002728A1" w:rsidRPr="00F84CF2">
        <w:t xml:space="preserve"> </w:t>
      </w:r>
      <w:r w:rsidR="00DE1830" w:rsidRPr="00F84CF2">
        <w:t>For example, a</w:t>
      </w:r>
      <w:r w:rsidR="002728A1" w:rsidRPr="00F84CF2">
        <w:t xml:space="preserve">rticles </w:t>
      </w:r>
      <w:r w:rsidR="000E2AC7">
        <w:t>that</w:t>
      </w:r>
      <w:r w:rsidR="000E2AC7" w:rsidRPr="00F84CF2">
        <w:t xml:space="preserve"> </w:t>
      </w:r>
      <w:r w:rsidR="00DE1830" w:rsidRPr="00F84CF2">
        <w:t>directly</w:t>
      </w:r>
      <w:r w:rsidR="00C24725" w:rsidRPr="00F84CF2">
        <w:t xml:space="preserve"> </w:t>
      </w:r>
      <w:r w:rsidR="00DE1830" w:rsidRPr="00F84CF2">
        <w:t>(</w:t>
      </w:r>
      <w:r w:rsidR="00C24725" w:rsidRPr="00F84CF2">
        <w:t>as opposed to incidentally</w:t>
      </w:r>
      <w:r w:rsidR="00DE1830" w:rsidRPr="00F84CF2">
        <w:t>)</w:t>
      </w:r>
      <w:r w:rsidR="00C24725" w:rsidRPr="00F84CF2">
        <w:t xml:space="preserve"> </w:t>
      </w:r>
      <w:r w:rsidR="009B2A7B" w:rsidRPr="00F84CF2">
        <w:t>examin</w:t>
      </w:r>
      <w:r w:rsidR="0055532C">
        <w:t>ed</w:t>
      </w:r>
      <w:r w:rsidR="009B2A7B" w:rsidRPr="00F84CF2">
        <w:t xml:space="preserve"> </w:t>
      </w:r>
      <w:r w:rsidR="00C24725" w:rsidRPr="00F84CF2">
        <w:t xml:space="preserve">harm associated with </w:t>
      </w:r>
      <w:r w:rsidR="00F80B5C" w:rsidRPr="00F84CF2">
        <w:t>these products</w:t>
      </w:r>
      <w:r w:rsidR="00C24725" w:rsidRPr="00F84CF2">
        <w:t xml:space="preserve"> </w:t>
      </w:r>
      <w:r w:rsidR="00082C09">
        <w:t xml:space="preserve">(e.g., problem gambling, internet gaming disorder and other relevant harms) </w:t>
      </w:r>
      <w:r w:rsidR="00C24725" w:rsidRPr="00F84CF2">
        <w:t xml:space="preserve">were rated as of higher </w:t>
      </w:r>
      <w:r w:rsidR="00DE1F4E">
        <w:t>value</w:t>
      </w:r>
      <w:r w:rsidR="00C24725" w:rsidRPr="00F84CF2">
        <w:t>.</w:t>
      </w:r>
      <w:r w:rsidR="00046264" w:rsidRPr="00F84CF2">
        <w:t xml:space="preserve"> </w:t>
      </w:r>
      <w:r w:rsidR="001D1713" w:rsidRPr="00F84CF2">
        <w:t xml:space="preserve">Criteria for this rating were assessed </w:t>
      </w:r>
      <w:r w:rsidR="00400177" w:rsidRPr="00F84CF2">
        <w:t>based on reviewer</w:t>
      </w:r>
      <w:r w:rsidR="00CF491B" w:rsidRPr="00F84CF2">
        <w:t>s’</w:t>
      </w:r>
      <w:r w:rsidR="00400177" w:rsidRPr="00F84CF2">
        <w:t xml:space="preserve"> judgement</w:t>
      </w:r>
      <w:r w:rsidR="00DE5667">
        <w:t>,</w:t>
      </w:r>
      <w:r w:rsidR="001D1713">
        <w:t xml:space="preserve"> </w:t>
      </w:r>
      <w:r w:rsidR="00A76CC6">
        <w:t xml:space="preserve">considering the </w:t>
      </w:r>
      <w:r w:rsidR="001D1713" w:rsidRPr="00F84CF2">
        <w:t>key features of each article and each research question</w:t>
      </w:r>
      <w:r w:rsidR="00C24725">
        <w:t>.</w:t>
      </w:r>
      <w:r w:rsidR="00C24725" w:rsidRPr="00F84CF2">
        <w:t xml:space="preserve"> </w:t>
      </w:r>
    </w:p>
    <w:p w14:paraId="1C27B3FE" w14:textId="2CB229F5" w:rsidR="00773F7E" w:rsidRPr="00F84CF2" w:rsidRDefault="00463E66" w:rsidP="00F84CF2">
      <w:pPr>
        <w:pStyle w:val="BodyText"/>
      </w:pPr>
      <w:r w:rsidRPr="00F84CF2">
        <w:t xml:space="preserve">The generalisability of the available evidence to the Australian context was </w:t>
      </w:r>
      <w:r w:rsidR="00DD75E0" w:rsidRPr="00F84CF2">
        <w:t xml:space="preserve">based on the </w:t>
      </w:r>
      <w:r w:rsidR="005A4142" w:rsidRPr="00F84CF2">
        <w:t>country</w:t>
      </w:r>
      <w:r w:rsidR="005A4142">
        <w:t>/</w:t>
      </w:r>
      <w:r w:rsidR="005A4142" w:rsidRPr="00F84CF2">
        <w:t>countries from which the sample(s) or articles reviewed were drawn.</w:t>
      </w:r>
      <w:r w:rsidRPr="00F84CF2">
        <w:t xml:space="preserve"> </w:t>
      </w:r>
    </w:p>
    <w:p w14:paraId="3A30E413" w14:textId="77777777" w:rsidR="00CB423E" w:rsidRDefault="00542346" w:rsidP="00897FF2">
      <w:pPr>
        <w:pStyle w:val="Heading2"/>
      </w:pPr>
      <w:bookmarkStart w:id="27" w:name="_Toc97649956"/>
      <w:bookmarkStart w:id="28" w:name="_Toc106359509"/>
      <w:r>
        <w:t>Articles reviewed</w:t>
      </w:r>
      <w:bookmarkEnd w:id="27"/>
      <w:bookmarkEnd w:id="28"/>
    </w:p>
    <w:p w14:paraId="00AA8DB7" w14:textId="77777777" w:rsidR="00F467D6" w:rsidRPr="00F467D6" w:rsidRDefault="009979BB" w:rsidP="0076320B">
      <w:pPr>
        <w:pStyle w:val="BodyText"/>
        <w:rPr>
          <w:color w:val="auto"/>
        </w:rPr>
      </w:pPr>
      <w:r>
        <w:t>In total</w:t>
      </w:r>
      <w:r w:rsidR="00026D0E">
        <w:t>,</w:t>
      </w:r>
      <w:r>
        <w:t xml:space="preserve"> </w:t>
      </w:r>
      <w:r w:rsidR="002F310E">
        <w:t>6</w:t>
      </w:r>
      <w:r w:rsidR="00192DAB">
        <w:t>4</w:t>
      </w:r>
      <w:r w:rsidR="002F310E">
        <w:t xml:space="preserve"> </w:t>
      </w:r>
      <w:r>
        <w:t xml:space="preserve">in-scope sources </w:t>
      </w:r>
      <w:r w:rsidR="00EA062B">
        <w:t>of literature</w:t>
      </w:r>
      <w:r>
        <w:t xml:space="preserve"> addressed the research questions: </w:t>
      </w:r>
      <w:r w:rsidR="00377321">
        <w:t>5</w:t>
      </w:r>
      <w:r w:rsidR="00192DAB">
        <w:t>2</w:t>
      </w:r>
      <w:r w:rsidR="00377321">
        <w:t xml:space="preserve"> </w:t>
      </w:r>
      <w:r w:rsidR="00C45D57">
        <w:t xml:space="preserve">journal articles, </w:t>
      </w:r>
      <w:r w:rsidR="00B72111">
        <w:t>10</w:t>
      </w:r>
      <w:r w:rsidR="0070020F">
        <w:t xml:space="preserve"> </w:t>
      </w:r>
      <w:r w:rsidR="008925F9">
        <w:t xml:space="preserve">reports, </w:t>
      </w:r>
      <w:r w:rsidR="002E50C8">
        <w:t xml:space="preserve">one </w:t>
      </w:r>
      <w:r w:rsidR="00B72111">
        <w:t xml:space="preserve">discussion paper, </w:t>
      </w:r>
      <w:r w:rsidR="006E0A02">
        <w:t xml:space="preserve">and </w:t>
      </w:r>
      <w:r w:rsidR="002E50C8">
        <w:t xml:space="preserve">one </w:t>
      </w:r>
      <w:r w:rsidR="006E0A02">
        <w:t>letter to the editor</w:t>
      </w:r>
      <w:r w:rsidR="00B72111">
        <w:t xml:space="preserve"> with data</w:t>
      </w:r>
      <w:r w:rsidR="006E0A02">
        <w:t>.</w:t>
      </w:r>
      <w:r w:rsidR="0053722B">
        <w:t xml:space="preserve"> One report contained </w:t>
      </w:r>
      <w:r w:rsidR="002E50C8">
        <w:t xml:space="preserve">four </w:t>
      </w:r>
      <w:r w:rsidR="00C067F0">
        <w:t xml:space="preserve">research </w:t>
      </w:r>
      <w:r w:rsidR="00CA4027">
        <w:t>studies (Hing et al., 2021)</w:t>
      </w:r>
      <w:r w:rsidR="00C24940">
        <w:t>, bring</w:t>
      </w:r>
      <w:r w:rsidR="00E331A5">
        <w:t>ing</w:t>
      </w:r>
      <w:r w:rsidR="00C24940">
        <w:t xml:space="preserve"> the total </w:t>
      </w:r>
      <w:r w:rsidR="00026D0E">
        <w:t xml:space="preserve">number of </w:t>
      </w:r>
      <w:r w:rsidR="00230383">
        <w:t>sources assessed</w:t>
      </w:r>
      <w:r w:rsidR="00587303">
        <w:t xml:space="preserve"> to </w:t>
      </w:r>
      <w:r w:rsidR="00DA5469">
        <w:t>6</w:t>
      </w:r>
      <w:r w:rsidR="008E66B1">
        <w:t>7</w:t>
      </w:r>
      <w:r w:rsidR="00F50785">
        <w:t xml:space="preserve">. </w:t>
      </w:r>
      <w:r w:rsidR="00026D0E">
        <w:t xml:space="preserve">The products the literature focused on were </w:t>
      </w:r>
      <w:r w:rsidR="00026D0E" w:rsidRPr="007F3587">
        <w:rPr>
          <w:color w:val="auto"/>
        </w:rPr>
        <w:t>predominantly loot boxes (</w:t>
      </w:r>
      <w:r w:rsidR="00026D0E" w:rsidRPr="00F84CF2">
        <w:rPr>
          <w:i/>
          <w:color w:val="auto"/>
        </w:rPr>
        <w:t>n</w:t>
      </w:r>
      <w:r w:rsidR="002E50C8">
        <w:rPr>
          <w:color w:val="auto"/>
        </w:rPr>
        <w:t xml:space="preserve"> </w:t>
      </w:r>
      <w:r w:rsidR="00026D0E" w:rsidRPr="007F3587">
        <w:rPr>
          <w:color w:val="auto"/>
        </w:rPr>
        <w:t>=</w:t>
      </w:r>
      <w:r w:rsidR="002E50C8">
        <w:rPr>
          <w:color w:val="auto"/>
        </w:rPr>
        <w:t xml:space="preserve"> </w:t>
      </w:r>
      <w:r w:rsidR="00B0406A">
        <w:rPr>
          <w:color w:val="auto"/>
        </w:rPr>
        <w:t>38</w:t>
      </w:r>
      <w:r w:rsidR="00026D0E" w:rsidRPr="007F3587">
        <w:rPr>
          <w:color w:val="auto"/>
        </w:rPr>
        <w:t xml:space="preserve">), followed by </w:t>
      </w:r>
      <w:r w:rsidR="00CB0C0E">
        <w:rPr>
          <w:color w:val="auto"/>
        </w:rPr>
        <w:t>simulated gambling</w:t>
      </w:r>
      <w:r w:rsidR="00026D0E" w:rsidRPr="007F3587">
        <w:rPr>
          <w:color w:val="auto"/>
        </w:rPr>
        <w:t xml:space="preserve"> (</w:t>
      </w:r>
      <w:r w:rsidR="00026D0E" w:rsidRPr="00F84CF2">
        <w:rPr>
          <w:i/>
          <w:color w:val="auto"/>
        </w:rPr>
        <w:t>n</w:t>
      </w:r>
      <w:r w:rsidR="002E50C8">
        <w:rPr>
          <w:color w:val="auto"/>
        </w:rPr>
        <w:t xml:space="preserve"> </w:t>
      </w:r>
      <w:r w:rsidR="00026D0E" w:rsidRPr="007F3587">
        <w:rPr>
          <w:color w:val="auto"/>
        </w:rPr>
        <w:t>=</w:t>
      </w:r>
      <w:r w:rsidR="002E50C8">
        <w:rPr>
          <w:color w:val="auto"/>
        </w:rPr>
        <w:t xml:space="preserve"> </w:t>
      </w:r>
      <w:r w:rsidR="00B11544">
        <w:rPr>
          <w:color w:val="auto"/>
        </w:rPr>
        <w:t>2</w:t>
      </w:r>
      <w:r w:rsidR="00B0406A">
        <w:rPr>
          <w:color w:val="auto"/>
        </w:rPr>
        <w:t>3</w:t>
      </w:r>
      <w:r w:rsidR="00026D0E" w:rsidRPr="007F3587">
        <w:rPr>
          <w:color w:val="auto"/>
        </w:rPr>
        <w:t>)</w:t>
      </w:r>
      <w:r w:rsidR="00B11544">
        <w:rPr>
          <w:color w:val="auto"/>
        </w:rPr>
        <w:t xml:space="preserve">, and </w:t>
      </w:r>
      <w:r w:rsidR="00A66FF9">
        <w:rPr>
          <w:color w:val="auto"/>
        </w:rPr>
        <w:t>other in-game</w:t>
      </w:r>
      <w:r w:rsidR="00B11544">
        <w:rPr>
          <w:color w:val="auto"/>
        </w:rPr>
        <w:t xml:space="preserve"> purchases</w:t>
      </w:r>
      <w:r w:rsidR="00E21B66">
        <w:rPr>
          <w:color w:val="auto"/>
        </w:rPr>
        <w:t xml:space="preserve"> (</w:t>
      </w:r>
      <w:r w:rsidR="00E21B66" w:rsidRPr="00F84CF2">
        <w:rPr>
          <w:i/>
          <w:color w:val="auto"/>
        </w:rPr>
        <w:t>n</w:t>
      </w:r>
      <w:r w:rsidR="00E21B66">
        <w:rPr>
          <w:color w:val="auto"/>
        </w:rPr>
        <w:t xml:space="preserve"> = </w:t>
      </w:r>
      <w:r w:rsidR="00B0406A">
        <w:rPr>
          <w:color w:val="auto"/>
        </w:rPr>
        <w:t>19</w:t>
      </w:r>
      <w:r w:rsidR="005872AE">
        <w:rPr>
          <w:color w:val="auto"/>
        </w:rPr>
        <w:t>)</w:t>
      </w:r>
      <w:r w:rsidR="005872AE">
        <w:t>.</w:t>
      </w:r>
      <w:r w:rsidR="005872AE">
        <w:rPr>
          <w:color w:val="auto"/>
        </w:rPr>
        <w:t xml:space="preserve"> </w:t>
      </w:r>
      <w:r w:rsidR="00552FC5">
        <w:rPr>
          <w:color w:val="auto"/>
        </w:rPr>
        <w:t>Near</w:t>
      </w:r>
      <w:r w:rsidR="00883D23">
        <w:rPr>
          <w:color w:val="auto"/>
        </w:rPr>
        <w:t>ly</w:t>
      </w:r>
      <w:r w:rsidR="00552FC5">
        <w:rPr>
          <w:color w:val="auto"/>
        </w:rPr>
        <w:t xml:space="preserve"> </w:t>
      </w:r>
      <w:r w:rsidR="002E50C8">
        <w:rPr>
          <w:color w:val="auto"/>
        </w:rPr>
        <w:t>two-</w:t>
      </w:r>
      <w:r w:rsidR="00552FC5">
        <w:rPr>
          <w:color w:val="auto"/>
        </w:rPr>
        <w:t xml:space="preserve">thirds of the </w:t>
      </w:r>
      <w:r w:rsidR="002E50C8">
        <w:rPr>
          <w:color w:val="auto"/>
        </w:rPr>
        <w:t xml:space="preserve">reviewed </w:t>
      </w:r>
      <w:r w:rsidR="00552FC5">
        <w:rPr>
          <w:color w:val="auto"/>
        </w:rPr>
        <w:t xml:space="preserve">articles were published </w:t>
      </w:r>
      <w:r w:rsidR="001923C0">
        <w:rPr>
          <w:color w:val="auto"/>
        </w:rPr>
        <w:t>between 2019 and 2021</w:t>
      </w:r>
      <w:r w:rsidR="00552FC5">
        <w:rPr>
          <w:color w:val="auto"/>
        </w:rPr>
        <w:t xml:space="preserve"> (see </w:t>
      </w:r>
      <w:r w:rsidR="008C7FB5" w:rsidRPr="00F84CF2">
        <w:rPr>
          <w:color w:val="auto"/>
        </w:rPr>
        <w:t>Figure 1</w:t>
      </w:r>
      <w:r w:rsidR="00552FC5">
        <w:rPr>
          <w:color w:val="auto"/>
        </w:rPr>
        <w:t>).</w:t>
      </w:r>
    </w:p>
    <w:p w14:paraId="2A0B4CAB" w14:textId="77777777" w:rsidR="009E0470" w:rsidRDefault="005872AE" w:rsidP="00442C05">
      <w:pPr>
        <w:pStyle w:val="FigureCaption"/>
        <w:spacing w:before="240"/>
      </w:pPr>
      <w:bookmarkStart w:id="29" w:name="_Ref97215648"/>
      <w:r w:rsidRPr="00F84CF2">
        <w:t xml:space="preserve">Figure </w:t>
      </w:r>
      <w:r w:rsidR="001D72A3" w:rsidRPr="00F84CF2">
        <w:t>1</w:t>
      </w:r>
      <w:r w:rsidR="002E50C8">
        <w:t>:</w:t>
      </w:r>
      <w:r w:rsidR="002E50C8" w:rsidRPr="00F84CF2">
        <w:t xml:space="preserve"> </w:t>
      </w:r>
      <w:r w:rsidRPr="00897FF2">
        <w:t xml:space="preserve">Articles reviewed by year of publication </w:t>
      </w:r>
      <w:r w:rsidRPr="00B6068C">
        <w:t>(%)</w:t>
      </w:r>
      <w:bookmarkEnd w:id="29"/>
    </w:p>
    <w:p w14:paraId="0E8915E4" w14:textId="77777777" w:rsidR="006C7616" w:rsidRPr="006C7616" w:rsidRDefault="006C7616" w:rsidP="006C7616">
      <w:pPr>
        <w:spacing w:before="0" w:line="240" w:lineRule="auto"/>
        <w:rPr>
          <w:rFonts w:eastAsia="Times New Roman"/>
          <w:sz w:val="4"/>
          <w:szCs w:val="4"/>
          <w:lang w:bidi="en-US"/>
        </w:rPr>
      </w:pPr>
    </w:p>
    <w:p w14:paraId="3C197BAC" w14:textId="77777777" w:rsidR="00FF6558" w:rsidRDefault="00FF6558" w:rsidP="006C7616">
      <w:pPr>
        <w:spacing w:before="0" w:after="120"/>
        <w:rPr>
          <w:rFonts w:eastAsia="Times New Roman"/>
          <w:lang w:bidi="en-US"/>
        </w:rPr>
      </w:pPr>
      <w:r>
        <w:rPr>
          <w:rFonts w:eastAsia="Times New Roman"/>
          <w:noProof/>
          <w:lang w:eastAsia="en-AU"/>
        </w:rPr>
        <w:drawing>
          <wp:inline distT="0" distB="0" distL="0" distR="0" wp14:anchorId="5A7358C3" wp14:editId="34D01BD9">
            <wp:extent cx="5401310" cy="2571750"/>
            <wp:effectExtent l="0" t="0" r="8890" b="0"/>
            <wp:docPr id="10" name="Picture 10" descr="Bar chart: Articles reviewed by year of publication (%)&#10;2014: 2.1%&#10;2015: 4.7%&#10;2016: 6.3%&#10;2017: 1.6%&#10;2018: 9.4%&#10;2019: 14.1%&#10;2020: 31.3%&#10;2021: 28.1%&#10;2022: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ar chart: Articles reviewed by year of publication (%)&#10;2014: 2.1%&#10;2015: 4.7%&#10;2016: 6.3%&#10;2017: 1.6%&#10;2018: 9.4%&#10;2019: 14.1%&#10;2020: 31.3%&#10;2021: 28.1%&#10;2022: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310" cy="2571750"/>
                    </a:xfrm>
                    <a:prstGeom prst="rect">
                      <a:avLst/>
                    </a:prstGeom>
                    <a:noFill/>
                  </pic:spPr>
                </pic:pic>
              </a:graphicData>
            </a:graphic>
          </wp:inline>
        </w:drawing>
      </w:r>
    </w:p>
    <w:p w14:paraId="38AA3B48" w14:textId="7D738929" w:rsidR="006C7616" w:rsidRDefault="00845B97" w:rsidP="0076320B">
      <w:pPr>
        <w:pStyle w:val="BodyText"/>
      </w:pPr>
      <w:r>
        <w:lastRenderedPageBreak/>
        <w:t>T</w:t>
      </w:r>
      <w:r w:rsidR="00B6068C">
        <w:t xml:space="preserve">he countries the studies sourced their sample/data from are shown in </w:t>
      </w:r>
      <w:r w:rsidR="00E1265F">
        <w:t xml:space="preserve">Figure </w:t>
      </w:r>
      <w:r w:rsidR="008C7FB5">
        <w:rPr>
          <w:color w:val="auto"/>
        </w:rPr>
        <w:t>2</w:t>
      </w:r>
      <w:r w:rsidR="00B6068C">
        <w:t xml:space="preserve">. The largest proportion </w:t>
      </w:r>
      <w:r w:rsidR="00B6068C" w:rsidRPr="00BE1508">
        <w:t>were from Australia (</w:t>
      </w:r>
      <w:r w:rsidR="00B6068C">
        <w:t>2</w:t>
      </w:r>
      <w:r w:rsidR="00E1265F">
        <w:t>4</w:t>
      </w:r>
      <w:r w:rsidR="00B6068C" w:rsidRPr="00BE1508">
        <w:t xml:space="preserve">%), </w:t>
      </w:r>
      <w:r w:rsidR="00B6068C">
        <w:t xml:space="preserve">multinational literature reviews (16%), multinational </w:t>
      </w:r>
      <w:r w:rsidR="00E1265F">
        <w:t xml:space="preserve">surveys </w:t>
      </w:r>
      <w:r w:rsidR="00B6068C">
        <w:t>or data (1</w:t>
      </w:r>
      <w:r w:rsidR="00E1265F">
        <w:t>5</w:t>
      </w:r>
      <w:r w:rsidR="00B6068C">
        <w:t xml:space="preserve">%), </w:t>
      </w:r>
      <w:r w:rsidR="00E1265F">
        <w:t xml:space="preserve">the </w:t>
      </w:r>
      <w:r w:rsidR="00B6068C">
        <w:t>USA/Canada (13%), or European countries (1</w:t>
      </w:r>
      <w:r w:rsidR="00E1265F">
        <w:t>2</w:t>
      </w:r>
      <w:r w:rsidR="00B6068C">
        <w:t>%).</w:t>
      </w:r>
      <w:r w:rsidR="00B6068C" w:rsidDel="009C50D7">
        <w:t xml:space="preserve"> </w:t>
      </w:r>
      <w:r w:rsidR="00B6068C">
        <w:t xml:space="preserve">Three studies did not specify sampled countries and could not have a generalisability rating applied. Overall, most </w:t>
      </w:r>
      <w:r w:rsidR="00E1265F">
        <w:t xml:space="preserve">reviewed </w:t>
      </w:r>
      <w:r w:rsidR="00B6068C">
        <w:t>articles were either Australian or from culturally and economically similar jurisdictions</w:t>
      </w:r>
      <w:r w:rsidR="00361002">
        <w:t xml:space="preserve"> and were</w:t>
      </w:r>
      <w:r w:rsidR="00DD10A4">
        <w:t xml:space="preserve"> </w:t>
      </w:r>
      <w:r w:rsidR="00B6068C">
        <w:t>highly generalisable to the Australian context (</w:t>
      </w:r>
      <w:r w:rsidR="00B6068C" w:rsidRPr="006C68C3">
        <w:t>see</w:t>
      </w:r>
      <w:r w:rsidR="00521FFE">
        <w:t xml:space="preserve"> Table</w:t>
      </w:r>
      <w:r w:rsidR="00B6068C" w:rsidRPr="006C68C3">
        <w:t xml:space="preserve"> </w:t>
      </w:r>
      <w:r w:rsidR="004C6E38">
        <w:rPr>
          <w:color w:val="auto"/>
        </w:rPr>
        <w:t>1</w:t>
      </w:r>
      <w:r w:rsidR="00B6068C" w:rsidRPr="006C68C3">
        <w:t>).</w:t>
      </w:r>
    </w:p>
    <w:p w14:paraId="75B10761" w14:textId="77777777" w:rsidR="00773F7E" w:rsidRPr="00773F7E" w:rsidRDefault="00153A2F" w:rsidP="00442C05">
      <w:pPr>
        <w:pStyle w:val="FigureCaption"/>
        <w:spacing w:before="240"/>
      </w:pPr>
      <w:bookmarkStart w:id="30" w:name="_Ref97215734"/>
      <w:r w:rsidRPr="00897FF2">
        <w:t>Figure</w:t>
      </w:r>
      <w:r w:rsidR="008C7FB5" w:rsidRPr="00897FF2">
        <w:t xml:space="preserve"> 2</w:t>
      </w:r>
      <w:r w:rsidR="00521FFE" w:rsidRPr="00357E8F">
        <w:rPr>
          <w:iCs/>
        </w:rPr>
        <w:t>:</w:t>
      </w:r>
      <w:r w:rsidR="00521FFE" w:rsidRPr="00F84CF2">
        <w:rPr>
          <w:i/>
        </w:rPr>
        <w:t xml:space="preserve"> </w:t>
      </w:r>
      <w:r w:rsidR="00773F7E" w:rsidRPr="00897FF2">
        <w:t xml:space="preserve">Sample source by country </w:t>
      </w:r>
      <w:r w:rsidR="00773F7E" w:rsidRPr="00773F7E">
        <w:t>(%)</w:t>
      </w:r>
      <w:r w:rsidR="003B4BDC">
        <w:t xml:space="preserve"> </w:t>
      </w:r>
      <w:bookmarkEnd w:id="30"/>
    </w:p>
    <w:p w14:paraId="24B23DE6" w14:textId="77777777" w:rsidR="0076320B" w:rsidRDefault="00442C05" w:rsidP="0076320B">
      <w:pPr>
        <w:pStyle w:val="FigurePlaceholder"/>
      </w:pPr>
      <w:r>
        <w:rPr>
          <w:noProof/>
        </w:rPr>
        <w:drawing>
          <wp:inline distT="0" distB="0" distL="0" distR="0" wp14:anchorId="0FB163B6" wp14:editId="0F294594">
            <wp:extent cx="5395595" cy="2781300"/>
            <wp:effectExtent l="0" t="0" r="0" b="0"/>
            <wp:docPr id="5" name="Picture 5" descr="Pie chart: sample source by country (%)&#10;Australia: 23.9%&#10;Multinational (literature review): 16.4%&#10;Multinational (survey, data): 14.9%&#10;USA/Canada: 13.4%&#10;Europe: 11.9%&#10;UK/Great Britain/Ireland: 7.5%&#10;Mixed Western Countries: 4.5%&#10;Japan: 3.0%&#10;Not specifie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e chart: sample source by country (%)&#10;Australia: 23.9%&#10;Multinational (literature review): 16.4%&#10;Multinational (survey, data): 14.9%&#10;USA/Canada: 13.4%&#10;Europe: 11.9%&#10;UK/Great Britain/Ireland: 7.5%&#10;Mixed Western Countries: 4.5%&#10;Japan: 3.0%&#10;Not specified: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7393" cy="2782227"/>
                    </a:xfrm>
                    <a:prstGeom prst="rect">
                      <a:avLst/>
                    </a:prstGeom>
                    <a:noFill/>
                  </pic:spPr>
                </pic:pic>
              </a:graphicData>
            </a:graphic>
          </wp:inline>
        </w:drawing>
      </w:r>
    </w:p>
    <w:p w14:paraId="2375065B" w14:textId="11EF4EE4" w:rsidR="00357E8F" w:rsidRPr="00925BCC" w:rsidRDefault="00357E8F" w:rsidP="0076320B">
      <w:pPr>
        <w:pStyle w:val="FigureNotes"/>
      </w:pPr>
      <w:r w:rsidRPr="005A01AA">
        <w:t xml:space="preserve">Note: Purple indicates </w:t>
      </w:r>
      <w:r w:rsidR="007940F4" w:rsidRPr="005A01AA">
        <w:t xml:space="preserve">articles </w:t>
      </w:r>
      <w:r w:rsidR="00F6691B" w:rsidRPr="005A01AA">
        <w:t>focused on</w:t>
      </w:r>
      <w:r w:rsidR="007940F4" w:rsidRPr="005A01AA">
        <w:t xml:space="preserve"> </w:t>
      </w:r>
      <w:r w:rsidRPr="005A01AA">
        <w:t>Western countries</w:t>
      </w:r>
      <w:r w:rsidR="007940F4" w:rsidRPr="005A01AA">
        <w:t>; red multinational</w:t>
      </w:r>
      <w:r w:rsidRPr="005A01AA">
        <w:t xml:space="preserve">; </w:t>
      </w:r>
      <w:r w:rsidR="00F6691B" w:rsidRPr="005A01AA">
        <w:t>and t</w:t>
      </w:r>
      <w:r w:rsidRPr="005A01AA">
        <w:t>eal</w:t>
      </w:r>
      <w:r w:rsidR="00F6691B" w:rsidRPr="005A01AA">
        <w:t xml:space="preserve"> o</w:t>
      </w:r>
      <w:r w:rsidRPr="005A01AA">
        <w:t>ther</w:t>
      </w:r>
      <w:r w:rsidR="00F6691B" w:rsidRPr="005A01AA">
        <w:t xml:space="preserve"> countries</w:t>
      </w:r>
      <w:r w:rsidRPr="005A01AA">
        <w:t>.</w:t>
      </w:r>
    </w:p>
    <w:p w14:paraId="5B819D1C" w14:textId="3EA0B594" w:rsidR="00BD312F" w:rsidRDefault="00D40DD2" w:rsidP="0076320B">
      <w:pPr>
        <w:pStyle w:val="BodyText"/>
      </w:pPr>
      <w:r>
        <w:t xml:space="preserve">Strength and </w:t>
      </w:r>
      <w:r w:rsidR="00DE1F4E">
        <w:t>value</w:t>
      </w:r>
      <w:r>
        <w:t xml:space="preserve"> of evidence </w:t>
      </w:r>
      <w:r w:rsidR="003D044E">
        <w:t xml:space="preserve">related to the </w:t>
      </w:r>
      <w:r w:rsidR="00F67568">
        <w:t xml:space="preserve">four </w:t>
      </w:r>
      <w:r w:rsidR="00EA535D">
        <w:t xml:space="preserve">key </w:t>
      </w:r>
      <w:r w:rsidR="003D044E">
        <w:t xml:space="preserve">research questions </w:t>
      </w:r>
      <w:r>
        <w:t>varied</w:t>
      </w:r>
      <w:r w:rsidR="00C118BA">
        <w:t xml:space="preserve"> </w:t>
      </w:r>
      <w:r w:rsidR="00574DC8" w:rsidRPr="00CC2F1D">
        <w:t>between artic</w:t>
      </w:r>
      <w:r w:rsidR="00C118BA" w:rsidRPr="00CC2F1D">
        <w:t>les</w:t>
      </w:r>
      <w:r w:rsidR="00574DC8" w:rsidRPr="00CC2F1D">
        <w:t xml:space="preserve"> </w:t>
      </w:r>
      <w:r w:rsidR="00472733">
        <w:t>(i</w:t>
      </w:r>
      <w:r w:rsidR="00C118BA" w:rsidRPr="00CC2F1D">
        <w:t>ndividual ratings</w:t>
      </w:r>
      <w:r w:rsidR="00574DC8" w:rsidRPr="00CC2F1D">
        <w:t xml:space="preserve"> </w:t>
      </w:r>
      <w:r w:rsidR="00C118BA" w:rsidRPr="00CC2F1D">
        <w:t>for each</w:t>
      </w:r>
      <w:r w:rsidR="00574DC8" w:rsidRPr="00CC2F1D">
        <w:t xml:space="preserve"> article</w:t>
      </w:r>
      <w:r w:rsidR="00C118BA" w:rsidRPr="00CC2F1D">
        <w:t xml:space="preserve"> </w:t>
      </w:r>
      <w:r w:rsidR="00BB2C4D" w:rsidRPr="00CC2F1D">
        <w:t>are</w:t>
      </w:r>
      <w:r w:rsidR="00C118BA" w:rsidRPr="00CC2F1D">
        <w:t xml:space="preserve"> </w:t>
      </w:r>
      <w:r w:rsidR="00BB2C4D" w:rsidRPr="00CC2F1D">
        <w:t>shown</w:t>
      </w:r>
      <w:r w:rsidR="00C118BA" w:rsidRPr="00CC2F1D">
        <w:t xml:space="preserve"> in </w:t>
      </w:r>
      <w:r w:rsidR="009772A5">
        <w:t>Supplementary Document 1: Evidence table</w:t>
      </w:r>
      <w:r w:rsidR="00472733">
        <w:t>)</w:t>
      </w:r>
      <w:r w:rsidR="00C118BA" w:rsidRPr="00CC2F1D">
        <w:t>.</w:t>
      </w:r>
      <w:r w:rsidR="00C118BA" w:rsidRPr="00FE7618">
        <w:t xml:space="preserve"> </w:t>
      </w:r>
      <w:r w:rsidR="000F01E5" w:rsidRPr="00FE7618">
        <w:t>Overall</w:t>
      </w:r>
      <w:r w:rsidR="000F01E5">
        <w:t xml:space="preserve">, the strength of evidence was </w:t>
      </w:r>
      <w:r w:rsidR="008A6447">
        <w:t xml:space="preserve">medium </w:t>
      </w:r>
      <w:r w:rsidR="00016B64">
        <w:t xml:space="preserve">(see Table </w:t>
      </w:r>
      <w:r w:rsidR="004C6E38">
        <w:t>1</w:t>
      </w:r>
      <w:r w:rsidR="00016B64">
        <w:t>)</w:t>
      </w:r>
      <w:r w:rsidR="000F01E5">
        <w:t xml:space="preserve">. </w:t>
      </w:r>
      <w:r w:rsidR="00764E60">
        <w:t>While t</w:t>
      </w:r>
      <w:r w:rsidR="000F01E5">
        <w:t>here w</w:t>
      </w:r>
      <w:r w:rsidR="00B21430">
        <w:t>ere several</w:t>
      </w:r>
      <w:r w:rsidR="000F01E5">
        <w:t xml:space="preserve"> higher</w:t>
      </w:r>
      <w:r w:rsidR="008A6447">
        <w:t xml:space="preserve"> </w:t>
      </w:r>
      <w:r w:rsidR="000F01E5">
        <w:t xml:space="preserve">strength articles, such as meta-analyses and </w:t>
      </w:r>
      <w:r w:rsidR="00B21430">
        <w:t xml:space="preserve">pre-registered </w:t>
      </w:r>
      <w:r w:rsidR="006A1B12">
        <w:t xml:space="preserve">studies, </w:t>
      </w:r>
      <w:r w:rsidR="005A394E">
        <w:t xml:space="preserve">most reviewed studies </w:t>
      </w:r>
      <w:r w:rsidR="00922954">
        <w:t>were</w:t>
      </w:r>
      <w:r w:rsidR="00764E60">
        <w:t xml:space="preserve"> low-medium strength articles, such as reports</w:t>
      </w:r>
      <w:r w:rsidR="00BD53FE">
        <w:t xml:space="preserve">, </w:t>
      </w:r>
      <w:r w:rsidR="00EE303B">
        <w:t>conceptual</w:t>
      </w:r>
      <w:r w:rsidR="00BD53FE">
        <w:t xml:space="preserve"> </w:t>
      </w:r>
      <w:proofErr w:type="gramStart"/>
      <w:r w:rsidR="00BD53FE">
        <w:t>framework</w:t>
      </w:r>
      <w:r w:rsidR="00EE303B">
        <w:t>s</w:t>
      </w:r>
      <w:proofErr w:type="gramEnd"/>
      <w:r w:rsidR="00EE303B">
        <w:t xml:space="preserve"> and</w:t>
      </w:r>
      <w:r w:rsidR="00764E60">
        <w:t xml:space="preserve"> qualitative</w:t>
      </w:r>
      <w:r w:rsidR="00BD53FE">
        <w:t xml:space="preserve"> studies</w:t>
      </w:r>
      <w:r w:rsidR="00764E60">
        <w:t>.</w:t>
      </w:r>
      <w:r w:rsidR="00BD312F">
        <w:t xml:space="preserve"> Stronger </w:t>
      </w:r>
      <w:r w:rsidR="00A012D5">
        <w:t>evidence</w:t>
      </w:r>
      <w:r w:rsidR="00BD312F">
        <w:t xml:space="preserve"> is required – particularly</w:t>
      </w:r>
      <w:r w:rsidR="003C3203">
        <w:t xml:space="preserve"> from</w:t>
      </w:r>
      <w:r w:rsidR="00BD312F">
        <w:t xml:space="preserve"> longitudinal studies – to determine if there is a causal link between these products and harm.</w:t>
      </w:r>
      <w:r w:rsidR="00EE303B">
        <w:t xml:space="preserve"> </w:t>
      </w:r>
    </w:p>
    <w:p w14:paraId="16752306" w14:textId="1CAED6C6" w:rsidR="00C1573F" w:rsidRPr="00C001AC" w:rsidRDefault="00263557" w:rsidP="0076320B">
      <w:pPr>
        <w:pStyle w:val="BodyText"/>
      </w:pPr>
      <w:r>
        <w:t xml:space="preserve">Similarly, the </w:t>
      </w:r>
      <w:r w:rsidR="00DE1F4E">
        <w:t>value</w:t>
      </w:r>
      <w:r>
        <w:t xml:space="preserve"> of the evidence available was </w:t>
      </w:r>
      <w:r w:rsidR="003C3203">
        <w:t xml:space="preserve">generally rated as </w:t>
      </w:r>
      <w:r w:rsidR="006D2191">
        <w:t xml:space="preserve">medium </w:t>
      </w:r>
      <w:r>
        <w:t xml:space="preserve">(see Table </w:t>
      </w:r>
      <w:r w:rsidR="00D9292A">
        <w:t>2</w:t>
      </w:r>
      <w:r>
        <w:t xml:space="preserve">). Though there were some very </w:t>
      </w:r>
      <w:r w:rsidR="002633A1">
        <w:t>high-</w:t>
      </w:r>
      <w:r w:rsidR="007F6464">
        <w:t>value</w:t>
      </w:r>
      <w:r>
        <w:t xml:space="preserve"> articles (e.g. </w:t>
      </w:r>
      <w:r w:rsidR="0072152B">
        <w:t>Drummond</w:t>
      </w:r>
      <w:r w:rsidR="00AA7E98">
        <w:t xml:space="preserve">, Sauer, Ferguson, &amp; Hall, 2020; </w:t>
      </w:r>
      <w:proofErr w:type="spellStart"/>
      <w:r w:rsidRPr="005027F4">
        <w:t>Zendle</w:t>
      </w:r>
      <w:proofErr w:type="spellEnd"/>
      <w:r w:rsidRPr="005027F4">
        <w:t xml:space="preserve">, </w:t>
      </w:r>
      <w:r w:rsidR="000506C7">
        <w:t>Meyer, &amp; Over</w:t>
      </w:r>
      <w:r>
        <w:t>, 2019), some had methodological issues, stratified samples, unconventional analysis/</w:t>
      </w:r>
      <w:proofErr w:type="gramStart"/>
      <w:r>
        <w:t>statistics</w:t>
      </w:r>
      <w:proofErr w:type="gramEnd"/>
      <w:r>
        <w:t xml:space="preserve"> or other factors </w:t>
      </w:r>
      <w:r w:rsidR="006D2191">
        <w:t xml:space="preserve">reducing </w:t>
      </w:r>
      <w:r>
        <w:t xml:space="preserve">the robustness of their findings. Additionally, while several articles were of high technical quality, they did not include detailed analyses of relevant outcome(s) (i.e. harms). While these articles were assessed as lower </w:t>
      </w:r>
      <w:r w:rsidR="00DE1F4E">
        <w:t>value</w:t>
      </w:r>
      <w:r>
        <w:t xml:space="preserve"> for this review (which</w:t>
      </w:r>
      <w:r w:rsidR="00C25DAE">
        <w:t xml:space="preserve"> </w:t>
      </w:r>
      <w:r>
        <w:t xml:space="preserve">focused on harms), these </w:t>
      </w:r>
      <w:r w:rsidR="00DE1F4E">
        <w:t>value</w:t>
      </w:r>
      <w:r>
        <w:t xml:space="preserve"> ratings should not be considered as an indication of </w:t>
      </w:r>
      <w:r w:rsidR="00C25DAE">
        <w:t xml:space="preserve">the </w:t>
      </w:r>
      <w:r>
        <w:t xml:space="preserve">academic rigour, skill, </w:t>
      </w:r>
      <w:r w:rsidR="002D5636">
        <w:t xml:space="preserve">original </w:t>
      </w:r>
      <w:r w:rsidR="00786DC3">
        <w:t>contribution,</w:t>
      </w:r>
      <w:r w:rsidR="002D5636">
        <w:t xml:space="preserve"> </w:t>
      </w:r>
      <w:r>
        <w:t xml:space="preserve">or technical quality of the authors’ work. </w:t>
      </w:r>
      <w:bookmarkStart w:id="31" w:name="_Ref96096313"/>
    </w:p>
    <w:p w14:paraId="0C6A7D98" w14:textId="2183B4F8" w:rsidR="00142B05" w:rsidRPr="00C001AC" w:rsidRDefault="005B2415" w:rsidP="0076320B">
      <w:pPr>
        <w:pStyle w:val="BodyText"/>
      </w:pPr>
      <w:r>
        <w:t>In addition to</w:t>
      </w:r>
      <w:r w:rsidR="00142B05">
        <w:t xml:space="preserve"> assessing </w:t>
      </w:r>
      <w:r w:rsidR="0072413A">
        <w:t xml:space="preserve">the </w:t>
      </w:r>
      <w:r w:rsidR="00142B05">
        <w:t xml:space="preserve">strength </w:t>
      </w:r>
      <w:r w:rsidR="00F23C7C">
        <w:t xml:space="preserve">and value </w:t>
      </w:r>
      <w:r w:rsidR="00142B05">
        <w:t xml:space="preserve">of </w:t>
      </w:r>
      <w:r w:rsidR="00F23C7C">
        <w:t xml:space="preserve">the </w:t>
      </w:r>
      <w:r w:rsidR="00142B05">
        <w:t>evidence, we</w:t>
      </w:r>
      <w:r w:rsidR="001D107B">
        <w:t xml:space="preserve"> examined how str</w:t>
      </w:r>
      <w:r w:rsidR="004F6DB3">
        <w:t xml:space="preserve">ong the </w:t>
      </w:r>
      <w:r w:rsidR="00E15FFF">
        <w:t xml:space="preserve">reported </w:t>
      </w:r>
      <w:r w:rsidR="0072413A">
        <w:t>association/</w:t>
      </w:r>
      <w:r w:rsidR="004F6DB3">
        <w:t xml:space="preserve">relationship was between </w:t>
      </w:r>
      <w:r w:rsidR="00B23DD5">
        <w:t>engagement with</w:t>
      </w:r>
      <w:r w:rsidR="00603BAB">
        <w:t xml:space="preserve"> </w:t>
      </w:r>
      <w:r w:rsidR="00326806">
        <w:t>each</w:t>
      </w:r>
      <w:r w:rsidR="005016EC">
        <w:t xml:space="preserve"> </w:t>
      </w:r>
      <w:r w:rsidR="00142B05">
        <w:t>product</w:t>
      </w:r>
      <w:r w:rsidR="005016EC">
        <w:t xml:space="preserve"> and </w:t>
      </w:r>
      <w:r w:rsidR="00171142">
        <w:t>harm outcom</w:t>
      </w:r>
      <w:r w:rsidR="004F6DB3">
        <w:t>e.</w:t>
      </w:r>
      <w:r w:rsidR="00E15FFF">
        <w:t xml:space="preserve"> </w:t>
      </w:r>
      <w:r w:rsidR="00E2083F">
        <w:t xml:space="preserve">The </w:t>
      </w:r>
      <w:r w:rsidR="00EA4D0C">
        <w:t xml:space="preserve">strength of the </w:t>
      </w:r>
      <w:r w:rsidR="00E2083F">
        <w:t xml:space="preserve">relationship </w:t>
      </w:r>
      <w:r w:rsidR="00EA4D0C">
        <w:t xml:space="preserve">was rated more highly if scores </w:t>
      </w:r>
      <w:r w:rsidR="00142B05">
        <w:t xml:space="preserve">on harm </w:t>
      </w:r>
      <w:r w:rsidR="00D610E1">
        <w:t>outcomes</w:t>
      </w:r>
      <w:r w:rsidR="00142B05">
        <w:t xml:space="preserve"> </w:t>
      </w:r>
      <w:r w:rsidR="00E15FFF">
        <w:t xml:space="preserve">(e.g. problem gambling or internet gaming disorder) </w:t>
      </w:r>
      <w:r w:rsidR="00142B05">
        <w:t xml:space="preserve">increased </w:t>
      </w:r>
      <w:r w:rsidR="008339EF">
        <w:t>(</w:t>
      </w:r>
      <w:r w:rsidR="00142B05">
        <w:t>or decreased</w:t>
      </w:r>
      <w:r w:rsidR="008339EF">
        <w:t>)</w:t>
      </w:r>
      <w:r w:rsidR="00142B05">
        <w:t xml:space="preserve"> with more </w:t>
      </w:r>
      <w:r w:rsidR="008339EF">
        <w:t>(</w:t>
      </w:r>
      <w:r w:rsidR="00142B05">
        <w:t>or less</w:t>
      </w:r>
      <w:r w:rsidR="008339EF">
        <w:t>)</w:t>
      </w:r>
      <w:r w:rsidR="00142B05">
        <w:t xml:space="preserve"> </w:t>
      </w:r>
      <w:r w:rsidR="006340A0">
        <w:t>e</w:t>
      </w:r>
      <w:r w:rsidR="00142B05">
        <w:t xml:space="preserve">ngagement. A </w:t>
      </w:r>
      <w:r w:rsidR="009770DE">
        <w:t>lower rating</w:t>
      </w:r>
      <w:r w:rsidR="00142B05">
        <w:t xml:space="preserve"> suggests there may be some association between engagement and harm, but other factors </w:t>
      </w:r>
      <w:r w:rsidR="003011E9">
        <w:t>may</w:t>
      </w:r>
      <w:r w:rsidR="00142B05">
        <w:t xml:space="preserve"> </w:t>
      </w:r>
      <w:r w:rsidR="00FE589D">
        <w:t xml:space="preserve">have </w:t>
      </w:r>
      <w:r w:rsidR="00142B05">
        <w:t>affect</w:t>
      </w:r>
      <w:r w:rsidR="00FE589D">
        <w:t>ed</w:t>
      </w:r>
      <w:r w:rsidR="00142B05">
        <w:t xml:space="preserve"> harm scores as well.</w:t>
      </w:r>
    </w:p>
    <w:p w14:paraId="0B0AF27B" w14:textId="77777777" w:rsidR="00984FFE" w:rsidRDefault="00984FFE">
      <w:pPr>
        <w:suppressAutoHyphens w:val="0"/>
        <w:spacing w:before="0" w:line="240" w:lineRule="auto"/>
        <w:jc w:val="left"/>
        <w:rPr>
          <w:rFonts w:eastAsia="Times New Roman"/>
          <w:b/>
          <w:color w:val="ED0C64"/>
          <w:lang w:bidi="en-US"/>
        </w:rPr>
      </w:pPr>
      <w:r>
        <w:br w:type="page"/>
      </w:r>
    </w:p>
    <w:p w14:paraId="26CD6D94" w14:textId="5CEB1326" w:rsidR="00F90171" w:rsidRPr="00897FF2" w:rsidRDefault="00F90171" w:rsidP="00F84CF2">
      <w:pPr>
        <w:pStyle w:val="TableCaption"/>
        <w:numPr>
          <w:ilvl w:val="0"/>
          <w:numId w:val="0"/>
        </w:numPr>
        <w:ind w:left="992" w:hanging="992"/>
      </w:pPr>
      <w:r w:rsidRPr="00897FF2">
        <w:lastRenderedPageBreak/>
        <w:t xml:space="preserve">Table </w:t>
      </w:r>
      <w:bookmarkEnd w:id="31"/>
      <w:r w:rsidR="00D9292A">
        <w:t>2</w:t>
      </w:r>
      <w:r w:rsidRPr="00897FF2">
        <w:t>: Assessment</w:t>
      </w:r>
      <w:r w:rsidRPr="00773F7E">
        <w:t xml:space="preserve"> </w:t>
      </w:r>
      <w:r w:rsidR="00985A90">
        <w:t>of</w:t>
      </w:r>
      <w:r w:rsidR="00985A90" w:rsidRPr="00897FF2">
        <w:t xml:space="preserve"> </w:t>
      </w:r>
      <w:r w:rsidRPr="00897FF2">
        <w:t>criteria by study design</w:t>
      </w:r>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0" w:space="0" w:color="auto"/>
          <w:insideV w:val="single" w:sz="8" w:space="0" w:color="FFFFFF" w:themeColor="background1"/>
        </w:tblBorders>
        <w:tblLook w:val="04A0" w:firstRow="1" w:lastRow="0" w:firstColumn="1" w:lastColumn="0" w:noHBand="0" w:noVBand="1"/>
      </w:tblPr>
      <w:tblGrid>
        <w:gridCol w:w="2690"/>
        <w:gridCol w:w="1941"/>
        <w:gridCol w:w="1940"/>
        <w:gridCol w:w="2144"/>
      </w:tblGrid>
      <w:tr w:rsidR="00796754" w14:paraId="350BE26C" w14:textId="1A646451" w:rsidTr="00796754">
        <w:trPr>
          <w:cnfStyle w:val="100000000000" w:firstRow="1" w:lastRow="0" w:firstColumn="0" w:lastColumn="0" w:oddVBand="0" w:evenVBand="0" w:oddHBand="0" w:evenHBand="0" w:firstRowFirstColumn="0" w:firstRowLastColumn="0" w:lastRowFirstColumn="0" w:lastRowLastColumn="0"/>
          <w:trHeight w:val="825"/>
        </w:trPr>
        <w:tc>
          <w:tcPr>
            <w:tcW w:w="1543" w:type="pct"/>
            <w:vAlign w:val="center"/>
          </w:tcPr>
          <w:p w14:paraId="31F19CC9" w14:textId="77777777" w:rsidR="00796754" w:rsidRPr="00AA29D5" w:rsidRDefault="00796754" w:rsidP="00E56507">
            <w:pPr>
              <w:pStyle w:val="BodyText"/>
              <w:spacing w:before="0" w:line="240" w:lineRule="auto"/>
              <w:rPr>
                <w:b/>
                <w:bCs/>
                <w:color w:val="FFFFFF" w:themeColor="background1"/>
              </w:rPr>
            </w:pPr>
            <w:bookmarkStart w:id="32" w:name="_Hlk105966040"/>
            <w:r>
              <w:rPr>
                <w:b/>
                <w:bCs/>
                <w:color w:val="FFFFFF" w:themeColor="background1"/>
              </w:rPr>
              <w:t>Article type</w:t>
            </w:r>
          </w:p>
        </w:tc>
        <w:tc>
          <w:tcPr>
            <w:tcW w:w="1113" w:type="pct"/>
            <w:tcBorders>
              <w:bottom w:val="nil"/>
            </w:tcBorders>
            <w:vAlign w:val="center"/>
          </w:tcPr>
          <w:p w14:paraId="52BBFD26" w14:textId="77777777" w:rsidR="00796754" w:rsidRPr="00AA29D5" w:rsidRDefault="00796754" w:rsidP="00E56507">
            <w:pPr>
              <w:pStyle w:val="BodyText"/>
              <w:spacing w:before="0" w:line="240" w:lineRule="auto"/>
              <w:jc w:val="center"/>
              <w:rPr>
                <w:b/>
                <w:bCs/>
                <w:color w:val="FFFFFF" w:themeColor="background1"/>
              </w:rPr>
            </w:pPr>
            <w:r>
              <w:rPr>
                <w:b/>
                <w:bCs/>
                <w:color w:val="FFFFFF" w:themeColor="background1"/>
              </w:rPr>
              <w:t>Average strength of evidence</w:t>
            </w:r>
          </w:p>
        </w:tc>
        <w:tc>
          <w:tcPr>
            <w:tcW w:w="1113" w:type="pct"/>
            <w:tcBorders>
              <w:bottom w:val="nil"/>
            </w:tcBorders>
            <w:vAlign w:val="center"/>
          </w:tcPr>
          <w:p w14:paraId="10EB7C4A" w14:textId="51E19471" w:rsidR="00796754" w:rsidRPr="00AA29D5" w:rsidRDefault="00796754" w:rsidP="00E56507">
            <w:pPr>
              <w:pStyle w:val="BodyText"/>
              <w:spacing w:before="0" w:line="240" w:lineRule="auto"/>
              <w:jc w:val="center"/>
              <w:rPr>
                <w:b/>
                <w:bCs/>
                <w:color w:val="FFFFFF" w:themeColor="background1"/>
              </w:rPr>
            </w:pPr>
            <w:r>
              <w:rPr>
                <w:b/>
                <w:bCs/>
                <w:color w:val="FFFFFF" w:themeColor="background1"/>
              </w:rPr>
              <w:t>Average value of evidence</w:t>
            </w:r>
          </w:p>
        </w:tc>
        <w:tc>
          <w:tcPr>
            <w:tcW w:w="1230" w:type="pct"/>
            <w:tcBorders>
              <w:bottom w:val="nil"/>
            </w:tcBorders>
          </w:tcPr>
          <w:p w14:paraId="18693146" w14:textId="062B82FE" w:rsidR="00796754" w:rsidRDefault="00796754" w:rsidP="00E56507">
            <w:pPr>
              <w:pStyle w:val="BodyText"/>
              <w:spacing w:before="0" w:line="240" w:lineRule="auto"/>
              <w:jc w:val="center"/>
              <w:rPr>
                <w:b/>
                <w:bCs/>
                <w:color w:val="FFFFFF" w:themeColor="background1"/>
              </w:rPr>
            </w:pPr>
            <w:r>
              <w:rPr>
                <w:b/>
                <w:bCs/>
                <w:color w:val="FFFFFF" w:themeColor="background1"/>
              </w:rPr>
              <w:t>Average g</w:t>
            </w:r>
            <w:r w:rsidRPr="00AA29D5">
              <w:rPr>
                <w:b/>
                <w:bCs/>
                <w:color w:val="FFFFFF" w:themeColor="background1"/>
              </w:rPr>
              <w:t>eneralisability to Australia</w:t>
            </w:r>
          </w:p>
        </w:tc>
      </w:tr>
      <w:tr w:rsidR="00796754" w14:paraId="41950C1D" w14:textId="427B2B59" w:rsidTr="00796754">
        <w:trPr>
          <w:trHeight w:val="567"/>
        </w:trPr>
        <w:tc>
          <w:tcPr>
            <w:tcW w:w="1543" w:type="pct"/>
            <w:tcBorders>
              <w:right w:val="nil"/>
            </w:tcBorders>
            <w:shd w:val="clear" w:color="auto" w:fill="auto"/>
            <w:vAlign w:val="center"/>
          </w:tcPr>
          <w:p w14:paraId="23FA2446" w14:textId="77777777" w:rsidR="00796754" w:rsidRPr="00552FC5" w:rsidRDefault="00796754" w:rsidP="00796754">
            <w:pPr>
              <w:pStyle w:val="BodyText"/>
              <w:spacing w:before="0" w:line="240" w:lineRule="auto"/>
              <w:rPr>
                <w:sz w:val="18"/>
              </w:rPr>
            </w:pPr>
            <w:bookmarkStart w:id="33" w:name="_Hlk105966072"/>
            <w:r w:rsidRPr="00552FC5">
              <w:rPr>
                <w:sz w:val="18"/>
              </w:rPr>
              <w:t>Cross-sectional (</w:t>
            </w:r>
            <w:r w:rsidRPr="00F84CF2">
              <w:rPr>
                <w:i/>
                <w:sz w:val="18"/>
              </w:rPr>
              <w:t>n</w:t>
            </w:r>
            <w:r>
              <w:rPr>
                <w:sz w:val="18"/>
              </w:rPr>
              <w:t xml:space="preserve"> </w:t>
            </w:r>
            <w:r w:rsidRPr="00552FC5">
              <w:rPr>
                <w:sz w:val="18"/>
              </w:rPr>
              <w:t>=</w:t>
            </w:r>
            <w:r>
              <w:rPr>
                <w:sz w:val="18"/>
              </w:rPr>
              <w:t xml:space="preserve"> </w:t>
            </w:r>
            <w:r w:rsidRPr="00552FC5">
              <w:rPr>
                <w:sz w:val="18"/>
              </w:rPr>
              <w:t>42)</w:t>
            </w:r>
          </w:p>
        </w:tc>
        <w:tc>
          <w:tcPr>
            <w:tcW w:w="1113" w:type="pct"/>
            <w:tcBorders>
              <w:top w:val="nil"/>
              <w:left w:val="single" w:sz="4" w:space="0" w:color="FFFFFF" w:themeColor="background1"/>
              <w:bottom w:val="single" w:sz="4" w:space="0" w:color="FFFFFF" w:themeColor="background1"/>
              <w:right w:val="single" w:sz="4" w:space="0" w:color="FFFFFF" w:themeColor="background1"/>
            </w:tcBorders>
            <w:shd w:val="clear" w:color="auto" w:fill="FABF8F" w:themeFill="accent6" w:themeFillTint="99"/>
            <w:vAlign w:val="center"/>
          </w:tcPr>
          <w:p w14:paraId="2FB2BC0B" w14:textId="77777777" w:rsidR="00796754" w:rsidRPr="00552FC5" w:rsidRDefault="00796754" w:rsidP="00796754">
            <w:pPr>
              <w:pStyle w:val="BodyText"/>
              <w:spacing w:before="0" w:line="240" w:lineRule="auto"/>
              <w:jc w:val="center"/>
              <w:rPr>
                <w:sz w:val="18"/>
              </w:rPr>
            </w:pPr>
            <w:r w:rsidRPr="00552FC5">
              <w:rPr>
                <w:sz w:val="18"/>
              </w:rPr>
              <w:t>Medium</w:t>
            </w:r>
          </w:p>
        </w:tc>
        <w:tc>
          <w:tcPr>
            <w:tcW w:w="1113" w:type="pct"/>
            <w:tcBorders>
              <w:top w:val="nil"/>
              <w:left w:val="single" w:sz="4" w:space="0" w:color="FFFFFF" w:themeColor="background1"/>
              <w:bottom w:val="single" w:sz="4" w:space="0" w:color="FFFFFF" w:themeColor="background1"/>
              <w:right w:val="nil"/>
            </w:tcBorders>
            <w:shd w:val="clear" w:color="auto" w:fill="FABF8F" w:themeFill="accent6" w:themeFillTint="99"/>
            <w:vAlign w:val="center"/>
          </w:tcPr>
          <w:p w14:paraId="76E4C636" w14:textId="77777777" w:rsidR="00796754" w:rsidRPr="00552FC5" w:rsidRDefault="00796754" w:rsidP="00796754">
            <w:pPr>
              <w:pStyle w:val="BodyText"/>
              <w:spacing w:before="0" w:line="240" w:lineRule="auto"/>
              <w:jc w:val="center"/>
              <w:rPr>
                <w:sz w:val="18"/>
              </w:rPr>
            </w:pPr>
            <w:r w:rsidRPr="00552FC5">
              <w:rPr>
                <w:sz w:val="18"/>
              </w:rPr>
              <w:t>Medium</w:t>
            </w:r>
          </w:p>
        </w:tc>
        <w:tc>
          <w:tcPr>
            <w:tcW w:w="1230" w:type="pct"/>
            <w:tcBorders>
              <w:top w:val="nil"/>
              <w:left w:val="nil"/>
              <w:bottom w:val="single" w:sz="4" w:space="0" w:color="FFFFFF" w:themeColor="background1"/>
              <w:right w:val="single" w:sz="4" w:space="0" w:color="FFFFFF" w:themeColor="background1"/>
            </w:tcBorders>
            <w:shd w:val="clear" w:color="auto" w:fill="C2D69B" w:themeFill="accent3" w:themeFillTint="99"/>
            <w:vAlign w:val="center"/>
          </w:tcPr>
          <w:p w14:paraId="0A3AC8A8" w14:textId="65545A50" w:rsidR="00796754" w:rsidRPr="00552FC5" w:rsidRDefault="00796754" w:rsidP="00796754">
            <w:pPr>
              <w:pStyle w:val="BodyText"/>
              <w:spacing w:before="0" w:line="240" w:lineRule="auto"/>
              <w:jc w:val="center"/>
              <w:rPr>
                <w:sz w:val="18"/>
              </w:rPr>
            </w:pPr>
            <w:r w:rsidRPr="00552FC5">
              <w:rPr>
                <w:sz w:val="18"/>
              </w:rPr>
              <w:t>High</w:t>
            </w:r>
          </w:p>
        </w:tc>
      </w:tr>
      <w:tr w:rsidR="00796754" w14:paraId="13863BCD" w14:textId="2D8265D2" w:rsidTr="00796754">
        <w:trPr>
          <w:trHeight w:val="567"/>
        </w:trPr>
        <w:tc>
          <w:tcPr>
            <w:tcW w:w="1543" w:type="pct"/>
            <w:tcBorders>
              <w:bottom w:val="single" w:sz="4" w:space="0" w:color="FFFFFF" w:themeColor="background1"/>
              <w:right w:val="nil"/>
            </w:tcBorders>
            <w:shd w:val="clear" w:color="auto" w:fill="auto"/>
            <w:vAlign w:val="center"/>
          </w:tcPr>
          <w:p w14:paraId="0DFE902D" w14:textId="77777777" w:rsidR="00796754" w:rsidRPr="00552FC5" w:rsidRDefault="00796754" w:rsidP="00796754">
            <w:pPr>
              <w:pStyle w:val="BodyText"/>
              <w:spacing w:before="0" w:line="240" w:lineRule="auto"/>
              <w:rPr>
                <w:sz w:val="18"/>
              </w:rPr>
            </w:pPr>
            <w:r w:rsidRPr="00552FC5">
              <w:rPr>
                <w:sz w:val="18"/>
              </w:rPr>
              <w:t>Literature reviews (</w:t>
            </w:r>
            <w:r w:rsidRPr="00F84CF2">
              <w:rPr>
                <w:i/>
                <w:sz w:val="18"/>
              </w:rPr>
              <w:t>n</w:t>
            </w:r>
            <w:r>
              <w:rPr>
                <w:sz w:val="18"/>
              </w:rPr>
              <w:t xml:space="preserve"> </w:t>
            </w:r>
            <w:r w:rsidRPr="00552FC5">
              <w:rPr>
                <w:sz w:val="18"/>
              </w:rPr>
              <w:t>=</w:t>
            </w:r>
            <w:r>
              <w:rPr>
                <w:sz w:val="18"/>
              </w:rPr>
              <w:t xml:space="preserve"> </w:t>
            </w:r>
            <w:r w:rsidRPr="00552FC5">
              <w:rPr>
                <w:sz w:val="18"/>
              </w:rPr>
              <w:t>12)</w:t>
            </w:r>
          </w:p>
        </w:tc>
        <w:tc>
          <w:tcPr>
            <w:tcW w:w="11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BF8F" w:themeFill="accent6" w:themeFillTint="99"/>
            <w:vAlign w:val="center"/>
          </w:tcPr>
          <w:p w14:paraId="320923A0" w14:textId="77777777" w:rsidR="00796754" w:rsidRPr="00552FC5" w:rsidRDefault="00796754" w:rsidP="00796754">
            <w:pPr>
              <w:pStyle w:val="BodyText"/>
              <w:spacing w:before="0" w:line="240" w:lineRule="auto"/>
              <w:jc w:val="center"/>
              <w:rPr>
                <w:sz w:val="18"/>
              </w:rPr>
            </w:pPr>
            <w:r w:rsidRPr="00552FC5">
              <w:rPr>
                <w:sz w:val="18"/>
              </w:rPr>
              <w:t>Medium</w:t>
            </w:r>
          </w:p>
        </w:tc>
        <w:tc>
          <w:tcPr>
            <w:tcW w:w="1113" w:type="pct"/>
            <w:tcBorders>
              <w:top w:val="single" w:sz="4" w:space="0" w:color="FFFFFF" w:themeColor="background1"/>
              <w:left w:val="single" w:sz="4" w:space="0" w:color="FFFFFF" w:themeColor="background1"/>
              <w:bottom w:val="single" w:sz="4" w:space="0" w:color="FFFFFF" w:themeColor="background1"/>
              <w:right w:val="nil"/>
            </w:tcBorders>
            <w:shd w:val="clear" w:color="auto" w:fill="FFB3B3"/>
            <w:vAlign w:val="center"/>
          </w:tcPr>
          <w:p w14:paraId="23A8886B" w14:textId="77777777" w:rsidR="00796754" w:rsidRPr="00552FC5" w:rsidRDefault="00796754" w:rsidP="00796754">
            <w:pPr>
              <w:pStyle w:val="BodyText"/>
              <w:spacing w:before="0" w:line="240" w:lineRule="auto"/>
              <w:jc w:val="center"/>
              <w:rPr>
                <w:sz w:val="18"/>
              </w:rPr>
            </w:pPr>
            <w:r w:rsidRPr="00552FC5">
              <w:rPr>
                <w:sz w:val="18"/>
              </w:rPr>
              <w:t>Low-Medium</w:t>
            </w:r>
          </w:p>
        </w:tc>
        <w:tc>
          <w:tcPr>
            <w:tcW w:w="1230" w:type="pct"/>
            <w:tcBorders>
              <w:top w:val="single" w:sz="4" w:space="0" w:color="FFFFFF" w:themeColor="background1"/>
              <w:left w:val="nil"/>
              <w:bottom w:val="single" w:sz="4" w:space="0" w:color="FFFFFF" w:themeColor="background1"/>
              <w:right w:val="single" w:sz="4" w:space="0" w:color="FFFFFF" w:themeColor="background1"/>
            </w:tcBorders>
            <w:shd w:val="clear" w:color="auto" w:fill="D6E3BC" w:themeFill="accent3" w:themeFillTint="66"/>
            <w:vAlign w:val="center"/>
          </w:tcPr>
          <w:p w14:paraId="7E88F483" w14:textId="7019AB71" w:rsidR="00796754" w:rsidRPr="00552FC5" w:rsidRDefault="00796754" w:rsidP="00796754">
            <w:pPr>
              <w:pStyle w:val="BodyText"/>
              <w:spacing w:before="0" w:line="240" w:lineRule="auto"/>
              <w:jc w:val="center"/>
              <w:rPr>
                <w:sz w:val="18"/>
              </w:rPr>
            </w:pPr>
            <w:r w:rsidRPr="00552FC5">
              <w:rPr>
                <w:sz w:val="18"/>
              </w:rPr>
              <w:t>Medium-High</w:t>
            </w:r>
          </w:p>
        </w:tc>
      </w:tr>
      <w:tr w:rsidR="00796754" w14:paraId="45C2C51D" w14:textId="7660DB93" w:rsidTr="00796754">
        <w:trPr>
          <w:trHeight w:val="567"/>
        </w:trPr>
        <w:tc>
          <w:tcPr>
            <w:tcW w:w="1543" w:type="pct"/>
            <w:tcBorders>
              <w:top w:val="single" w:sz="4" w:space="0" w:color="FFFFFF" w:themeColor="background1"/>
              <w:right w:val="nil"/>
            </w:tcBorders>
            <w:shd w:val="clear" w:color="auto" w:fill="auto"/>
            <w:vAlign w:val="center"/>
          </w:tcPr>
          <w:p w14:paraId="1FB0F387" w14:textId="77777777" w:rsidR="00796754" w:rsidRPr="00552FC5" w:rsidRDefault="00796754" w:rsidP="00796754">
            <w:pPr>
              <w:pStyle w:val="BodyText"/>
              <w:spacing w:before="0" w:line="240" w:lineRule="auto"/>
              <w:rPr>
                <w:sz w:val="18"/>
              </w:rPr>
            </w:pPr>
            <w:r w:rsidRPr="00552FC5">
              <w:rPr>
                <w:sz w:val="18"/>
              </w:rPr>
              <w:t>Qualitative (</w:t>
            </w:r>
            <w:r w:rsidRPr="00F84CF2">
              <w:rPr>
                <w:i/>
                <w:sz w:val="18"/>
              </w:rPr>
              <w:t>n</w:t>
            </w:r>
            <w:r>
              <w:rPr>
                <w:sz w:val="18"/>
              </w:rPr>
              <w:t xml:space="preserve"> </w:t>
            </w:r>
            <w:r w:rsidRPr="00552FC5">
              <w:rPr>
                <w:sz w:val="18"/>
              </w:rPr>
              <w:t>=</w:t>
            </w:r>
            <w:r>
              <w:rPr>
                <w:sz w:val="18"/>
              </w:rPr>
              <w:t xml:space="preserve"> </w:t>
            </w:r>
            <w:r w:rsidRPr="00552FC5">
              <w:rPr>
                <w:sz w:val="18"/>
              </w:rPr>
              <w:t>4)</w:t>
            </w:r>
          </w:p>
        </w:tc>
        <w:tc>
          <w:tcPr>
            <w:tcW w:w="1113" w:type="pct"/>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shd w:val="clear" w:color="auto" w:fill="FF6D6D"/>
            <w:vAlign w:val="center"/>
          </w:tcPr>
          <w:p w14:paraId="2DDA88CE" w14:textId="77777777" w:rsidR="00796754" w:rsidRPr="00552FC5" w:rsidRDefault="00796754" w:rsidP="00796754">
            <w:pPr>
              <w:pStyle w:val="BodyText"/>
              <w:spacing w:before="0" w:line="240" w:lineRule="auto"/>
              <w:jc w:val="center"/>
              <w:rPr>
                <w:sz w:val="18"/>
              </w:rPr>
            </w:pPr>
            <w:r w:rsidRPr="00552FC5">
              <w:rPr>
                <w:sz w:val="18"/>
              </w:rPr>
              <w:t>Low</w:t>
            </w:r>
          </w:p>
        </w:tc>
        <w:tc>
          <w:tcPr>
            <w:tcW w:w="1113" w:type="pct"/>
            <w:tcBorders>
              <w:top w:val="single" w:sz="4" w:space="0" w:color="FFFFFF" w:themeColor="background1"/>
              <w:left w:val="single" w:sz="4" w:space="0" w:color="FFFFFF" w:themeColor="background1"/>
              <w:bottom w:val="single" w:sz="2" w:space="0" w:color="FFFFFF" w:themeColor="background1"/>
              <w:right w:val="nil"/>
            </w:tcBorders>
            <w:shd w:val="clear" w:color="auto" w:fill="FF6D6D"/>
            <w:vAlign w:val="center"/>
          </w:tcPr>
          <w:p w14:paraId="33BF1CDB" w14:textId="77777777" w:rsidR="00796754" w:rsidRPr="00552FC5" w:rsidRDefault="00796754" w:rsidP="00796754">
            <w:pPr>
              <w:pStyle w:val="BodyText"/>
              <w:spacing w:before="0" w:line="240" w:lineRule="auto"/>
              <w:jc w:val="center"/>
              <w:rPr>
                <w:sz w:val="18"/>
              </w:rPr>
            </w:pPr>
            <w:r w:rsidRPr="00552FC5">
              <w:rPr>
                <w:sz w:val="18"/>
              </w:rPr>
              <w:t>Low</w:t>
            </w:r>
          </w:p>
        </w:tc>
        <w:tc>
          <w:tcPr>
            <w:tcW w:w="1230" w:type="pct"/>
            <w:tcBorders>
              <w:top w:val="single" w:sz="4" w:space="0" w:color="FFFFFF" w:themeColor="background1"/>
              <w:left w:val="nil"/>
              <w:bottom w:val="single" w:sz="2" w:space="0" w:color="FFFFFF" w:themeColor="background1"/>
              <w:right w:val="single" w:sz="4" w:space="0" w:color="FFFFFF" w:themeColor="background1"/>
            </w:tcBorders>
            <w:shd w:val="clear" w:color="auto" w:fill="C2D69B" w:themeFill="accent3" w:themeFillTint="99"/>
            <w:vAlign w:val="center"/>
          </w:tcPr>
          <w:p w14:paraId="7CD48093" w14:textId="23D2FBF9" w:rsidR="00796754" w:rsidRPr="00552FC5" w:rsidRDefault="00796754" w:rsidP="00796754">
            <w:pPr>
              <w:pStyle w:val="BodyText"/>
              <w:spacing w:before="0" w:line="240" w:lineRule="auto"/>
              <w:jc w:val="center"/>
              <w:rPr>
                <w:sz w:val="18"/>
              </w:rPr>
            </w:pPr>
            <w:r w:rsidRPr="00552FC5">
              <w:rPr>
                <w:sz w:val="18"/>
              </w:rPr>
              <w:t>High</w:t>
            </w:r>
          </w:p>
        </w:tc>
      </w:tr>
      <w:tr w:rsidR="00796754" w14:paraId="54C88143" w14:textId="666372D9" w:rsidTr="00796754">
        <w:trPr>
          <w:trHeight w:val="567"/>
        </w:trPr>
        <w:tc>
          <w:tcPr>
            <w:tcW w:w="1543" w:type="pct"/>
            <w:tcBorders>
              <w:right w:val="nil"/>
            </w:tcBorders>
            <w:shd w:val="clear" w:color="auto" w:fill="auto"/>
            <w:vAlign w:val="center"/>
          </w:tcPr>
          <w:p w14:paraId="5C10D548" w14:textId="77777777" w:rsidR="00796754" w:rsidRPr="00552FC5" w:rsidRDefault="00796754" w:rsidP="00796754">
            <w:pPr>
              <w:pStyle w:val="BodyText"/>
              <w:spacing w:before="0" w:line="240" w:lineRule="auto"/>
              <w:rPr>
                <w:sz w:val="18"/>
              </w:rPr>
            </w:pPr>
            <w:r w:rsidRPr="00552FC5">
              <w:rPr>
                <w:sz w:val="18"/>
              </w:rPr>
              <w:t>Meta-analyses (</w:t>
            </w:r>
            <w:r w:rsidRPr="00F84CF2">
              <w:rPr>
                <w:i/>
                <w:sz w:val="18"/>
              </w:rPr>
              <w:t>n</w:t>
            </w:r>
            <w:r>
              <w:rPr>
                <w:sz w:val="18"/>
              </w:rPr>
              <w:t xml:space="preserve"> </w:t>
            </w:r>
            <w:r w:rsidRPr="00552FC5">
              <w:rPr>
                <w:sz w:val="18"/>
              </w:rPr>
              <w:t>=</w:t>
            </w:r>
            <w:r>
              <w:rPr>
                <w:sz w:val="18"/>
              </w:rPr>
              <w:t xml:space="preserve"> </w:t>
            </w:r>
            <w:r w:rsidRPr="00552FC5">
              <w:rPr>
                <w:sz w:val="18"/>
              </w:rPr>
              <w:t>2)</w:t>
            </w:r>
          </w:p>
        </w:tc>
        <w:tc>
          <w:tcPr>
            <w:tcW w:w="1113" w:type="pct"/>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shd w:val="clear" w:color="auto" w:fill="C2D69B" w:themeFill="accent3" w:themeFillTint="99"/>
            <w:vAlign w:val="center"/>
          </w:tcPr>
          <w:p w14:paraId="1798AF1F" w14:textId="77777777" w:rsidR="00796754" w:rsidRPr="00552FC5" w:rsidRDefault="00796754" w:rsidP="00796754">
            <w:pPr>
              <w:pStyle w:val="BodyText"/>
              <w:spacing w:before="0" w:line="240" w:lineRule="auto"/>
              <w:jc w:val="center"/>
              <w:rPr>
                <w:sz w:val="18"/>
              </w:rPr>
            </w:pPr>
            <w:r w:rsidRPr="00552FC5">
              <w:rPr>
                <w:sz w:val="18"/>
              </w:rPr>
              <w:t>High</w:t>
            </w:r>
          </w:p>
        </w:tc>
        <w:tc>
          <w:tcPr>
            <w:tcW w:w="1113" w:type="pct"/>
            <w:tcBorders>
              <w:top w:val="single" w:sz="2" w:space="0" w:color="FFFFFF" w:themeColor="background1"/>
              <w:left w:val="single" w:sz="4" w:space="0" w:color="FFFFFF" w:themeColor="background1"/>
              <w:bottom w:val="single" w:sz="2" w:space="0" w:color="FFFFFF" w:themeColor="background1"/>
              <w:right w:val="nil"/>
            </w:tcBorders>
            <w:shd w:val="clear" w:color="auto" w:fill="C2D69B" w:themeFill="accent3" w:themeFillTint="99"/>
            <w:vAlign w:val="center"/>
          </w:tcPr>
          <w:p w14:paraId="5782ECEF" w14:textId="77777777" w:rsidR="00796754" w:rsidRPr="00552FC5" w:rsidRDefault="00796754" w:rsidP="00796754">
            <w:pPr>
              <w:pStyle w:val="BodyText"/>
              <w:spacing w:before="0" w:line="240" w:lineRule="auto"/>
              <w:jc w:val="center"/>
              <w:rPr>
                <w:sz w:val="18"/>
              </w:rPr>
            </w:pPr>
            <w:r w:rsidRPr="00552FC5">
              <w:rPr>
                <w:sz w:val="18"/>
              </w:rPr>
              <w:t>High</w:t>
            </w:r>
          </w:p>
        </w:tc>
        <w:tc>
          <w:tcPr>
            <w:tcW w:w="1230" w:type="pct"/>
            <w:tcBorders>
              <w:top w:val="single" w:sz="2" w:space="0" w:color="FFFFFF" w:themeColor="background1"/>
              <w:left w:val="nil"/>
              <w:bottom w:val="single" w:sz="2" w:space="0" w:color="FFFFFF" w:themeColor="background1"/>
              <w:right w:val="single" w:sz="4" w:space="0" w:color="FFFFFF" w:themeColor="background1"/>
            </w:tcBorders>
            <w:shd w:val="clear" w:color="auto" w:fill="FABF8F" w:themeFill="accent6" w:themeFillTint="99"/>
            <w:vAlign w:val="center"/>
          </w:tcPr>
          <w:p w14:paraId="1039E3B9" w14:textId="701944EA" w:rsidR="00796754" w:rsidRPr="00552FC5" w:rsidRDefault="00796754" w:rsidP="00796754">
            <w:pPr>
              <w:pStyle w:val="BodyText"/>
              <w:spacing w:before="0" w:line="240" w:lineRule="auto"/>
              <w:jc w:val="center"/>
              <w:rPr>
                <w:sz w:val="18"/>
              </w:rPr>
            </w:pPr>
            <w:r w:rsidRPr="00552FC5">
              <w:rPr>
                <w:sz w:val="18"/>
              </w:rPr>
              <w:t>Medium</w:t>
            </w:r>
          </w:p>
        </w:tc>
      </w:tr>
      <w:tr w:rsidR="00796754" w14:paraId="5DA2A02C" w14:textId="6875A028" w:rsidTr="00796754">
        <w:trPr>
          <w:trHeight w:val="567"/>
        </w:trPr>
        <w:tc>
          <w:tcPr>
            <w:tcW w:w="1543" w:type="pct"/>
            <w:tcBorders>
              <w:right w:val="nil"/>
            </w:tcBorders>
            <w:shd w:val="clear" w:color="auto" w:fill="auto"/>
            <w:vAlign w:val="center"/>
          </w:tcPr>
          <w:p w14:paraId="2B13CB85" w14:textId="1DC8F804" w:rsidR="00796754" w:rsidRPr="00552FC5" w:rsidRDefault="00796754" w:rsidP="00796754">
            <w:pPr>
              <w:pStyle w:val="BodyText"/>
              <w:spacing w:before="0" w:line="240" w:lineRule="auto"/>
              <w:rPr>
                <w:sz w:val="18"/>
              </w:rPr>
            </w:pPr>
            <w:r w:rsidRPr="00552FC5">
              <w:rPr>
                <w:sz w:val="18"/>
              </w:rPr>
              <w:t>Secondary analysis of data</w:t>
            </w:r>
            <w:r w:rsidR="009C67DB">
              <w:rPr>
                <w:sz w:val="18"/>
              </w:rPr>
              <w:br/>
            </w:r>
            <w:r w:rsidRPr="00552FC5">
              <w:rPr>
                <w:sz w:val="18"/>
              </w:rPr>
              <w:t>(</w:t>
            </w:r>
            <w:r w:rsidRPr="00F84CF2">
              <w:rPr>
                <w:i/>
                <w:sz w:val="18"/>
              </w:rPr>
              <w:t>n</w:t>
            </w:r>
            <w:r>
              <w:rPr>
                <w:sz w:val="18"/>
              </w:rPr>
              <w:t xml:space="preserve"> </w:t>
            </w:r>
            <w:r w:rsidRPr="00552FC5">
              <w:rPr>
                <w:sz w:val="18"/>
              </w:rPr>
              <w:t>=</w:t>
            </w:r>
            <w:r>
              <w:rPr>
                <w:sz w:val="18"/>
              </w:rPr>
              <w:t xml:space="preserve"> </w:t>
            </w:r>
            <w:r w:rsidRPr="00552FC5">
              <w:rPr>
                <w:sz w:val="18"/>
              </w:rPr>
              <w:t>2)</w:t>
            </w:r>
          </w:p>
        </w:tc>
        <w:tc>
          <w:tcPr>
            <w:tcW w:w="1113" w:type="pct"/>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shd w:val="clear" w:color="auto" w:fill="FFB3B3"/>
            <w:vAlign w:val="center"/>
          </w:tcPr>
          <w:p w14:paraId="373D44E7" w14:textId="77777777" w:rsidR="00796754" w:rsidRPr="00552FC5" w:rsidRDefault="00796754" w:rsidP="00796754">
            <w:pPr>
              <w:pStyle w:val="BodyText"/>
              <w:spacing w:before="0" w:line="240" w:lineRule="auto"/>
              <w:jc w:val="center"/>
              <w:rPr>
                <w:sz w:val="18"/>
              </w:rPr>
            </w:pPr>
            <w:r w:rsidRPr="00552FC5">
              <w:rPr>
                <w:sz w:val="18"/>
              </w:rPr>
              <w:t>Low-Medium</w:t>
            </w:r>
          </w:p>
        </w:tc>
        <w:tc>
          <w:tcPr>
            <w:tcW w:w="1113" w:type="pct"/>
            <w:tcBorders>
              <w:top w:val="single" w:sz="2" w:space="0" w:color="FFFFFF" w:themeColor="background1"/>
              <w:left w:val="single" w:sz="4" w:space="0" w:color="FFFFFF" w:themeColor="background1"/>
              <w:bottom w:val="single" w:sz="2" w:space="0" w:color="FFFFFF" w:themeColor="background1"/>
              <w:right w:val="nil"/>
            </w:tcBorders>
            <w:shd w:val="clear" w:color="auto" w:fill="D6E3BC" w:themeFill="accent3" w:themeFillTint="66"/>
            <w:vAlign w:val="center"/>
          </w:tcPr>
          <w:p w14:paraId="44892D7B" w14:textId="77777777" w:rsidR="00796754" w:rsidRPr="00552FC5" w:rsidRDefault="00796754" w:rsidP="00796754">
            <w:pPr>
              <w:pStyle w:val="BodyText"/>
              <w:spacing w:before="0" w:line="240" w:lineRule="auto"/>
              <w:jc w:val="center"/>
              <w:rPr>
                <w:sz w:val="18"/>
              </w:rPr>
            </w:pPr>
            <w:r w:rsidRPr="00552FC5">
              <w:rPr>
                <w:sz w:val="18"/>
              </w:rPr>
              <w:t>Medium-High</w:t>
            </w:r>
          </w:p>
        </w:tc>
        <w:tc>
          <w:tcPr>
            <w:tcW w:w="1230" w:type="pct"/>
            <w:tcBorders>
              <w:top w:val="single" w:sz="2" w:space="0" w:color="FFFFFF" w:themeColor="background1"/>
              <w:left w:val="nil"/>
              <w:bottom w:val="single" w:sz="2" w:space="0" w:color="FFFFFF" w:themeColor="background1"/>
              <w:right w:val="single" w:sz="4" w:space="0" w:color="FFFFFF" w:themeColor="background1"/>
            </w:tcBorders>
            <w:shd w:val="clear" w:color="auto" w:fill="FFB3B3"/>
            <w:vAlign w:val="center"/>
          </w:tcPr>
          <w:p w14:paraId="038E0B55" w14:textId="1475AD76" w:rsidR="00796754" w:rsidRPr="00552FC5" w:rsidRDefault="00796754" w:rsidP="00796754">
            <w:pPr>
              <w:pStyle w:val="BodyText"/>
              <w:spacing w:before="0" w:line="240" w:lineRule="auto"/>
              <w:jc w:val="center"/>
              <w:rPr>
                <w:sz w:val="18"/>
              </w:rPr>
            </w:pPr>
            <w:r w:rsidRPr="00552FC5">
              <w:rPr>
                <w:sz w:val="18"/>
              </w:rPr>
              <w:t>Low-Medium</w:t>
            </w:r>
          </w:p>
        </w:tc>
      </w:tr>
      <w:tr w:rsidR="00796754" w14:paraId="336D31BF" w14:textId="3EB590E8" w:rsidTr="00796754">
        <w:trPr>
          <w:trHeight w:val="567"/>
        </w:trPr>
        <w:tc>
          <w:tcPr>
            <w:tcW w:w="1543" w:type="pct"/>
            <w:tcBorders>
              <w:right w:val="nil"/>
            </w:tcBorders>
            <w:shd w:val="clear" w:color="auto" w:fill="auto"/>
            <w:vAlign w:val="center"/>
          </w:tcPr>
          <w:p w14:paraId="42E7A5AE" w14:textId="77777777" w:rsidR="00796754" w:rsidRPr="00552FC5" w:rsidRDefault="00796754" w:rsidP="00796754">
            <w:pPr>
              <w:pStyle w:val="BodyText"/>
              <w:spacing w:before="0" w:line="240" w:lineRule="auto"/>
              <w:rPr>
                <w:sz w:val="18"/>
              </w:rPr>
            </w:pPr>
            <w:r w:rsidRPr="00552FC5">
              <w:rPr>
                <w:sz w:val="18"/>
              </w:rPr>
              <w:t>Longitudinal studies (</w:t>
            </w:r>
            <w:r w:rsidRPr="00F84CF2">
              <w:rPr>
                <w:i/>
                <w:sz w:val="18"/>
              </w:rPr>
              <w:t>n</w:t>
            </w:r>
            <w:r>
              <w:rPr>
                <w:sz w:val="18"/>
              </w:rPr>
              <w:t xml:space="preserve"> </w:t>
            </w:r>
            <w:r w:rsidRPr="00552FC5">
              <w:rPr>
                <w:sz w:val="18"/>
              </w:rPr>
              <w:t>=</w:t>
            </w:r>
            <w:r>
              <w:rPr>
                <w:sz w:val="18"/>
              </w:rPr>
              <w:t xml:space="preserve"> </w:t>
            </w:r>
            <w:r w:rsidRPr="00552FC5">
              <w:rPr>
                <w:sz w:val="18"/>
              </w:rPr>
              <w:t>2)</w:t>
            </w:r>
          </w:p>
        </w:tc>
        <w:tc>
          <w:tcPr>
            <w:tcW w:w="1113" w:type="pct"/>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ABF8F" w:themeFill="accent6" w:themeFillTint="99"/>
            <w:vAlign w:val="center"/>
          </w:tcPr>
          <w:p w14:paraId="669F6F91" w14:textId="77777777" w:rsidR="00796754" w:rsidRPr="00552FC5" w:rsidRDefault="00796754" w:rsidP="00796754">
            <w:pPr>
              <w:pStyle w:val="BodyText"/>
              <w:spacing w:before="0" w:line="240" w:lineRule="auto"/>
              <w:jc w:val="center"/>
              <w:rPr>
                <w:sz w:val="18"/>
              </w:rPr>
            </w:pPr>
            <w:r w:rsidRPr="00552FC5">
              <w:rPr>
                <w:sz w:val="18"/>
              </w:rPr>
              <w:t>Medium</w:t>
            </w:r>
          </w:p>
        </w:tc>
        <w:tc>
          <w:tcPr>
            <w:tcW w:w="1113" w:type="pct"/>
            <w:tcBorders>
              <w:top w:val="single" w:sz="2" w:space="0" w:color="FFFFFF" w:themeColor="background1"/>
              <w:left w:val="single" w:sz="4" w:space="0" w:color="FFFFFF" w:themeColor="background1"/>
              <w:bottom w:val="single" w:sz="4" w:space="0" w:color="FFFFFF" w:themeColor="background1"/>
              <w:right w:val="nil"/>
            </w:tcBorders>
            <w:shd w:val="clear" w:color="auto" w:fill="FABF8F" w:themeFill="accent6" w:themeFillTint="99"/>
            <w:vAlign w:val="center"/>
          </w:tcPr>
          <w:p w14:paraId="0D87F275" w14:textId="77777777" w:rsidR="00796754" w:rsidRPr="00552FC5" w:rsidRDefault="00796754" w:rsidP="00796754">
            <w:pPr>
              <w:pStyle w:val="BodyText"/>
              <w:spacing w:before="0" w:line="240" w:lineRule="auto"/>
              <w:jc w:val="center"/>
              <w:rPr>
                <w:sz w:val="18"/>
              </w:rPr>
            </w:pPr>
            <w:r w:rsidRPr="00552FC5">
              <w:rPr>
                <w:sz w:val="18"/>
              </w:rPr>
              <w:t>Medium</w:t>
            </w:r>
          </w:p>
        </w:tc>
        <w:tc>
          <w:tcPr>
            <w:tcW w:w="1230" w:type="pct"/>
            <w:tcBorders>
              <w:top w:val="single" w:sz="2"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vAlign w:val="center"/>
          </w:tcPr>
          <w:p w14:paraId="5684E55A" w14:textId="018C4370" w:rsidR="00796754" w:rsidRPr="00552FC5" w:rsidRDefault="00796754" w:rsidP="00796754">
            <w:pPr>
              <w:pStyle w:val="BodyText"/>
              <w:spacing w:before="0" w:line="240" w:lineRule="auto"/>
              <w:jc w:val="center"/>
              <w:rPr>
                <w:sz w:val="18"/>
              </w:rPr>
            </w:pPr>
            <w:r w:rsidRPr="00552FC5">
              <w:rPr>
                <w:sz w:val="18"/>
              </w:rPr>
              <w:t>Unclear</w:t>
            </w:r>
          </w:p>
        </w:tc>
      </w:tr>
      <w:tr w:rsidR="00796754" w14:paraId="702A4E77" w14:textId="167A727C" w:rsidTr="00796754">
        <w:trPr>
          <w:trHeight w:val="567"/>
        </w:trPr>
        <w:tc>
          <w:tcPr>
            <w:tcW w:w="1543" w:type="pct"/>
            <w:tcBorders>
              <w:bottom w:val="single" w:sz="4" w:space="0" w:color="FFFFFF" w:themeColor="background1"/>
              <w:right w:val="nil"/>
            </w:tcBorders>
            <w:shd w:val="clear" w:color="auto" w:fill="auto"/>
            <w:vAlign w:val="center"/>
          </w:tcPr>
          <w:p w14:paraId="7F1A2B8C" w14:textId="77777777" w:rsidR="00796754" w:rsidRPr="00552FC5" w:rsidRDefault="00796754" w:rsidP="00796754">
            <w:pPr>
              <w:pStyle w:val="BodyText"/>
              <w:spacing w:before="0" w:line="240" w:lineRule="auto"/>
              <w:rPr>
                <w:sz w:val="18"/>
              </w:rPr>
            </w:pPr>
            <w:r w:rsidRPr="00552FC5">
              <w:rPr>
                <w:sz w:val="18"/>
              </w:rPr>
              <w:t>Other (</w:t>
            </w:r>
            <w:r w:rsidRPr="00F84CF2">
              <w:rPr>
                <w:i/>
                <w:sz w:val="18"/>
              </w:rPr>
              <w:t>n</w:t>
            </w:r>
            <w:r>
              <w:rPr>
                <w:sz w:val="18"/>
              </w:rPr>
              <w:t xml:space="preserve"> </w:t>
            </w:r>
            <w:r w:rsidRPr="00552FC5">
              <w:rPr>
                <w:sz w:val="18"/>
              </w:rPr>
              <w:t>=</w:t>
            </w:r>
            <w:r>
              <w:rPr>
                <w:sz w:val="18"/>
              </w:rPr>
              <w:t xml:space="preserve"> </w:t>
            </w:r>
            <w:r w:rsidRPr="00552FC5">
              <w:rPr>
                <w:sz w:val="18"/>
              </w:rPr>
              <w:t>3)</w:t>
            </w:r>
          </w:p>
        </w:tc>
        <w:tc>
          <w:tcPr>
            <w:tcW w:w="1113" w:type="pct"/>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F6D6D"/>
            <w:vAlign w:val="center"/>
          </w:tcPr>
          <w:p w14:paraId="34A9417D" w14:textId="77777777" w:rsidR="00796754" w:rsidRPr="00552FC5" w:rsidRDefault="00796754" w:rsidP="00796754">
            <w:pPr>
              <w:pStyle w:val="BodyText"/>
              <w:spacing w:before="0" w:line="240" w:lineRule="auto"/>
              <w:jc w:val="center"/>
              <w:rPr>
                <w:sz w:val="18"/>
              </w:rPr>
            </w:pPr>
            <w:r w:rsidRPr="00552FC5">
              <w:rPr>
                <w:sz w:val="18"/>
              </w:rPr>
              <w:t>Low</w:t>
            </w:r>
          </w:p>
        </w:tc>
        <w:tc>
          <w:tcPr>
            <w:tcW w:w="1113" w:type="pct"/>
            <w:tcBorders>
              <w:top w:val="single" w:sz="4" w:space="0" w:color="FFFFFF" w:themeColor="background1"/>
              <w:left w:val="single" w:sz="4" w:space="0" w:color="FFFFFF" w:themeColor="background1"/>
              <w:bottom w:val="single" w:sz="12" w:space="0" w:color="FFFFFF" w:themeColor="background1"/>
              <w:right w:val="nil"/>
            </w:tcBorders>
            <w:shd w:val="clear" w:color="auto" w:fill="FF6D6D"/>
            <w:vAlign w:val="center"/>
          </w:tcPr>
          <w:p w14:paraId="5C42224A" w14:textId="77777777" w:rsidR="00796754" w:rsidRPr="00552FC5" w:rsidRDefault="00796754" w:rsidP="00796754">
            <w:pPr>
              <w:pStyle w:val="BodyText"/>
              <w:spacing w:before="0" w:line="240" w:lineRule="auto"/>
              <w:jc w:val="center"/>
              <w:rPr>
                <w:sz w:val="18"/>
              </w:rPr>
            </w:pPr>
            <w:r w:rsidRPr="00552FC5">
              <w:rPr>
                <w:sz w:val="18"/>
              </w:rPr>
              <w:t>Low</w:t>
            </w:r>
          </w:p>
        </w:tc>
        <w:tc>
          <w:tcPr>
            <w:tcW w:w="1230" w:type="pct"/>
            <w:tcBorders>
              <w:top w:val="single" w:sz="4" w:space="0" w:color="FFFFFF" w:themeColor="background1"/>
              <w:left w:val="nil"/>
              <w:bottom w:val="single" w:sz="12" w:space="0" w:color="FFFFFF" w:themeColor="background1"/>
              <w:right w:val="single" w:sz="4" w:space="0" w:color="FFFFFF" w:themeColor="background1"/>
            </w:tcBorders>
            <w:shd w:val="clear" w:color="auto" w:fill="C2D69B" w:themeFill="accent3" w:themeFillTint="99"/>
            <w:vAlign w:val="center"/>
          </w:tcPr>
          <w:p w14:paraId="7286C0D5" w14:textId="7D03E2AC" w:rsidR="00796754" w:rsidRPr="00552FC5" w:rsidRDefault="00796754" w:rsidP="00796754">
            <w:pPr>
              <w:pStyle w:val="BodyText"/>
              <w:spacing w:before="0" w:line="240" w:lineRule="auto"/>
              <w:jc w:val="center"/>
              <w:rPr>
                <w:sz w:val="18"/>
              </w:rPr>
            </w:pPr>
            <w:r w:rsidRPr="00552FC5">
              <w:rPr>
                <w:sz w:val="18"/>
              </w:rPr>
              <w:t>High</w:t>
            </w:r>
          </w:p>
        </w:tc>
      </w:tr>
      <w:tr w:rsidR="00796754" w14:paraId="2A1A0FAC" w14:textId="30AC1ED1" w:rsidTr="00796754">
        <w:trPr>
          <w:trHeight w:val="567"/>
        </w:trPr>
        <w:tc>
          <w:tcPr>
            <w:tcW w:w="1543" w:type="pct"/>
            <w:tcBorders>
              <w:top w:val="single" w:sz="4" w:space="0" w:color="FFFFFF" w:themeColor="background1"/>
              <w:bottom w:val="single" w:sz="4" w:space="0" w:color="auto"/>
              <w:right w:val="nil"/>
            </w:tcBorders>
            <w:shd w:val="clear" w:color="auto" w:fill="auto"/>
            <w:vAlign w:val="center"/>
          </w:tcPr>
          <w:p w14:paraId="2211266A" w14:textId="77777777" w:rsidR="00796754" w:rsidRPr="00552FC5" w:rsidRDefault="00796754" w:rsidP="00796754">
            <w:pPr>
              <w:spacing w:before="0" w:line="240" w:lineRule="auto"/>
              <w:jc w:val="left"/>
              <w:rPr>
                <w:b/>
                <w:bCs/>
                <w:sz w:val="18"/>
              </w:rPr>
            </w:pPr>
            <w:r w:rsidRPr="00552FC5">
              <w:rPr>
                <w:b/>
                <w:bCs/>
                <w:sz w:val="18"/>
              </w:rPr>
              <w:t>Overall (</w:t>
            </w:r>
            <w:r w:rsidRPr="00F84CF2">
              <w:rPr>
                <w:b/>
                <w:i/>
                <w:sz w:val="18"/>
              </w:rPr>
              <w:t>n</w:t>
            </w:r>
            <w:r>
              <w:rPr>
                <w:b/>
                <w:bCs/>
                <w:sz w:val="18"/>
              </w:rPr>
              <w:t xml:space="preserve"> </w:t>
            </w:r>
            <w:r w:rsidRPr="00552FC5">
              <w:rPr>
                <w:b/>
                <w:bCs/>
                <w:sz w:val="18"/>
              </w:rPr>
              <w:t>=</w:t>
            </w:r>
            <w:r>
              <w:rPr>
                <w:b/>
                <w:bCs/>
                <w:sz w:val="18"/>
              </w:rPr>
              <w:t xml:space="preserve"> </w:t>
            </w:r>
            <w:r w:rsidRPr="00552FC5">
              <w:rPr>
                <w:b/>
                <w:bCs/>
                <w:sz w:val="18"/>
              </w:rPr>
              <w:t>67)</w:t>
            </w:r>
          </w:p>
        </w:tc>
        <w:tc>
          <w:tcPr>
            <w:tcW w:w="1113" w:type="pct"/>
            <w:tcBorders>
              <w:top w:val="single" w:sz="12" w:space="0" w:color="FFFFFF" w:themeColor="background1"/>
              <w:left w:val="single" w:sz="4" w:space="0" w:color="FFFFFF" w:themeColor="background1"/>
              <w:bottom w:val="single" w:sz="4" w:space="0" w:color="auto"/>
              <w:right w:val="single" w:sz="4" w:space="0" w:color="FFFFFF" w:themeColor="background1"/>
            </w:tcBorders>
            <w:shd w:val="clear" w:color="auto" w:fill="FABF8F" w:themeFill="accent6" w:themeFillTint="99"/>
            <w:vAlign w:val="center"/>
          </w:tcPr>
          <w:p w14:paraId="78C3E359" w14:textId="77777777" w:rsidR="00796754" w:rsidRPr="00552FC5" w:rsidRDefault="00796754" w:rsidP="00796754">
            <w:pPr>
              <w:pStyle w:val="BodyText"/>
              <w:spacing w:before="0" w:line="240" w:lineRule="auto"/>
              <w:jc w:val="center"/>
              <w:rPr>
                <w:b/>
                <w:bCs/>
                <w:sz w:val="18"/>
              </w:rPr>
            </w:pPr>
            <w:r w:rsidRPr="00552FC5">
              <w:rPr>
                <w:b/>
                <w:bCs/>
                <w:sz w:val="18"/>
              </w:rPr>
              <w:t>Medium</w:t>
            </w:r>
          </w:p>
        </w:tc>
        <w:tc>
          <w:tcPr>
            <w:tcW w:w="1113" w:type="pct"/>
            <w:tcBorders>
              <w:top w:val="single" w:sz="12" w:space="0" w:color="FFFFFF" w:themeColor="background1"/>
              <w:left w:val="single" w:sz="4" w:space="0" w:color="FFFFFF" w:themeColor="background1"/>
              <w:bottom w:val="single" w:sz="4" w:space="0" w:color="auto"/>
              <w:right w:val="nil"/>
            </w:tcBorders>
            <w:shd w:val="clear" w:color="auto" w:fill="FABF8F" w:themeFill="accent6" w:themeFillTint="99"/>
            <w:vAlign w:val="center"/>
          </w:tcPr>
          <w:p w14:paraId="0DF5CF30" w14:textId="77777777" w:rsidR="00796754" w:rsidRPr="00552FC5" w:rsidRDefault="00796754" w:rsidP="00796754">
            <w:pPr>
              <w:pStyle w:val="BodyText"/>
              <w:spacing w:before="0" w:line="240" w:lineRule="auto"/>
              <w:jc w:val="center"/>
              <w:rPr>
                <w:b/>
                <w:bCs/>
                <w:sz w:val="18"/>
              </w:rPr>
            </w:pPr>
            <w:r w:rsidRPr="00552FC5">
              <w:rPr>
                <w:b/>
                <w:bCs/>
                <w:sz w:val="18"/>
              </w:rPr>
              <w:t>Medium</w:t>
            </w:r>
          </w:p>
        </w:tc>
        <w:tc>
          <w:tcPr>
            <w:tcW w:w="1230" w:type="pct"/>
            <w:tcBorders>
              <w:top w:val="single" w:sz="12" w:space="0" w:color="FFFFFF" w:themeColor="background1"/>
              <w:left w:val="nil"/>
              <w:bottom w:val="single" w:sz="4" w:space="0" w:color="auto"/>
              <w:right w:val="single" w:sz="4" w:space="0" w:color="FFFFFF" w:themeColor="background1"/>
            </w:tcBorders>
            <w:shd w:val="clear" w:color="auto" w:fill="C2D69B" w:themeFill="accent3" w:themeFillTint="99"/>
            <w:vAlign w:val="center"/>
          </w:tcPr>
          <w:p w14:paraId="56271177" w14:textId="191BC92A" w:rsidR="00796754" w:rsidRPr="00552FC5" w:rsidRDefault="00796754" w:rsidP="00796754">
            <w:pPr>
              <w:pStyle w:val="BodyText"/>
              <w:spacing w:before="0" w:line="240" w:lineRule="auto"/>
              <w:jc w:val="center"/>
              <w:rPr>
                <w:b/>
                <w:bCs/>
                <w:sz w:val="18"/>
              </w:rPr>
            </w:pPr>
            <w:r w:rsidRPr="00552FC5">
              <w:rPr>
                <w:b/>
                <w:bCs/>
                <w:sz w:val="18"/>
              </w:rPr>
              <w:t>High</w:t>
            </w:r>
          </w:p>
        </w:tc>
      </w:tr>
    </w:tbl>
    <w:bookmarkEnd w:id="32"/>
    <w:bookmarkEnd w:id="33"/>
    <w:p w14:paraId="44D80BE8" w14:textId="0F006DE2" w:rsidR="00FD370A" w:rsidRDefault="00FD370A" w:rsidP="00897FF2">
      <w:pPr>
        <w:pStyle w:val="BodyText"/>
        <w:spacing w:before="240"/>
      </w:pPr>
      <w:r w:rsidRPr="009939AE">
        <w:t>Overall,</w:t>
      </w:r>
      <w:r>
        <w:t xml:space="preserve"> </w:t>
      </w:r>
      <w:proofErr w:type="gramStart"/>
      <w:r w:rsidRPr="009939AE">
        <w:t>Australian</w:t>
      </w:r>
      <w:proofErr w:type="gramEnd"/>
      <w:r w:rsidRPr="009939AE">
        <w:t xml:space="preserve"> and international research suggest</w:t>
      </w:r>
      <w:r w:rsidR="000D1858">
        <w:t>s</w:t>
      </w:r>
      <w:r w:rsidRPr="009939AE">
        <w:t xml:space="preserve"> that engagement </w:t>
      </w:r>
      <w:r>
        <w:t xml:space="preserve">with </w:t>
      </w:r>
      <w:r w:rsidRPr="004B45B7">
        <w:t>loot box</w:t>
      </w:r>
      <w:r>
        <w:t>es</w:t>
      </w:r>
      <w:r w:rsidRPr="004B45B7">
        <w:t xml:space="preserve">, simulated </w:t>
      </w:r>
      <w:r w:rsidRPr="00393DEB">
        <w:t xml:space="preserve">gambling and other in-game purchases </w:t>
      </w:r>
      <w:r w:rsidR="004169D9" w:rsidRPr="00393DEB">
        <w:t xml:space="preserve">is </w:t>
      </w:r>
      <w:r w:rsidRPr="00393DEB">
        <w:t xml:space="preserve">associated to various degrees with </w:t>
      </w:r>
      <w:r w:rsidR="00C428EE" w:rsidRPr="00393DEB">
        <w:t>problem</w:t>
      </w:r>
      <w:r w:rsidRPr="00393DEB">
        <w:t xml:space="preserve"> gambling, </w:t>
      </w:r>
      <w:r w:rsidR="00422B9E" w:rsidRPr="00393DEB">
        <w:t xml:space="preserve">internet </w:t>
      </w:r>
      <w:r w:rsidRPr="00393DEB">
        <w:t>gaming</w:t>
      </w:r>
      <w:r w:rsidR="00422B9E" w:rsidRPr="00393DEB">
        <w:t xml:space="preserve"> disorder</w:t>
      </w:r>
      <w:r w:rsidRPr="00393DEB">
        <w:t xml:space="preserve"> and other harms</w:t>
      </w:r>
      <w:r w:rsidR="003E1955" w:rsidRPr="00393DEB">
        <w:t xml:space="preserve"> (such</w:t>
      </w:r>
      <w:r w:rsidR="003E1955" w:rsidRPr="003E1955">
        <w:t xml:space="preserve"> as financial harms and mental ill-health)</w:t>
      </w:r>
      <w:r w:rsidRPr="003E1955">
        <w:t xml:space="preserve">. </w:t>
      </w:r>
      <w:r w:rsidRPr="00CB1011">
        <w:t>Most studies (61 of the 67 studies; 91%) reported a</w:t>
      </w:r>
      <w:r w:rsidR="00142B05">
        <w:t xml:space="preserve"> relationship</w:t>
      </w:r>
      <w:r w:rsidRPr="00CB1011">
        <w:t xml:space="preserve"> with </w:t>
      </w:r>
      <w:r w:rsidRPr="00393DEB">
        <w:rPr>
          <w:b/>
          <w:bCs/>
        </w:rPr>
        <w:t>problem gambling</w:t>
      </w:r>
      <w:r w:rsidRPr="00CB1011">
        <w:t xml:space="preserve"> (</w:t>
      </w:r>
      <w:r w:rsidRPr="00F84CF2">
        <w:rPr>
          <w:i/>
        </w:rPr>
        <w:t>n</w:t>
      </w:r>
      <w:r w:rsidR="004169D9">
        <w:t xml:space="preserve"> </w:t>
      </w:r>
      <w:r w:rsidRPr="00CB1011">
        <w:t>=</w:t>
      </w:r>
      <w:r w:rsidR="004169D9">
        <w:t xml:space="preserve"> </w:t>
      </w:r>
      <w:r w:rsidRPr="00CB1011">
        <w:t>48),</w:t>
      </w:r>
      <w:r w:rsidRPr="00CB1011" w:rsidDel="00DB3882">
        <w:t xml:space="preserve"> </w:t>
      </w:r>
      <w:r w:rsidRPr="00393DEB">
        <w:rPr>
          <w:b/>
          <w:bCs/>
        </w:rPr>
        <w:t>internet gaming disorder</w:t>
      </w:r>
      <w:r w:rsidRPr="00CB1011">
        <w:t xml:space="preserve"> (</w:t>
      </w:r>
      <w:r w:rsidRPr="00F84CF2">
        <w:rPr>
          <w:i/>
        </w:rPr>
        <w:t>n</w:t>
      </w:r>
      <w:r w:rsidR="004169D9">
        <w:t xml:space="preserve"> </w:t>
      </w:r>
      <w:r w:rsidRPr="00CB1011">
        <w:t>=</w:t>
      </w:r>
      <w:r w:rsidR="004169D9">
        <w:t xml:space="preserve"> </w:t>
      </w:r>
      <w:r w:rsidRPr="00CB1011">
        <w:t xml:space="preserve">17), or </w:t>
      </w:r>
      <w:r w:rsidRPr="00393DEB">
        <w:rPr>
          <w:b/>
          <w:bCs/>
        </w:rPr>
        <w:t>other types of harm</w:t>
      </w:r>
      <w:r w:rsidRPr="00CB1011">
        <w:t xml:space="preserve"> (</w:t>
      </w:r>
      <w:r w:rsidRPr="00F84CF2">
        <w:rPr>
          <w:i/>
        </w:rPr>
        <w:t>n</w:t>
      </w:r>
      <w:r w:rsidR="004169D9">
        <w:t xml:space="preserve"> </w:t>
      </w:r>
      <w:r w:rsidRPr="00CB1011">
        <w:t>=</w:t>
      </w:r>
      <w:r w:rsidR="004169D9">
        <w:t xml:space="preserve"> </w:t>
      </w:r>
      <w:r w:rsidRPr="00CB1011">
        <w:t>27)</w:t>
      </w:r>
      <w:r w:rsidR="00706A7B">
        <w:t xml:space="preserve"> (see Figure 3)</w:t>
      </w:r>
      <w:r w:rsidRPr="00CB1011">
        <w:t xml:space="preserve">. Of the </w:t>
      </w:r>
      <w:r w:rsidR="00F3432B">
        <w:t>six</w:t>
      </w:r>
      <w:r w:rsidRPr="00CB1011">
        <w:t xml:space="preserve"> remaining studies,</w:t>
      </w:r>
      <w:r w:rsidRPr="00CB1011" w:rsidDel="00C044AD">
        <w:t xml:space="preserve"> </w:t>
      </w:r>
      <w:r w:rsidR="00F3432B">
        <w:t>three</w:t>
      </w:r>
      <w:r w:rsidRPr="00CB1011">
        <w:t xml:space="preserve"> found no </w:t>
      </w:r>
      <w:r w:rsidR="00142B05">
        <w:t>relationship</w:t>
      </w:r>
      <w:r w:rsidRPr="00CB1011">
        <w:t xml:space="preserve"> between these products and harm, and </w:t>
      </w:r>
      <w:r w:rsidR="00981797">
        <w:t>three</w:t>
      </w:r>
      <w:r w:rsidRPr="00CB1011">
        <w:t xml:space="preserve"> articles only provided recommendations on the harm mitigation and regulation associated with loot boxes and/or social casino games. See Appendix </w:t>
      </w:r>
      <w:r w:rsidR="00D9292A">
        <w:t>E</w:t>
      </w:r>
      <w:r w:rsidRPr="00CB1011">
        <w:t xml:space="preserve"> for a detailed</w:t>
      </w:r>
      <w:r>
        <w:t xml:space="preserve"> description of </w:t>
      </w:r>
      <w:r w:rsidR="00CD5906">
        <w:t xml:space="preserve">the main measures of </w:t>
      </w:r>
      <w:r>
        <w:t xml:space="preserve">harm included in the reviewed research. </w:t>
      </w:r>
    </w:p>
    <w:p w14:paraId="2F4D95A1" w14:textId="28AF1296" w:rsidR="00FD370A" w:rsidRPr="00897FF2" w:rsidRDefault="00FD370A" w:rsidP="00F84CF2">
      <w:pPr>
        <w:pStyle w:val="FigureCaption"/>
      </w:pPr>
      <w:r w:rsidRPr="00897FF2">
        <w:t xml:space="preserve">Figure </w:t>
      </w:r>
      <w:r w:rsidR="00FA1CF7" w:rsidRPr="00897FF2">
        <w:t>3</w:t>
      </w:r>
      <w:r w:rsidR="004169D9" w:rsidRPr="004169D9">
        <w:rPr>
          <w:iCs/>
        </w:rPr>
        <w:t>:</w:t>
      </w:r>
      <w:r w:rsidR="004169D9" w:rsidRPr="00897FF2">
        <w:t xml:space="preserve"> </w:t>
      </w:r>
      <w:r w:rsidRPr="00897FF2">
        <w:t xml:space="preserve">Articles reviewed by </w:t>
      </w:r>
      <w:r w:rsidR="00142B05">
        <w:t>relationship</w:t>
      </w:r>
      <w:r w:rsidRPr="00897FF2">
        <w:t xml:space="preserve"> (yes</w:t>
      </w:r>
      <w:r>
        <w:t>/</w:t>
      </w:r>
      <w:r w:rsidRPr="00897FF2">
        <w:t>no) and type of harm evaluated</w:t>
      </w:r>
    </w:p>
    <w:p w14:paraId="2606CD39" w14:textId="77777777" w:rsidR="006E41C6" w:rsidRDefault="00FF6558" w:rsidP="00984FFE">
      <w:pPr>
        <w:pStyle w:val="BodyText"/>
      </w:pPr>
      <w:r>
        <w:rPr>
          <w:noProof/>
          <w:lang w:eastAsia="en-AU" w:bidi="ar-SA"/>
        </w:rPr>
        <w:drawing>
          <wp:inline distT="0" distB="0" distL="0" distR="0" wp14:anchorId="0BA99828" wp14:editId="1676CF94">
            <wp:extent cx="5377180" cy="2670175"/>
            <wp:effectExtent l="0" t="0" r="0" b="0"/>
            <wp:docPr id="13" name="Picture 13" descr="Stacked bar chart: number of articles reviewed by type of harm&#10;Total: mitigation/regulation articles 3, no association with harm 3, association with harm 61&#10;Problem gambling: association with harm 48&#10;Internet gaming disorder: association with harm 17&#10;Other harm: association with harm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acked bar chart: number of articles reviewed by type of harm&#10;Total: mitigation/regulation articles 3, no association with harm 3, association with harm 61&#10;Problem gambling: association with harm 48&#10;Internet gaming disorder: association with harm 17&#10;Other harm: association with harm 27&#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7180" cy="2670175"/>
                    </a:xfrm>
                    <a:prstGeom prst="rect">
                      <a:avLst/>
                    </a:prstGeom>
                    <a:noFill/>
                  </pic:spPr>
                </pic:pic>
              </a:graphicData>
            </a:graphic>
          </wp:inline>
        </w:drawing>
      </w:r>
      <w:bookmarkStart w:id="34" w:name="_Toc97649957"/>
    </w:p>
    <w:p w14:paraId="6DFBBB4D" w14:textId="77777777" w:rsidR="006E41C6" w:rsidRPr="002E6E04" w:rsidRDefault="006E41C6" w:rsidP="006E41C6">
      <w:pPr>
        <w:pStyle w:val="BoxHeading1"/>
      </w:pPr>
      <w:r w:rsidRPr="002E6E04">
        <w:lastRenderedPageBreak/>
        <w:t>Definition: Loot boxes</w:t>
      </w:r>
    </w:p>
    <w:p w14:paraId="6D4D70A1" w14:textId="77777777" w:rsidR="006E41C6" w:rsidRDefault="006E41C6" w:rsidP="006E41C6">
      <w:pPr>
        <w:pStyle w:val="BoxText"/>
      </w:pPr>
      <w:r>
        <w:t xml:space="preserve">An in-game purchase of a virtual container (i.e. loot box, mystery box or chest) that randomly awards players with functional items or modifications (such as cosmetic items or weapons) based on chance or adjusted probabilities (King &amp; </w:t>
      </w:r>
      <w:proofErr w:type="spellStart"/>
      <w:r>
        <w:t>Delfabbro</w:t>
      </w:r>
      <w:proofErr w:type="spellEnd"/>
      <w:r>
        <w:t>, 2020). Loot boxes can also be obtained for free via gameplay (</w:t>
      </w:r>
      <w:proofErr w:type="spellStart"/>
      <w:r>
        <w:t>Rockloff</w:t>
      </w:r>
      <w:proofErr w:type="spellEnd"/>
      <w:r>
        <w:t xml:space="preserve"> et al., 2020). </w:t>
      </w:r>
    </w:p>
    <w:p w14:paraId="4EE6D3D6" w14:textId="77777777" w:rsidR="006E41C6" w:rsidRPr="002E6E04" w:rsidRDefault="006E41C6" w:rsidP="006E41C6">
      <w:pPr>
        <w:pStyle w:val="BoxHeading2"/>
      </w:pPr>
      <w:r w:rsidRPr="002E6E04">
        <w:t>Key findings</w:t>
      </w:r>
    </w:p>
    <w:p w14:paraId="0859A29F" w14:textId="77777777" w:rsidR="006E41C6" w:rsidRPr="009C67DB" w:rsidRDefault="006E41C6" w:rsidP="009C67DB">
      <w:pPr>
        <w:pStyle w:val="BoxBulletList"/>
      </w:pPr>
      <w:r w:rsidRPr="009C67DB">
        <w:t>There was reliable evidence (high strength and value) from literature reviews, meta-analyses, and cross-sectional studies in Australia and internationally that loot box engagement was associated with gambling problems. Risk of gambling problems increased with greater loot box engagement (opening, purchasing, purchase frequency, higher monthly expenditure). The overall strength of the relationship between loot box engagement and gambling problems was medium.</w:t>
      </w:r>
    </w:p>
    <w:p w14:paraId="71C0541F" w14:textId="77777777" w:rsidR="006E41C6" w:rsidRDefault="006E41C6" w:rsidP="006E41C6">
      <w:pPr>
        <w:pStyle w:val="BoxBulletList"/>
      </w:pPr>
      <w:r>
        <w:t xml:space="preserve">Several Australian and international studies indicated that while loot box purchasing may be more common among males, females who purchase loot boxes may be at greater risk of experiencing gambling problems. Studies reported mixed findings about whether adolescents were at greater risk than adults of gambling problems associated with loot box purchasing. </w:t>
      </w:r>
    </w:p>
    <w:p w14:paraId="7A682976" w14:textId="77777777" w:rsidR="006E41C6" w:rsidRDefault="006E41C6" w:rsidP="006E41C6">
      <w:pPr>
        <w:pStyle w:val="BoxBulletList"/>
      </w:pPr>
      <w:r>
        <w:t xml:space="preserve">Loot box engagement (primarily spend) was associated with internet gaming disorder. The strength of this association was medium-high, stronger than the association between loot box engagement and gambling problems. This evidence was drawn from literature reviews and cross-sectional studies both domestically and internationally. </w:t>
      </w:r>
    </w:p>
    <w:p w14:paraId="090B8BFB" w14:textId="77777777" w:rsidR="006E41C6" w:rsidRDefault="006E41C6" w:rsidP="006E41C6">
      <w:pPr>
        <w:pStyle w:val="BoxBulletList"/>
      </w:pPr>
      <w:r>
        <w:t xml:space="preserve">International research among adults found that purchasing loot boxes was related to a higher likelihood of reporting internet gaming disorder symptoms, even after controlling for demographic characteristics, other types of gaming-related behaviours (e.g., social casino games), and monetary gambling. </w:t>
      </w:r>
    </w:p>
    <w:p w14:paraId="1B05D641" w14:textId="77777777" w:rsidR="006E41C6" w:rsidRDefault="006E41C6" w:rsidP="006E41C6">
      <w:pPr>
        <w:pStyle w:val="BoxBulletList"/>
      </w:pPr>
      <w:r>
        <w:t>Although there was limited research on other types of harms associated with loot boxes, there was some evidence that loot box purchasing was associated with increased psychological distress and financial harm. In addition, problematic loot box use, as measured by the Risky Loot Box Index (RLI), was associated with problem gambling, internet gaming disorder, gambling-related cognitive distortions, and risk-taking. The reliability of evidence for these associations was low-medium.</w:t>
      </w:r>
    </w:p>
    <w:p w14:paraId="102F30EF" w14:textId="2A7001EE" w:rsidR="00362220" w:rsidRPr="00984FFE" w:rsidRDefault="00362220" w:rsidP="00984FFE">
      <w:pPr>
        <w:pStyle w:val="BodyText"/>
      </w:pPr>
      <w:r>
        <w:br w:type="page"/>
      </w:r>
    </w:p>
    <w:p w14:paraId="7D74ED1A" w14:textId="136D4979" w:rsidR="006D65CB" w:rsidRDefault="00E45A8C" w:rsidP="00BA2B96">
      <w:pPr>
        <w:pStyle w:val="Heading1"/>
      </w:pPr>
      <w:bookmarkStart w:id="35" w:name="_Toc106359510"/>
      <w:r>
        <w:lastRenderedPageBreak/>
        <w:t xml:space="preserve">Loot boxes: </w:t>
      </w:r>
      <w:r w:rsidR="004014FB">
        <w:t xml:space="preserve">what </w:t>
      </w:r>
      <w:r w:rsidR="00EF20D2">
        <w:t>does the evidence tell us?</w:t>
      </w:r>
      <w:bookmarkEnd w:id="34"/>
      <w:bookmarkEnd w:id="35"/>
      <w:r w:rsidR="00706A7B">
        <w:t xml:space="preserve"> </w:t>
      </w:r>
      <w:bookmarkStart w:id="36" w:name="_Toc97649958"/>
    </w:p>
    <w:p w14:paraId="02F2E14D" w14:textId="77777777" w:rsidR="00CA14E4" w:rsidRPr="00434145" w:rsidRDefault="00836AC7" w:rsidP="00434145">
      <w:pPr>
        <w:pStyle w:val="Heading2"/>
      </w:pPr>
      <w:bookmarkStart w:id="37" w:name="_Toc106359511"/>
      <w:bookmarkEnd w:id="36"/>
      <w:r w:rsidRPr="00434145">
        <w:t>What types of harm</w:t>
      </w:r>
      <w:r w:rsidR="0040556D" w:rsidRPr="00434145">
        <w:t>,</w:t>
      </w:r>
      <w:r w:rsidRPr="00434145">
        <w:t xml:space="preserve"> if any</w:t>
      </w:r>
      <w:r w:rsidR="0040556D" w:rsidRPr="00434145">
        <w:t>,</w:t>
      </w:r>
      <w:r w:rsidRPr="00434145">
        <w:t xml:space="preserve"> are associated with the use of </w:t>
      </w:r>
      <w:r w:rsidR="0043582B" w:rsidRPr="00434145">
        <w:t>l</w:t>
      </w:r>
      <w:r w:rsidR="00FC5D26" w:rsidRPr="00434145">
        <w:t xml:space="preserve">oot </w:t>
      </w:r>
      <w:r w:rsidR="0043582B" w:rsidRPr="00434145">
        <w:t>b</w:t>
      </w:r>
      <w:r w:rsidR="00FC5D26" w:rsidRPr="00434145">
        <w:t>oxes</w:t>
      </w:r>
      <w:r w:rsidRPr="00434145">
        <w:t>?</w:t>
      </w:r>
      <w:bookmarkEnd w:id="37"/>
    </w:p>
    <w:p w14:paraId="3AB9F248" w14:textId="03216167" w:rsidR="006F67E0" w:rsidRPr="00FF2FE2" w:rsidRDefault="007B3D6E" w:rsidP="00FF2FE2">
      <w:pPr>
        <w:pStyle w:val="TableCaption"/>
        <w:numPr>
          <w:ilvl w:val="0"/>
          <w:numId w:val="0"/>
        </w:numPr>
        <w:ind w:left="992" w:hanging="992"/>
      </w:pPr>
      <w:r>
        <w:t xml:space="preserve">Table </w:t>
      </w:r>
      <w:r w:rsidR="009904C8">
        <w:t>3</w:t>
      </w:r>
      <w:r>
        <w:t>:</w:t>
      </w:r>
      <w:r w:rsidR="0076320B">
        <w:tab/>
      </w:r>
      <w:r w:rsidR="00A20B2B">
        <w:t>A</w:t>
      </w:r>
      <w:r w:rsidR="00985A90">
        <w:t>ssessment of</w:t>
      </w:r>
      <w:r w:rsidR="0071179D">
        <w:t xml:space="preserve"> the </w:t>
      </w:r>
      <w:r w:rsidR="007158F2">
        <w:t xml:space="preserve">evidence </w:t>
      </w:r>
      <w:r w:rsidR="001B3337">
        <w:t>and strength of relationship</w:t>
      </w:r>
      <w:r w:rsidR="00985A90">
        <w:t xml:space="preserve"> </w:t>
      </w:r>
      <w:r w:rsidR="005A113D">
        <w:t xml:space="preserve">between </w:t>
      </w:r>
      <w:r w:rsidR="00985A90">
        <w:t xml:space="preserve">loot boxes </w:t>
      </w:r>
      <w:r w:rsidR="005A113D">
        <w:t>and</w:t>
      </w:r>
      <w:r w:rsidR="00985A90">
        <w:t xml:space="preserve"> </w:t>
      </w:r>
      <w:r w:rsidR="00A20B2B">
        <w:t>harm</w:t>
      </w:r>
    </w:p>
    <w:tbl>
      <w:tblPr>
        <w:tblW w:w="8505" w:type="dxa"/>
        <w:tblLook w:val="04A0" w:firstRow="1" w:lastRow="0" w:firstColumn="1" w:lastColumn="0" w:noHBand="0" w:noVBand="1"/>
      </w:tblPr>
      <w:tblGrid>
        <w:gridCol w:w="2835"/>
        <w:gridCol w:w="2835"/>
        <w:gridCol w:w="2835"/>
      </w:tblGrid>
      <w:tr w:rsidR="00CC2F1D" w:rsidRPr="009A3331" w14:paraId="1646A801" w14:textId="77777777" w:rsidTr="00CE5CB2">
        <w:trPr>
          <w:trHeight w:val="637"/>
        </w:trPr>
        <w:tc>
          <w:tcPr>
            <w:tcW w:w="2835" w:type="dxa"/>
            <w:tcBorders>
              <w:top w:val="nil"/>
              <w:left w:val="nil"/>
              <w:bottom w:val="nil"/>
              <w:right w:val="nil"/>
            </w:tcBorders>
            <w:shd w:val="clear" w:color="000000" w:fill="62136D"/>
            <w:noWrap/>
            <w:vAlign w:val="center"/>
            <w:hideMark/>
          </w:tcPr>
          <w:p w14:paraId="0A90990C" w14:textId="77777777" w:rsidR="00CC2F1D" w:rsidRPr="009A3331" w:rsidRDefault="00CC2F1D" w:rsidP="00CC2F1D">
            <w:pPr>
              <w:suppressAutoHyphens w:val="0"/>
              <w:spacing w:before="0" w:line="240" w:lineRule="auto"/>
              <w:jc w:val="left"/>
              <w:rPr>
                <w:rFonts w:eastAsia="Times New Roman" w:cs="Arial"/>
                <w:b/>
                <w:bCs/>
                <w:color w:val="FFFFFF"/>
                <w:sz w:val="18"/>
                <w:szCs w:val="18"/>
                <w:lang w:eastAsia="en-AU"/>
              </w:rPr>
            </w:pPr>
          </w:p>
        </w:tc>
        <w:tc>
          <w:tcPr>
            <w:tcW w:w="2835" w:type="dxa"/>
            <w:tcBorders>
              <w:top w:val="single" w:sz="8" w:space="0" w:color="FFFFFF"/>
              <w:left w:val="single" w:sz="8" w:space="0" w:color="FFFFFF"/>
              <w:bottom w:val="single" w:sz="8" w:space="0" w:color="FFFFFF"/>
              <w:right w:val="nil"/>
            </w:tcBorders>
            <w:shd w:val="clear" w:color="000000" w:fill="62136D"/>
            <w:vAlign w:val="center"/>
            <w:hideMark/>
          </w:tcPr>
          <w:p w14:paraId="684C2744" w14:textId="15D262C8" w:rsidR="00CC2F1D" w:rsidRPr="009A3331" w:rsidRDefault="00CC2F1D" w:rsidP="00CC2F1D">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and </w:t>
            </w:r>
            <w:r w:rsidR="00C742F9">
              <w:rPr>
                <w:rFonts w:eastAsia="Times New Roman" w:cs="Arial"/>
                <w:b/>
                <w:bCs/>
                <w:color w:val="FFFFFF"/>
                <w:sz w:val="18"/>
                <w:szCs w:val="18"/>
                <w:lang w:eastAsia="en-AU"/>
              </w:rPr>
              <w:t>value</w:t>
            </w:r>
            <w:r w:rsidRPr="009A3331">
              <w:rPr>
                <w:rFonts w:eastAsia="Times New Roman" w:cs="Arial"/>
                <w:b/>
                <w:bCs/>
                <w:color w:val="FFFFFF"/>
                <w:sz w:val="18"/>
                <w:szCs w:val="18"/>
                <w:lang w:eastAsia="en-AU"/>
              </w:rPr>
              <w:t xml:space="preserve"> of evidence</w:t>
            </w:r>
          </w:p>
        </w:tc>
        <w:tc>
          <w:tcPr>
            <w:tcW w:w="2835" w:type="dxa"/>
            <w:tcBorders>
              <w:top w:val="single" w:sz="8" w:space="0" w:color="FFFFFF"/>
              <w:left w:val="single" w:sz="4" w:space="0" w:color="FFFFFF"/>
              <w:bottom w:val="single" w:sz="8" w:space="0" w:color="FFFFFF"/>
              <w:right w:val="single" w:sz="8" w:space="0" w:color="FFFFFF"/>
            </w:tcBorders>
            <w:shd w:val="clear" w:color="000000" w:fill="62136D"/>
            <w:vAlign w:val="center"/>
            <w:hideMark/>
          </w:tcPr>
          <w:p w14:paraId="4C8B4799" w14:textId="1117DCB1" w:rsidR="00CC2F1D" w:rsidRPr="009A3331" w:rsidRDefault="00CC2F1D" w:rsidP="00CC2F1D">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w:t>
            </w:r>
            <w:r w:rsidR="00142B05">
              <w:rPr>
                <w:rFonts w:eastAsia="Times New Roman" w:cs="Arial"/>
                <w:b/>
                <w:bCs/>
                <w:color w:val="FFFFFF"/>
                <w:sz w:val="18"/>
                <w:szCs w:val="18"/>
                <w:lang w:eastAsia="en-AU"/>
              </w:rPr>
              <w:t>strength</w:t>
            </w:r>
            <w:r w:rsidRPr="009A3331">
              <w:rPr>
                <w:rFonts w:eastAsia="Times New Roman" w:cs="Arial"/>
                <w:b/>
                <w:bCs/>
                <w:color w:val="FFFFFF"/>
                <w:sz w:val="18"/>
                <w:szCs w:val="18"/>
                <w:lang w:eastAsia="en-AU"/>
              </w:rPr>
              <w:t xml:space="preserve"> of </w:t>
            </w:r>
            <w:r w:rsidR="001B3337">
              <w:rPr>
                <w:rFonts w:eastAsia="Times New Roman" w:cs="Arial"/>
                <w:b/>
                <w:bCs/>
                <w:color w:val="FFFFFF"/>
                <w:sz w:val="18"/>
                <w:szCs w:val="18"/>
                <w:lang w:eastAsia="en-AU"/>
              </w:rPr>
              <w:t>relationship</w:t>
            </w:r>
          </w:p>
        </w:tc>
      </w:tr>
      <w:tr w:rsidR="002D3B47" w:rsidRPr="009A3331" w14:paraId="4D4D9724" w14:textId="77777777" w:rsidTr="00413BA8">
        <w:trPr>
          <w:trHeight w:val="750"/>
        </w:trPr>
        <w:tc>
          <w:tcPr>
            <w:tcW w:w="2835" w:type="dxa"/>
            <w:tcBorders>
              <w:top w:val="nil"/>
              <w:left w:val="single" w:sz="8" w:space="0" w:color="FFFFFF"/>
              <w:bottom w:val="single" w:sz="8" w:space="0" w:color="FFFFFF"/>
              <w:right w:val="single" w:sz="4" w:space="0" w:color="FFFFFF"/>
            </w:tcBorders>
            <w:shd w:val="clear" w:color="000000" w:fill="F2F2F2"/>
            <w:vAlign w:val="center"/>
            <w:hideMark/>
          </w:tcPr>
          <w:p w14:paraId="2FA7E5A9" w14:textId="77777777" w:rsidR="002D3B47" w:rsidRPr="009A3331" w:rsidRDefault="002D3B47" w:rsidP="000405C2">
            <w:pPr>
              <w:suppressAutoHyphens w:val="0"/>
              <w:spacing w:before="0" w:line="240" w:lineRule="auto"/>
              <w:jc w:val="left"/>
              <w:rPr>
                <w:rFonts w:eastAsia="Times New Roman" w:cs="Arial"/>
                <w:b/>
                <w:bCs/>
                <w:i/>
                <w:iCs/>
                <w:color w:val="000000"/>
                <w:sz w:val="16"/>
                <w:szCs w:val="16"/>
                <w:lang w:eastAsia="en-AU"/>
              </w:rPr>
            </w:pPr>
            <w:r w:rsidRPr="009A3331">
              <w:rPr>
                <w:rFonts w:eastAsia="Times New Roman" w:cs="Arial"/>
                <w:b/>
                <w:bCs/>
                <w:i/>
                <w:iCs/>
                <w:color w:val="000000"/>
                <w:sz w:val="16"/>
                <w:szCs w:val="16"/>
                <w:lang w:eastAsia="en-AU"/>
              </w:rPr>
              <w:t>Description</w:t>
            </w:r>
          </w:p>
        </w:tc>
        <w:tc>
          <w:tcPr>
            <w:tcW w:w="2835" w:type="dxa"/>
            <w:tcBorders>
              <w:top w:val="nil"/>
              <w:left w:val="single" w:sz="8" w:space="0" w:color="FFFFFF"/>
              <w:bottom w:val="single" w:sz="8" w:space="0" w:color="FFFFFF"/>
              <w:right w:val="single" w:sz="4" w:space="0" w:color="FFFFFF"/>
            </w:tcBorders>
            <w:shd w:val="clear" w:color="000000" w:fill="F2F2F2"/>
            <w:vAlign w:val="center"/>
            <w:hideMark/>
          </w:tcPr>
          <w:p w14:paraId="5722602E" w14:textId="75351F31" w:rsidR="002D3B47" w:rsidRPr="009A3331" w:rsidRDefault="00BC130E" w:rsidP="000405C2">
            <w:pPr>
              <w:suppressAutoHyphens w:val="0"/>
              <w:spacing w:before="0" w:line="240" w:lineRule="auto"/>
              <w:jc w:val="center"/>
              <w:rPr>
                <w:rFonts w:eastAsia="Times New Roman" w:cs="Arial"/>
                <w:i/>
                <w:iCs/>
                <w:color w:val="000000"/>
                <w:sz w:val="16"/>
                <w:szCs w:val="16"/>
                <w:lang w:eastAsia="en-AU"/>
              </w:rPr>
            </w:pPr>
            <w:r>
              <w:rPr>
                <w:rFonts w:eastAsia="Times New Roman" w:cs="Arial"/>
                <w:i/>
                <w:iCs/>
                <w:color w:val="000000"/>
                <w:sz w:val="16"/>
                <w:szCs w:val="16"/>
                <w:lang w:eastAsia="en-AU"/>
              </w:rPr>
              <w:t xml:space="preserve">Strength and </w:t>
            </w:r>
            <w:r w:rsidR="00C742F9">
              <w:rPr>
                <w:rFonts w:eastAsia="Times New Roman" w:cs="Arial"/>
                <w:i/>
                <w:iCs/>
                <w:color w:val="000000"/>
                <w:sz w:val="16"/>
                <w:szCs w:val="16"/>
                <w:lang w:eastAsia="en-AU"/>
              </w:rPr>
              <w:t>value</w:t>
            </w:r>
            <w:r>
              <w:rPr>
                <w:rFonts w:eastAsia="Times New Roman" w:cs="Arial"/>
                <w:i/>
                <w:iCs/>
                <w:color w:val="000000"/>
                <w:sz w:val="16"/>
                <w:szCs w:val="16"/>
                <w:lang w:eastAsia="en-AU"/>
              </w:rPr>
              <w:t xml:space="preserve"> of evidence </w:t>
            </w:r>
            <w:r w:rsidR="001A55FB">
              <w:rPr>
                <w:rFonts w:eastAsia="Times New Roman" w:cs="Arial"/>
                <w:i/>
                <w:iCs/>
                <w:color w:val="000000"/>
                <w:sz w:val="16"/>
                <w:szCs w:val="16"/>
                <w:lang w:eastAsia="en-AU"/>
              </w:rPr>
              <w:t xml:space="preserve">of an association between loot boxes and </w:t>
            </w:r>
            <w:r w:rsidR="002D3B47" w:rsidRPr="00537D51">
              <w:rPr>
                <w:rFonts w:eastAsia="Times New Roman" w:cs="Arial"/>
                <w:i/>
                <w:iCs/>
                <w:color w:val="000000"/>
                <w:sz w:val="16"/>
                <w:szCs w:val="16"/>
                <w:lang w:eastAsia="en-AU"/>
              </w:rPr>
              <w:t>harm</w:t>
            </w:r>
          </w:p>
        </w:tc>
        <w:tc>
          <w:tcPr>
            <w:tcW w:w="2835" w:type="dxa"/>
            <w:tcBorders>
              <w:top w:val="nil"/>
              <w:left w:val="nil"/>
              <w:bottom w:val="single" w:sz="8" w:space="0" w:color="FFFFFF"/>
              <w:right w:val="single" w:sz="8" w:space="0" w:color="FFFFFF"/>
            </w:tcBorders>
            <w:shd w:val="clear" w:color="000000" w:fill="F2F2F2"/>
            <w:vAlign w:val="center"/>
            <w:hideMark/>
          </w:tcPr>
          <w:p w14:paraId="5CD0B21B" w14:textId="1053967E" w:rsidR="002D3B47" w:rsidRPr="009A3331" w:rsidRDefault="00F12D84" w:rsidP="000405C2">
            <w:pPr>
              <w:suppressAutoHyphens w:val="0"/>
              <w:spacing w:before="0" w:line="240" w:lineRule="auto"/>
              <w:jc w:val="center"/>
              <w:rPr>
                <w:rFonts w:eastAsia="Times New Roman" w:cs="Arial"/>
                <w:i/>
                <w:iCs/>
                <w:color w:val="000000"/>
                <w:sz w:val="16"/>
                <w:szCs w:val="16"/>
                <w:lang w:eastAsia="en-AU"/>
              </w:rPr>
            </w:pPr>
            <w:r>
              <w:rPr>
                <w:rFonts w:eastAsia="Times New Roman" w:cs="Arial"/>
                <w:i/>
                <w:iCs/>
                <w:color w:val="000000"/>
                <w:sz w:val="16"/>
                <w:szCs w:val="16"/>
                <w:lang w:eastAsia="en-AU"/>
              </w:rPr>
              <w:t xml:space="preserve">Strength of the </w:t>
            </w:r>
            <w:r w:rsidR="00142B05">
              <w:rPr>
                <w:rFonts w:eastAsia="Times New Roman" w:cs="Arial"/>
                <w:i/>
                <w:iCs/>
                <w:color w:val="000000"/>
                <w:sz w:val="16"/>
                <w:szCs w:val="16"/>
                <w:lang w:eastAsia="en-AU"/>
              </w:rPr>
              <w:t>relationship</w:t>
            </w:r>
            <w:r w:rsidR="002D3B47" w:rsidRPr="009A3331">
              <w:rPr>
                <w:rFonts w:eastAsia="Times New Roman" w:cs="Arial"/>
                <w:i/>
                <w:iCs/>
                <w:color w:val="000000"/>
                <w:sz w:val="16"/>
                <w:szCs w:val="16"/>
                <w:lang w:eastAsia="en-AU"/>
              </w:rPr>
              <w:t xml:space="preserve"> between </w:t>
            </w:r>
            <w:r w:rsidR="00C52570">
              <w:rPr>
                <w:rFonts w:eastAsia="Times New Roman" w:cs="Arial"/>
                <w:i/>
                <w:iCs/>
                <w:color w:val="000000"/>
                <w:sz w:val="16"/>
                <w:szCs w:val="16"/>
                <w:lang w:eastAsia="en-AU"/>
              </w:rPr>
              <w:t>loot boxes</w:t>
            </w:r>
            <w:r w:rsidR="002D3B47" w:rsidRPr="009A3331">
              <w:rPr>
                <w:rFonts w:eastAsia="Times New Roman" w:cs="Arial"/>
                <w:i/>
                <w:iCs/>
                <w:color w:val="000000"/>
                <w:sz w:val="16"/>
                <w:szCs w:val="16"/>
                <w:lang w:eastAsia="en-AU"/>
              </w:rPr>
              <w:t xml:space="preserve"> and harm</w:t>
            </w:r>
          </w:p>
        </w:tc>
      </w:tr>
      <w:tr w:rsidR="002D3B47" w:rsidRPr="009A3331" w14:paraId="6006801F" w14:textId="77777777" w:rsidTr="002D3B47">
        <w:trPr>
          <w:trHeight w:val="600"/>
        </w:trPr>
        <w:tc>
          <w:tcPr>
            <w:tcW w:w="2835" w:type="dxa"/>
            <w:tcBorders>
              <w:top w:val="single" w:sz="4" w:space="0" w:color="FFFFFF"/>
              <w:left w:val="single" w:sz="4" w:space="0" w:color="FFFFFF"/>
              <w:bottom w:val="single" w:sz="4" w:space="0" w:color="FFFFFF"/>
              <w:right w:val="single" w:sz="4" w:space="0" w:color="FFFFFF"/>
            </w:tcBorders>
            <w:shd w:val="clear" w:color="000000" w:fill="F2F2F2"/>
            <w:noWrap/>
            <w:vAlign w:val="center"/>
            <w:hideMark/>
          </w:tcPr>
          <w:p w14:paraId="34AC180C" w14:textId="77777777" w:rsidR="002D3B47" w:rsidRPr="009A3331" w:rsidRDefault="002D3B47" w:rsidP="002D3B47">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Problem gambling</w:t>
            </w:r>
          </w:p>
        </w:tc>
        <w:tc>
          <w:tcPr>
            <w:tcW w:w="2835" w:type="dxa"/>
            <w:tcBorders>
              <w:top w:val="nil"/>
              <w:left w:val="nil"/>
              <w:bottom w:val="single" w:sz="4" w:space="0" w:color="FFFFFF"/>
              <w:right w:val="single" w:sz="4" w:space="0" w:color="FFFFFF"/>
            </w:tcBorders>
            <w:shd w:val="clear" w:color="000000" w:fill="A9D08E"/>
            <w:vAlign w:val="center"/>
            <w:hideMark/>
          </w:tcPr>
          <w:p w14:paraId="49234147" w14:textId="77777777" w:rsidR="002D3B47" w:rsidRPr="002D3B47" w:rsidRDefault="002D3B47"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High</w:t>
            </w:r>
          </w:p>
        </w:tc>
        <w:tc>
          <w:tcPr>
            <w:tcW w:w="2835" w:type="dxa"/>
            <w:tcBorders>
              <w:top w:val="nil"/>
              <w:left w:val="nil"/>
              <w:bottom w:val="single" w:sz="4" w:space="0" w:color="FFFFFF"/>
              <w:right w:val="single" w:sz="8" w:space="0" w:color="FFFFFF"/>
            </w:tcBorders>
            <w:shd w:val="clear" w:color="000000" w:fill="F4B084"/>
            <w:vAlign w:val="center"/>
            <w:hideMark/>
          </w:tcPr>
          <w:p w14:paraId="688C0E1E" w14:textId="77777777" w:rsidR="002D3B47" w:rsidRPr="002D3B47" w:rsidRDefault="003B765B"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r>
      <w:tr w:rsidR="002D3B47" w:rsidRPr="009A3331" w14:paraId="0C08CF7B" w14:textId="77777777" w:rsidTr="00026DBA">
        <w:trPr>
          <w:trHeight w:val="600"/>
        </w:trPr>
        <w:tc>
          <w:tcPr>
            <w:tcW w:w="2835" w:type="dxa"/>
            <w:tcBorders>
              <w:top w:val="single" w:sz="4" w:space="0" w:color="FFFFFF"/>
              <w:left w:val="single" w:sz="4" w:space="0" w:color="FFFFFF"/>
              <w:bottom w:val="single" w:sz="4" w:space="0" w:color="FFFFFF"/>
              <w:right w:val="single" w:sz="4" w:space="0" w:color="FFFFFF"/>
            </w:tcBorders>
            <w:shd w:val="clear" w:color="000000" w:fill="F2F2F2"/>
            <w:noWrap/>
            <w:vAlign w:val="center"/>
            <w:hideMark/>
          </w:tcPr>
          <w:p w14:paraId="746DFC53" w14:textId="77777777" w:rsidR="002D3B47" w:rsidRPr="009A3331" w:rsidRDefault="002D3B47" w:rsidP="002D3B47">
            <w:pPr>
              <w:suppressAutoHyphens w:val="0"/>
              <w:spacing w:before="0" w:line="240" w:lineRule="auto"/>
              <w:jc w:val="left"/>
              <w:rPr>
                <w:rFonts w:eastAsia="Times New Roman" w:cs="Arial"/>
                <w:b/>
                <w:bCs/>
                <w:color w:val="auto"/>
                <w:sz w:val="16"/>
                <w:szCs w:val="16"/>
                <w:lang w:eastAsia="en-AU"/>
              </w:rPr>
            </w:pPr>
            <w:r>
              <w:rPr>
                <w:rFonts w:eastAsia="Times New Roman" w:cs="Arial"/>
                <w:b/>
                <w:bCs/>
                <w:color w:val="auto"/>
                <w:sz w:val="16"/>
                <w:szCs w:val="16"/>
                <w:lang w:eastAsia="en-AU"/>
              </w:rPr>
              <w:t>Internet gaming disorder</w:t>
            </w:r>
          </w:p>
        </w:tc>
        <w:tc>
          <w:tcPr>
            <w:tcW w:w="2835" w:type="dxa"/>
            <w:tcBorders>
              <w:top w:val="nil"/>
              <w:left w:val="nil"/>
              <w:bottom w:val="single" w:sz="4" w:space="0" w:color="FFFFFF"/>
              <w:right w:val="single" w:sz="4" w:space="0" w:color="FFFFFF"/>
            </w:tcBorders>
            <w:shd w:val="clear" w:color="000000" w:fill="F4B084"/>
            <w:vAlign w:val="center"/>
            <w:hideMark/>
          </w:tcPr>
          <w:p w14:paraId="3A75FEE7" w14:textId="77777777" w:rsidR="002D3B47" w:rsidRPr="002D3B47" w:rsidRDefault="003B765B"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tcBorders>
              <w:top w:val="nil"/>
              <w:left w:val="nil"/>
              <w:bottom w:val="single" w:sz="4" w:space="0" w:color="FFFFFF"/>
              <w:right w:val="single" w:sz="8" w:space="0" w:color="FFFFFF"/>
            </w:tcBorders>
            <w:shd w:val="clear" w:color="auto" w:fill="D6E3BC"/>
            <w:vAlign w:val="center"/>
            <w:hideMark/>
          </w:tcPr>
          <w:p w14:paraId="5BC0BC68" w14:textId="77777777" w:rsidR="002D3B47" w:rsidRPr="002D3B47" w:rsidRDefault="003B765B"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r w:rsidR="002D3B47" w:rsidRPr="002D3B47">
              <w:rPr>
                <w:rFonts w:eastAsia="Times New Roman" w:cs="Arial"/>
                <w:b/>
                <w:color w:val="000000"/>
                <w:sz w:val="16"/>
                <w:szCs w:val="16"/>
                <w:lang w:eastAsia="en-AU"/>
              </w:rPr>
              <w:t>-</w:t>
            </w:r>
            <w:r w:rsidR="00920FCD">
              <w:rPr>
                <w:rFonts w:eastAsia="Times New Roman" w:cs="Arial"/>
                <w:b/>
                <w:color w:val="000000"/>
                <w:sz w:val="16"/>
                <w:szCs w:val="16"/>
                <w:lang w:eastAsia="en-AU"/>
              </w:rPr>
              <w:t>h</w:t>
            </w:r>
            <w:r>
              <w:rPr>
                <w:rFonts w:eastAsia="Times New Roman" w:cs="Arial"/>
                <w:b/>
                <w:color w:val="000000"/>
                <w:sz w:val="16"/>
                <w:szCs w:val="16"/>
                <w:lang w:eastAsia="en-AU"/>
              </w:rPr>
              <w:t>igh</w:t>
            </w:r>
          </w:p>
        </w:tc>
      </w:tr>
      <w:tr w:rsidR="002D3B47" w:rsidRPr="009A3331" w14:paraId="7ED1655D" w14:textId="77777777" w:rsidTr="00A531A3">
        <w:trPr>
          <w:trHeight w:val="600"/>
        </w:trPr>
        <w:tc>
          <w:tcPr>
            <w:tcW w:w="2835" w:type="dxa"/>
            <w:tcBorders>
              <w:top w:val="single" w:sz="4" w:space="0" w:color="FFFFFF"/>
              <w:left w:val="single" w:sz="4" w:space="0" w:color="FFFFFF"/>
              <w:bottom w:val="single" w:sz="4" w:space="0" w:color="FFFFFF"/>
              <w:right w:val="single" w:sz="4" w:space="0" w:color="FFFFFF"/>
            </w:tcBorders>
            <w:shd w:val="clear" w:color="000000" w:fill="F2F2F2"/>
            <w:noWrap/>
            <w:vAlign w:val="center"/>
            <w:hideMark/>
          </w:tcPr>
          <w:p w14:paraId="490C5229" w14:textId="77777777" w:rsidR="002D3B47" w:rsidRPr="009A3331" w:rsidRDefault="002D3B47" w:rsidP="002D3B47">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Other types of harm</w:t>
            </w:r>
          </w:p>
        </w:tc>
        <w:tc>
          <w:tcPr>
            <w:tcW w:w="2835" w:type="dxa"/>
            <w:tcBorders>
              <w:top w:val="nil"/>
              <w:left w:val="nil"/>
              <w:bottom w:val="single" w:sz="4" w:space="0" w:color="FFFFFF"/>
              <w:right w:val="single" w:sz="4" w:space="0" w:color="FFFFFF"/>
            </w:tcBorders>
            <w:shd w:val="clear" w:color="auto" w:fill="FFB3B3"/>
            <w:vAlign w:val="center"/>
            <w:hideMark/>
          </w:tcPr>
          <w:p w14:paraId="78B8DCBC" w14:textId="77777777" w:rsidR="002D3B47" w:rsidRPr="002D3B47" w:rsidRDefault="00AC50B9"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35" w:type="dxa"/>
            <w:tcBorders>
              <w:top w:val="nil"/>
              <w:left w:val="nil"/>
              <w:bottom w:val="single" w:sz="4" w:space="0" w:color="FFFFFF"/>
              <w:right w:val="single" w:sz="8" w:space="0" w:color="FFFFFF"/>
            </w:tcBorders>
            <w:shd w:val="clear" w:color="auto" w:fill="D9D9D9" w:themeFill="background1" w:themeFillShade="D9"/>
            <w:vAlign w:val="center"/>
          </w:tcPr>
          <w:p w14:paraId="66F92370" w14:textId="77777777" w:rsidR="002D3B47" w:rsidRPr="002D3B47" w:rsidRDefault="006268C6"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bl>
    <w:p w14:paraId="422A8D48" w14:textId="77777777" w:rsidR="00901DCF" w:rsidRPr="00434145" w:rsidRDefault="002D3B47" w:rsidP="00434145">
      <w:pPr>
        <w:pStyle w:val="Heading3"/>
      </w:pPr>
      <w:r w:rsidRPr="00434145">
        <w:t>Problem gambling</w:t>
      </w:r>
    </w:p>
    <w:p w14:paraId="757ADD97" w14:textId="6917B90C" w:rsidR="00FE1E82" w:rsidRDefault="005C1C2C" w:rsidP="00897FF2">
      <w:pPr>
        <w:pStyle w:val="BodyText"/>
      </w:pPr>
      <w:r>
        <w:t>A total of</w:t>
      </w:r>
      <w:r w:rsidDel="00CC32F8">
        <w:t xml:space="preserve"> </w:t>
      </w:r>
      <w:r w:rsidR="00CC32F8">
        <w:t>30</w:t>
      </w:r>
      <w:r>
        <w:t xml:space="preserve"> </w:t>
      </w:r>
      <w:r w:rsidR="003B07B4">
        <w:t>Australia</w:t>
      </w:r>
      <w:r w:rsidR="00D11DA5">
        <w:t>n</w:t>
      </w:r>
      <w:r w:rsidR="003B07B4">
        <w:t xml:space="preserve"> and international </w:t>
      </w:r>
      <w:r w:rsidR="00C77260">
        <w:t xml:space="preserve">studies </w:t>
      </w:r>
      <w:r>
        <w:t>found an association between l</w:t>
      </w:r>
      <w:r w:rsidR="004F68EC">
        <w:t>oot boxes and</w:t>
      </w:r>
      <w:r w:rsidR="00420997">
        <w:t xml:space="preserve"> either</w:t>
      </w:r>
      <w:r w:rsidR="004F68EC">
        <w:t xml:space="preserve"> </w:t>
      </w:r>
      <w:r w:rsidR="007A1F25">
        <w:t>gambling problems</w:t>
      </w:r>
      <w:r w:rsidR="008B3C47">
        <w:t xml:space="preserve"> </w:t>
      </w:r>
      <w:r w:rsidR="00B77B91">
        <w:t xml:space="preserve">(typically measured by the </w:t>
      </w:r>
      <w:r w:rsidR="00B26D4F">
        <w:t>PGSI</w:t>
      </w:r>
      <w:r w:rsidR="00180942">
        <w:t>; further detail is provided in Appendix D</w:t>
      </w:r>
      <w:r w:rsidR="00B26D4F">
        <w:t xml:space="preserve">) </w:t>
      </w:r>
      <w:r w:rsidR="008B3C47">
        <w:t xml:space="preserve">or </w:t>
      </w:r>
      <w:r w:rsidR="00EE5B7D">
        <w:t xml:space="preserve">gambling </w:t>
      </w:r>
      <w:r w:rsidR="007A1F25">
        <w:t>harm</w:t>
      </w:r>
      <w:r w:rsidR="00B26D4F">
        <w:t xml:space="preserve"> (</w:t>
      </w:r>
      <w:r w:rsidR="002A376A">
        <w:t xml:space="preserve">typically </w:t>
      </w:r>
      <w:r w:rsidR="00B26D4F">
        <w:t>measured by the SGHS)</w:t>
      </w:r>
      <w:r w:rsidR="002554F2">
        <w:t>.</w:t>
      </w:r>
      <w:r w:rsidR="00420997">
        <w:t xml:space="preserve"> The </w:t>
      </w:r>
      <w:r w:rsidR="00024A28">
        <w:t>overall rating</w:t>
      </w:r>
      <w:r w:rsidR="00420997">
        <w:t xml:space="preserve"> of the stren</w:t>
      </w:r>
      <w:r w:rsidR="00024A28">
        <w:t xml:space="preserve">gth and </w:t>
      </w:r>
      <w:r w:rsidR="00C742F9">
        <w:t>value</w:t>
      </w:r>
      <w:r w:rsidR="00024A28">
        <w:t xml:space="preserve"> of these articles was considered </w:t>
      </w:r>
      <w:r w:rsidR="00024A28" w:rsidRPr="00434145">
        <w:rPr>
          <w:b/>
          <w:i/>
        </w:rPr>
        <w:t>high</w:t>
      </w:r>
      <w:r w:rsidR="00CA622B">
        <w:t>.</w:t>
      </w:r>
      <w:r w:rsidR="00C0286C">
        <w:t xml:space="preserve"> </w:t>
      </w:r>
    </w:p>
    <w:p w14:paraId="0593F347" w14:textId="45AF7BD7" w:rsidR="00FE1E82" w:rsidRPr="008B2832" w:rsidRDefault="00FE1E82" w:rsidP="0011342C">
      <w:pPr>
        <w:pStyle w:val="BodyText"/>
        <w:tabs>
          <w:tab w:val="left" w:pos="4111"/>
        </w:tabs>
      </w:pPr>
      <w:r>
        <w:t xml:space="preserve">There </w:t>
      </w:r>
      <w:r w:rsidR="00F5422A">
        <w:t>wa</w:t>
      </w:r>
      <w:r>
        <w:t>s</w:t>
      </w:r>
      <w:r w:rsidDel="00653EB7">
        <w:t xml:space="preserve"> </w:t>
      </w:r>
      <w:r w:rsidR="00653EB7">
        <w:t xml:space="preserve">reliable </w:t>
      </w:r>
      <w:r>
        <w:t xml:space="preserve">evidence to suggest that </w:t>
      </w:r>
      <w:r w:rsidR="00F5422A">
        <w:t>more involved</w:t>
      </w:r>
      <w:r w:rsidR="00DE085F">
        <w:t xml:space="preserve"> </w:t>
      </w:r>
      <w:r>
        <w:t xml:space="preserve">loot box engagement </w:t>
      </w:r>
      <w:r w:rsidR="00F5422A">
        <w:t>wa</w:t>
      </w:r>
      <w:r>
        <w:t>s associated with</w:t>
      </w:r>
      <w:r w:rsidR="00DE085F">
        <w:t xml:space="preserve"> increased </w:t>
      </w:r>
      <w:r w:rsidR="0071254F">
        <w:t>problem gambling risk.</w:t>
      </w:r>
      <w:r>
        <w:t xml:space="preserve"> </w:t>
      </w:r>
      <w:r w:rsidR="00D20E25">
        <w:t xml:space="preserve">The average strength of this </w:t>
      </w:r>
      <w:r w:rsidR="001A7156">
        <w:t>relationship</w:t>
      </w:r>
      <w:r w:rsidR="00D20E25">
        <w:t xml:space="preserve"> </w:t>
      </w:r>
      <w:r w:rsidR="00F754D7">
        <w:t>wa</w:t>
      </w:r>
      <w:r w:rsidR="00D20E25">
        <w:t xml:space="preserve">s </w:t>
      </w:r>
      <w:r w:rsidR="00D20E25" w:rsidRPr="00434145">
        <w:rPr>
          <w:b/>
        </w:rPr>
        <w:t>medium</w:t>
      </w:r>
      <w:r w:rsidR="00D20E25">
        <w:t xml:space="preserve">. </w:t>
      </w:r>
      <w:r>
        <w:t>There is</w:t>
      </w:r>
      <w:r w:rsidRPr="00D66FF0">
        <w:t xml:space="preserve"> </w:t>
      </w:r>
      <w:r>
        <w:t xml:space="preserve">currently insufficient evidence available to determine </w:t>
      </w:r>
      <w:r w:rsidR="00E045B1">
        <w:t xml:space="preserve">the direction of </w:t>
      </w:r>
      <w:r>
        <w:t>this relationship.</w:t>
      </w:r>
    </w:p>
    <w:p w14:paraId="6A7B497E" w14:textId="74E739EF" w:rsidR="003F650B" w:rsidRPr="00A27449" w:rsidRDefault="003F650B" w:rsidP="000B2101">
      <w:pPr>
        <w:pStyle w:val="Heading4"/>
      </w:pPr>
      <w:bookmarkStart w:id="38" w:name="_Hlk95639740"/>
      <w:r>
        <w:t>L</w:t>
      </w:r>
      <w:r w:rsidRPr="00521D0F">
        <w:t>oot box</w:t>
      </w:r>
      <w:r>
        <w:t xml:space="preserve"> engagement</w:t>
      </w:r>
    </w:p>
    <w:bookmarkEnd w:id="38"/>
    <w:p w14:paraId="52D005F1" w14:textId="1C5A8FDA" w:rsidR="004609B8" w:rsidRDefault="00781EF1" w:rsidP="00897FF2">
      <w:pPr>
        <w:pStyle w:val="BodyText"/>
      </w:pPr>
      <w:r w:rsidRPr="00AE598B">
        <w:t xml:space="preserve">Several </w:t>
      </w:r>
      <w:r w:rsidR="00C660A2" w:rsidRPr="00AE598B">
        <w:t>medium</w:t>
      </w:r>
      <w:r w:rsidR="00117761">
        <w:t>-high</w:t>
      </w:r>
      <w:r w:rsidR="00C660A2" w:rsidRPr="00AE598B">
        <w:t xml:space="preserve"> </w:t>
      </w:r>
      <w:r w:rsidR="00C742F9">
        <w:t>value</w:t>
      </w:r>
      <w:r w:rsidRPr="00AE598B">
        <w:t xml:space="preserve"> literature reviews </w:t>
      </w:r>
      <w:r w:rsidR="007F5FEA" w:rsidRPr="00AE598B">
        <w:t>explor</w:t>
      </w:r>
      <w:r w:rsidR="00BD5AB8">
        <w:t>ed</w:t>
      </w:r>
      <w:r w:rsidRPr="00AE598B">
        <w:t xml:space="preserve"> </w:t>
      </w:r>
      <w:r w:rsidR="007F5FEA" w:rsidRPr="00AE598B">
        <w:t xml:space="preserve">the </w:t>
      </w:r>
      <w:r w:rsidRPr="00AE598B" w:rsidDel="00142B05">
        <w:t>association</w:t>
      </w:r>
      <w:r w:rsidRPr="00AE598B">
        <w:t xml:space="preserve"> between loot box</w:t>
      </w:r>
      <w:r w:rsidR="00111AE3">
        <w:t xml:space="preserve">es </w:t>
      </w:r>
      <w:r w:rsidRPr="00AE598B">
        <w:t xml:space="preserve">and </w:t>
      </w:r>
      <w:r w:rsidR="0051370F">
        <w:t>gambling problems</w:t>
      </w:r>
      <w:r w:rsidR="0051370F" w:rsidRPr="00AE598B">
        <w:t xml:space="preserve"> </w:t>
      </w:r>
      <w:r w:rsidRPr="00AE598B">
        <w:t xml:space="preserve">(see </w:t>
      </w:r>
      <w:r w:rsidR="009772A5">
        <w:t>Supplementary Document 1: Evidence table</w:t>
      </w:r>
      <w:r w:rsidR="006D467D">
        <w:t xml:space="preserve"> </w:t>
      </w:r>
      <w:r w:rsidR="00481F12">
        <w:t xml:space="preserve">for </w:t>
      </w:r>
      <w:r w:rsidR="00CD0370">
        <w:t xml:space="preserve">the </w:t>
      </w:r>
      <w:r w:rsidR="00481F12">
        <w:t xml:space="preserve">full </w:t>
      </w:r>
      <w:r w:rsidR="0092483A">
        <w:t>article list</w:t>
      </w:r>
      <w:r w:rsidRPr="00AE598B">
        <w:t>).</w:t>
      </w:r>
      <w:r w:rsidR="00A93991" w:rsidRPr="00AE598B">
        <w:t xml:space="preserve"> </w:t>
      </w:r>
      <w:r w:rsidR="00B77B91">
        <w:t>The reviews found</w:t>
      </w:r>
      <w:r w:rsidR="00A74B0F" w:rsidRPr="00AE598B">
        <w:t xml:space="preserve"> that a reliable</w:t>
      </w:r>
      <w:r w:rsidR="004D3E02" w:rsidRPr="00AE598B">
        <w:t xml:space="preserve"> </w:t>
      </w:r>
      <w:r w:rsidR="004D3E02" w:rsidRPr="00AE598B" w:rsidDel="00142B05">
        <w:t>association</w:t>
      </w:r>
      <w:r w:rsidR="00A74B0F" w:rsidRPr="00AE598B">
        <w:t xml:space="preserve"> exists</w:t>
      </w:r>
      <w:r w:rsidR="004D3E02" w:rsidRPr="00AE598B">
        <w:t xml:space="preserve"> between loot box engagement (measured</w:t>
      </w:r>
      <w:r w:rsidR="00733B27" w:rsidRPr="00AE598B">
        <w:t xml:space="preserve"> primarily</w:t>
      </w:r>
      <w:r w:rsidR="004D3E02" w:rsidRPr="00AE598B">
        <w:t xml:space="preserve"> by </w:t>
      </w:r>
      <w:r w:rsidR="00A74B0F" w:rsidRPr="00AE598B">
        <w:t>expenditure</w:t>
      </w:r>
      <w:r w:rsidR="004D3E02" w:rsidRPr="00AE598B">
        <w:t>) and gambling problems (</w:t>
      </w:r>
      <w:proofErr w:type="spellStart"/>
      <w:r w:rsidR="004B7E49">
        <w:t>Cerulli</w:t>
      </w:r>
      <w:proofErr w:type="spellEnd"/>
      <w:r w:rsidR="004B7E49">
        <w:t xml:space="preserve">-Harms et al., 2020; </w:t>
      </w:r>
      <w:proofErr w:type="spellStart"/>
      <w:r w:rsidR="004D3E02" w:rsidRPr="00AE598B">
        <w:t>Delfabbro</w:t>
      </w:r>
      <w:proofErr w:type="spellEnd"/>
      <w:r w:rsidR="004D3E02" w:rsidRPr="00AE598B">
        <w:t xml:space="preserve"> &amp; King, 2020; Hing et al., 2021; </w:t>
      </w:r>
      <w:proofErr w:type="spellStart"/>
      <w:r w:rsidR="004D3E02" w:rsidRPr="00AE598B">
        <w:t>Kolandai-Matchett</w:t>
      </w:r>
      <w:proofErr w:type="spellEnd"/>
      <w:r w:rsidR="004D3E02" w:rsidRPr="00AE598B">
        <w:t xml:space="preserve"> &amp; Abbott, 2021; Yokomitsu</w:t>
      </w:r>
      <w:r w:rsidR="00C4117E">
        <w:t xml:space="preserve">, </w:t>
      </w:r>
      <w:proofErr w:type="spellStart"/>
      <w:r w:rsidR="00C4117E">
        <w:t>Irie</w:t>
      </w:r>
      <w:proofErr w:type="spellEnd"/>
      <w:r w:rsidR="00C4117E">
        <w:t xml:space="preserve">, </w:t>
      </w:r>
      <w:proofErr w:type="spellStart"/>
      <w:r w:rsidR="00C4117E">
        <w:t>Shinkawa</w:t>
      </w:r>
      <w:proofErr w:type="spellEnd"/>
      <w:r w:rsidR="00C4117E">
        <w:t xml:space="preserve">, &amp; Tanaka, </w:t>
      </w:r>
      <w:r w:rsidR="004D3E02" w:rsidRPr="00AE598B">
        <w:t>2021)</w:t>
      </w:r>
      <w:r w:rsidR="00A74B0F" w:rsidRPr="00AE598B">
        <w:t>.</w:t>
      </w:r>
      <w:r w:rsidR="00E17247" w:rsidRPr="00AE598B">
        <w:t xml:space="preserve"> </w:t>
      </w:r>
    </w:p>
    <w:p w14:paraId="1180E29E" w14:textId="333D94B6" w:rsidR="00C4117E" w:rsidRDefault="00954EA8" w:rsidP="00897FF2">
      <w:pPr>
        <w:pStyle w:val="BodyText"/>
      </w:pPr>
      <w:proofErr w:type="spellStart"/>
      <w:r>
        <w:t>Cerulli</w:t>
      </w:r>
      <w:proofErr w:type="spellEnd"/>
      <w:r>
        <w:t>-Harms and colleagues (2020) concluded that the reward structures and design features</w:t>
      </w:r>
      <w:r w:rsidR="0096611C">
        <w:t xml:space="preserve"> of </w:t>
      </w:r>
      <w:r>
        <w:t>loot boxes, especially those similar to monetary gambling activities, encourage users to continue playing and purchasing, leading to the development of gambling problems and risk-taking behaviour. Other authors</w:t>
      </w:r>
      <w:r w:rsidR="009D3FB8">
        <w:t xml:space="preserve"> noted that </w:t>
      </w:r>
      <w:r w:rsidR="000F3968" w:rsidRPr="00AE598B">
        <w:t xml:space="preserve">directionality of this relationship </w:t>
      </w:r>
      <w:r w:rsidR="0041132C">
        <w:t>remains</w:t>
      </w:r>
      <w:r w:rsidR="00AB5E2D" w:rsidRPr="00AE598B">
        <w:t xml:space="preserve"> unclear </w:t>
      </w:r>
      <w:r w:rsidR="001B0350" w:rsidRPr="001B0350">
        <w:t xml:space="preserve">(e.g. </w:t>
      </w:r>
      <w:proofErr w:type="spellStart"/>
      <w:r w:rsidR="001B0350" w:rsidRPr="001B0350">
        <w:t>Delfabbro</w:t>
      </w:r>
      <w:proofErr w:type="spellEnd"/>
      <w:r w:rsidR="001B0350" w:rsidRPr="001B0350">
        <w:t xml:space="preserve"> &amp; King,</w:t>
      </w:r>
      <w:r w:rsidR="005E3528">
        <w:t xml:space="preserve"> 2020;</w:t>
      </w:r>
      <w:r w:rsidR="001B0350" w:rsidRPr="001B0350">
        <w:t xml:space="preserve"> </w:t>
      </w:r>
      <w:proofErr w:type="spellStart"/>
      <w:r w:rsidR="002E25FD" w:rsidRPr="00AE598B">
        <w:t>Kolandai-Matchett</w:t>
      </w:r>
      <w:proofErr w:type="spellEnd"/>
      <w:r w:rsidR="002E25FD" w:rsidRPr="00AE598B">
        <w:t xml:space="preserve"> &amp; Abbott, 2021</w:t>
      </w:r>
      <w:r w:rsidR="001B0350" w:rsidRPr="001B0350">
        <w:t>)</w:t>
      </w:r>
      <w:r w:rsidR="002041B6">
        <w:t>.</w:t>
      </w:r>
      <w:r w:rsidR="001B0350" w:rsidRPr="001B0350">
        <w:t xml:space="preserve"> </w:t>
      </w:r>
    </w:p>
    <w:p w14:paraId="188288BD" w14:textId="05FE0844" w:rsidR="00F923DC" w:rsidRDefault="00F923DC" w:rsidP="00897FF2">
      <w:pPr>
        <w:pStyle w:val="BodyText"/>
      </w:pPr>
      <w:r w:rsidRPr="00AE598B">
        <w:t>Two high</w:t>
      </w:r>
      <w:r w:rsidR="00420C4A">
        <w:t xml:space="preserve"> </w:t>
      </w:r>
      <w:r w:rsidR="00744589">
        <w:t>value</w:t>
      </w:r>
      <w:r w:rsidRPr="00AE598B">
        <w:t xml:space="preserve"> meta-analyses were also reviewed</w:t>
      </w:r>
      <w:r w:rsidR="002C0FDD">
        <w:t xml:space="preserve"> and reported similar associations</w:t>
      </w:r>
      <w:r w:rsidRPr="00AE598B">
        <w:t xml:space="preserve">. Spicer and colleagues (2021) found that loot box engagement – including spend, participation and </w:t>
      </w:r>
      <w:r w:rsidRPr="00AE598B">
        <w:lastRenderedPageBreak/>
        <w:t>frequency – was moderately associated with problem gambling</w:t>
      </w:r>
      <w:r w:rsidR="002C0FDD">
        <w:t>, and</w:t>
      </w:r>
      <w:r w:rsidR="009A0103">
        <w:t xml:space="preserve"> </w:t>
      </w:r>
      <w:proofErr w:type="spellStart"/>
      <w:r w:rsidR="00D57F4E" w:rsidRPr="00D57F4E">
        <w:t>Garea</w:t>
      </w:r>
      <w:proofErr w:type="spellEnd"/>
      <w:r w:rsidR="001D2DD3">
        <w:t>, Drummond, Sauer, Hall, &amp; Williams</w:t>
      </w:r>
      <w:r w:rsidR="001D2DD3" w:rsidRPr="00D57F4E">
        <w:t xml:space="preserve"> </w:t>
      </w:r>
      <w:r w:rsidR="00D57F4E" w:rsidRPr="00D57F4E">
        <w:t xml:space="preserve">(2021) found a </w:t>
      </w:r>
      <w:r w:rsidR="009419A5">
        <w:t>low</w:t>
      </w:r>
      <w:r w:rsidR="00D57F4E" w:rsidRPr="00D57F4E">
        <w:t>-</w:t>
      </w:r>
      <w:r w:rsidR="005A4310">
        <w:t>medium</w:t>
      </w:r>
      <w:r w:rsidR="00D57F4E" w:rsidRPr="00D57F4E">
        <w:t xml:space="preserve"> </w:t>
      </w:r>
      <w:r w:rsidR="00D57F4E" w:rsidRPr="00D57F4E" w:rsidDel="00142B05">
        <w:t>association</w:t>
      </w:r>
      <w:r w:rsidR="00D57F4E" w:rsidRPr="00D57F4E">
        <w:t xml:space="preserve"> between loot box</w:t>
      </w:r>
      <w:r w:rsidR="00A34DB5">
        <w:t xml:space="preserve"> expenditure</w:t>
      </w:r>
      <w:r w:rsidR="00D57F4E" w:rsidRPr="00D57F4E">
        <w:t xml:space="preserve"> and gambling problems</w:t>
      </w:r>
      <w:r w:rsidR="00A34DB5">
        <w:t xml:space="preserve">. </w:t>
      </w:r>
    </w:p>
    <w:p w14:paraId="2700EC86" w14:textId="30BBFF44" w:rsidR="00F12FAA" w:rsidRDefault="00D373E2" w:rsidP="00897FF2">
      <w:pPr>
        <w:pStyle w:val="BodyText"/>
      </w:pPr>
      <w:r>
        <w:t>Most research</w:t>
      </w:r>
      <w:r w:rsidR="001A02B0">
        <w:t xml:space="preserve"> exploring the </w:t>
      </w:r>
      <w:r w:rsidR="001A02B0" w:rsidDel="00142B05">
        <w:t>association</w:t>
      </w:r>
      <w:r w:rsidR="001A02B0">
        <w:t xml:space="preserve"> between loot box en</w:t>
      </w:r>
      <w:r w:rsidR="00165711">
        <w:t xml:space="preserve">gagement and gambling problems </w:t>
      </w:r>
      <w:r w:rsidR="00634ACC">
        <w:t>was based on</w:t>
      </w:r>
      <w:r w:rsidR="009A4690">
        <w:t xml:space="preserve"> c</w:t>
      </w:r>
      <w:r w:rsidR="001E2BA7" w:rsidRPr="00AE598B">
        <w:t xml:space="preserve">ross-sectional </w:t>
      </w:r>
      <w:r w:rsidR="0031360B" w:rsidRPr="00AE598B">
        <w:t>survey</w:t>
      </w:r>
      <w:r w:rsidR="009A4690">
        <w:t>s</w:t>
      </w:r>
      <w:r w:rsidR="00C22B60">
        <w:t xml:space="preserve">. A total of </w:t>
      </w:r>
      <w:r w:rsidR="006D1399">
        <w:t>1</w:t>
      </w:r>
      <w:r w:rsidR="008347B3">
        <w:t>8</w:t>
      </w:r>
      <w:r w:rsidR="001C5691">
        <w:t xml:space="preserve"> </w:t>
      </w:r>
      <w:r w:rsidR="00E81764">
        <w:t>studies</w:t>
      </w:r>
      <w:r w:rsidR="007579C2">
        <w:t>,</w:t>
      </w:r>
      <w:r w:rsidR="00E81764">
        <w:t xml:space="preserve"> </w:t>
      </w:r>
      <w:r w:rsidR="007D13BC">
        <w:t xml:space="preserve">rated as </w:t>
      </w:r>
      <w:r w:rsidR="000517D9">
        <w:t xml:space="preserve">medium </w:t>
      </w:r>
      <w:r w:rsidR="00C245D1">
        <w:t>strength/</w:t>
      </w:r>
      <w:r w:rsidR="00744589">
        <w:t>value</w:t>
      </w:r>
      <w:r w:rsidR="00C245D1">
        <w:t xml:space="preserve"> of e</w:t>
      </w:r>
      <w:r w:rsidR="00D05DB5">
        <w:t xml:space="preserve">vidence and </w:t>
      </w:r>
      <w:r w:rsidR="00634ACC">
        <w:t>medium-high</w:t>
      </w:r>
      <w:r w:rsidR="000517D9">
        <w:t xml:space="preserve"> generalisability </w:t>
      </w:r>
      <w:r w:rsidR="002A4A33">
        <w:t>reported</w:t>
      </w:r>
      <w:r w:rsidR="00AB7E61">
        <w:t xml:space="preserve"> </w:t>
      </w:r>
      <w:r w:rsidR="00B60AD3">
        <w:t xml:space="preserve">a </w:t>
      </w:r>
      <w:r w:rsidR="00333E58">
        <w:t xml:space="preserve">relationship between loot box </w:t>
      </w:r>
      <w:r w:rsidR="003805C3">
        <w:t xml:space="preserve">engagement </w:t>
      </w:r>
      <w:r w:rsidR="00011075">
        <w:t>and gambling problems</w:t>
      </w:r>
      <w:r w:rsidR="00C22B60">
        <w:t xml:space="preserve">. </w:t>
      </w:r>
      <w:r w:rsidR="003B053B">
        <w:t xml:space="preserve">There was less evidence for </w:t>
      </w:r>
      <w:r w:rsidR="00936055">
        <w:t xml:space="preserve">an association between loot </w:t>
      </w:r>
      <w:r w:rsidR="000B3485">
        <w:t>box</w:t>
      </w:r>
      <w:r w:rsidR="002A4A33">
        <w:t xml:space="preserve"> consumption</w:t>
      </w:r>
      <w:r w:rsidR="00C95FC5">
        <w:t xml:space="preserve"> and </w:t>
      </w:r>
      <w:r w:rsidR="00101E11">
        <w:t xml:space="preserve">other </w:t>
      </w:r>
      <w:r w:rsidR="00C95FC5">
        <w:t>gambling</w:t>
      </w:r>
      <w:r w:rsidR="002A4A33">
        <w:t xml:space="preserve"> </w:t>
      </w:r>
      <w:r w:rsidR="00C95FC5">
        <w:t>harms</w:t>
      </w:r>
      <w:r w:rsidR="00461E10">
        <w:t xml:space="preserve"> (Carey, </w:t>
      </w:r>
      <w:proofErr w:type="spellStart"/>
      <w:r w:rsidR="00461E10">
        <w:t>Delfabbro</w:t>
      </w:r>
      <w:proofErr w:type="spellEnd"/>
      <w:r w:rsidR="00461E10">
        <w:t xml:space="preserve">, &amp; King, 2021; </w:t>
      </w:r>
      <w:proofErr w:type="spellStart"/>
      <w:r w:rsidR="00DB5860">
        <w:t>Rockloff</w:t>
      </w:r>
      <w:proofErr w:type="spellEnd"/>
      <w:r w:rsidR="00DB5860">
        <w:t xml:space="preserve"> et al., </w:t>
      </w:r>
      <w:r w:rsidR="008E6CE9">
        <w:t>2021)</w:t>
      </w:r>
      <w:r w:rsidR="00651757">
        <w:t xml:space="preserve">. </w:t>
      </w:r>
      <w:r w:rsidR="001A02B0">
        <w:t>Some of the</w:t>
      </w:r>
      <w:r w:rsidR="001A02B0" w:rsidRPr="00B60AD3">
        <w:t xml:space="preserve"> literature reviews and meta-analyses (above) included </w:t>
      </w:r>
      <w:r w:rsidR="001A02B0">
        <w:t>these</w:t>
      </w:r>
      <w:r w:rsidR="001A02B0" w:rsidRPr="00B60AD3">
        <w:t xml:space="preserve"> cross-sectional studies within their scope.</w:t>
      </w:r>
    </w:p>
    <w:p w14:paraId="697E977C" w14:textId="77777777" w:rsidR="002F42C6" w:rsidRPr="00521D0F" w:rsidRDefault="002F42C6" w:rsidP="000B2101">
      <w:pPr>
        <w:pStyle w:val="Heading4"/>
      </w:pPr>
      <w:r w:rsidRPr="00521D0F">
        <w:t xml:space="preserve">Opening </w:t>
      </w:r>
      <w:r w:rsidR="00347D37">
        <w:t xml:space="preserve">and purchasing </w:t>
      </w:r>
      <w:r w:rsidRPr="00521D0F">
        <w:t>loot boxes</w:t>
      </w:r>
    </w:p>
    <w:p w14:paraId="388662D6" w14:textId="373C9B7C" w:rsidR="006A617A" w:rsidRDefault="00B019B5" w:rsidP="00897FF2">
      <w:pPr>
        <w:pStyle w:val="BodyText"/>
      </w:pPr>
      <w:r>
        <w:t>O</w:t>
      </w:r>
      <w:r w:rsidR="002757ED">
        <w:t>pening</w:t>
      </w:r>
      <w:r w:rsidR="006A617A">
        <w:t xml:space="preserve"> for free</w:t>
      </w:r>
      <w:r w:rsidR="00347D37">
        <w:t xml:space="preserve"> </w:t>
      </w:r>
      <w:r w:rsidR="006A617A">
        <w:t xml:space="preserve">and </w:t>
      </w:r>
      <w:r w:rsidR="00347D37">
        <w:t>purchasing</w:t>
      </w:r>
      <w:r w:rsidR="002757ED">
        <w:t xml:space="preserve"> loot box</w:t>
      </w:r>
      <w:r w:rsidR="006A617A">
        <w:t>es ha</w:t>
      </w:r>
      <w:r w:rsidR="00BC5518">
        <w:t>ve</w:t>
      </w:r>
      <w:r w:rsidR="006A617A">
        <w:t xml:space="preserve"> been </w:t>
      </w:r>
      <w:r w:rsidR="00314BA0">
        <w:t xml:space="preserve">found to be associated with </w:t>
      </w:r>
      <w:r w:rsidR="00962CE1">
        <w:t xml:space="preserve">a </w:t>
      </w:r>
      <w:r w:rsidR="006A617A">
        <w:t xml:space="preserve">higher </w:t>
      </w:r>
      <w:r w:rsidR="00DF6027">
        <w:t>risk of</w:t>
      </w:r>
      <w:r w:rsidR="00383511">
        <w:t xml:space="preserve"> gambling </w:t>
      </w:r>
      <w:r w:rsidR="00116AF2">
        <w:t xml:space="preserve">problems </w:t>
      </w:r>
      <w:r w:rsidR="00CD2047">
        <w:t xml:space="preserve">in samples of </w:t>
      </w:r>
      <w:r w:rsidR="00FB6DAB" w:rsidRPr="00AE598B">
        <w:t xml:space="preserve">Australian </w:t>
      </w:r>
      <w:r w:rsidR="00CD2047">
        <w:t xml:space="preserve">adolescents </w:t>
      </w:r>
      <w:r w:rsidR="00E34AD0">
        <w:t xml:space="preserve">aged </w:t>
      </w:r>
      <w:r w:rsidR="00CD2047">
        <w:t>12</w:t>
      </w:r>
      <w:r w:rsidR="00E34AD0">
        <w:t>–</w:t>
      </w:r>
      <w:r w:rsidR="00CD2047">
        <w:t>17 years (</w:t>
      </w:r>
      <w:r w:rsidR="00DF6027" w:rsidRPr="00DF6027">
        <w:t>Hing et al., 2020</w:t>
      </w:r>
      <w:r w:rsidR="00DF6027">
        <w:t xml:space="preserve">; </w:t>
      </w:r>
      <w:proofErr w:type="spellStart"/>
      <w:r w:rsidR="00CD2047">
        <w:t>Rockloff</w:t>
      </w:r>
      <w:proofErr w:type="spellEnd"/>
      <w:r w:rsidR="00CD2047">
        <w:t xml:space="preserve"> et al., 2020</w:t>
      </w:r>
      <w:r w:rsidR="006B796F">
        <w:t>,</w:t>
      </w:r>
      <w:r w:rsidR="00514A6D">
        <w:t xml:space="preserve"> 2021</w:t>
      </w:r>
      <w:r w:rsidR="00CD2047">
        <w:t xml:space="preserve">) and young adults </w:t>
      </w:r>
      <w:r w:rsidR="000A1DDD">
        <w:t xml:space="preserve">aged </w:t>
      </w:r>
      <w:r w:rsidR="00CD2047">
        <w:t>18</w:t>
      </w:r>
      <w:r w:rsidR="00E34AD0">
        <w:t>–</w:t>
      </w:r>
      <w:r w:rsidR="00CD2047">
        <w:t>24 years (</w:t>
      </w:r>
      <w:proofErr w:type="spellStart"/>
      <w:r w:rsidR="00CD2047">
        <w:t>Rockloff</w:t>
      </w:r>
      <w:proofErr w:type="spellEnd"/>
      <w:r w:rsidR="00CD2047">
        <w:t xml:space="preserve"> et al., </w:t>
      </w:r>
      <w:r w:rsidR="009C3142">
        <w:t>2020</w:t>
      </w:r>
      <w:r w:rsidR="0080237F">
        <w:t>,</w:t>
      </w:r>
      <w:r w:rsidR="009C3142">
        <w:t xml:space="preserve"> </w:t>
      </w:r>
      <w:r w:rsidR="00CD2047">
        <w:t>2021; Russell et al., 2020), and 25</w:t>
      </w:r>
      <w:r w:rsidR="005464B0">
        <w:t>–</w:t>
      </w:r>
      <w:r w:rsidR="00CD2047">
        <w:t>29 years (Russell et al., 2020)</w:t>
      </w:r>
      <w:r w:rsidR="008A70C6">
        <w:t>.</w:t>
      </w:r>
      <w:r w:rsidR="00774047">
        <w:t xml:space="preserve"> </w:t>
      </w:r>
      <w:r w:rsidR="00A16F7B">
        <w:t xml:space="preserve">Russell and colleagues (2020) found </w:t>
      </w:r>
      <w:r w:rsidR="00986F6D">
        <w:t>that</w:t>
      </w:r>
      <w:r w:rsidR="00E66111" w:rsidRPr="00E66111">
        <w:t xml:space="preserve"> </w:t>
      </w:r>
      <w:r w:rsidR="000F3B9A">
        <w:t xml:space="preserve">young adults who reported </w:t>
      </w:r>
      <w:r w:rsidR="00A420C7">
        <w:t xml:space="preserve">opening or purchasing of loot boxes </w:t>
      </w:r>
      <w:r w:rsidR="003A06C7">
        <w:t xml:space="preserve">more frequently </w:t>
      </w:r>
      <w:r w:rsidR="00EB7FCF">
        <w:t xml:space="preserve">were more likely to have experienced gambling problems at some point in their </w:t>
      </w:r>
      <w:proofErr w:type="gramStart"/>
      <w:r w:rsidR="00EB7FCF">
        <w:t>life</w:t>
      </w:r>
      <w:r w:rsidR="00B65DA5">
        <w:t>time</w:t>
      </w:r>
      <w:r w:rsidR="001663DF">
        <w:t>, but</w:t>
      </w:r>
      <w:proofErr w:type="gramEnd"/>
      <w:r w:rsidR="001663DF" w:rsidRPr="001663DF">
        <w:t xml:space="preserve"> </w:t>
      </w:r>
      <w:r w:rsidR="001663DF">
        <w:t xml:space="preserve">purchasing </w:t>
      </w:r>
      <w:r w:rsidR="001663DF" w:rsidRPr="00E66111">
        <w:t>loot boxes for the first time prior to 18 years was not associated with increased risk</w:t>
      </w:r>
      <w:r w:rsidR="001663DF">
        <w:t>.</w:t>
      </w:r>
      <w:r w:rsidR="000F3B9A">
        <w:t xml:space="preserve"> </w:t>
      </w:r>
      <w:r w:rsidR="00984E54">
        <w:t xml:space="preserve">In addition, </w:t>
      </w:r>
      <w:proofErr w:type="spellStart"/>
      <w:r w:rsidR="00774047">
        <w:t>Rockloff</w:t>
      </w:r>
      <w:proofErr w:type="spellEnd"/>
      <w:r w:rsidR="00774047">
        <w:t xml:space="preserve"> and </w:t>
      </w:r>
      <w:r w:rsidR="001876EF">
        <w:t>colleagues</w:t>
      </w:r>
      <w:r w:rsidR="00774047">
        <w:t xml:space="preserve"> (2020, 2021) found that </w:t>
      </w:r>
      <w:r w:rsidR="00DC3958">
        <w:t xml:space="preserve">the </w:t>
      </w:r>
      <w:r w:rsidR="00DC3958" w:rsidDel="00142B05">
        <w:t>association</w:t>
      </w:r>
      <w:r w:rsidR="00DC3958">
        <w:t xml:space="preserve"> between loot box engagement and gambling problems increased as engagement increased; </w:t>
      </w:r>
      <w:r w:rsidR="009F454D">
        <w:t>play</w:t>
      </w:r>
      <w:r w:rsidR="00DC3958">
        <w:t>ing</w:t>
      </w:r>
      <w:r w:rsidR="009F454D">
        <w:t xml:space="preserve">, </w:t>
      </w:r>
      <w:proofErr w:type="gramStart"/>
      <w:r w:rsidR="009F454D">
        <w:t>opening</w:t>
      </w:r>
      <w:proofErr w:type="gramEnd"/>
      <w:r w:rsidR="00A30356">
        <w:t xml:space="preserve"> and </w:t>
      </w:r>
      <w:r w:rsidR="00DC3958">
        <w:t xml:space="preserve">purchasing </w:t>
      </w:r>
      <w:r w:rsidR="00A30356">
        <w:t>were</w:t>
      </w:r>
      <w:r w:rsidR="00DC3958">
        <w:t xml:space="preserve"> related</w:t>
      </w:r>
      <w:r w:rsidR="00A30356">
        <w:t xml:space="preserve"> to gambling problems with low, low-medium and medium-high strength respectively</w:t>
      </w:r>
      <w:r w:rsidR="00DC3958">
        <w:t>.</w:t>
      </w:r>
      <w:r w:rsidR="00620646">
        <w:t xml:space="preserve"> </w:t>
      </w:r>
    </w:p>
    <w:p w14:paraId="168A9013" w14:textId="44AAB673" w:rsidR="001F61D0" w:rsidRDefault="008A70C6" w:rsidP="00897FF2">
      <w:pPr>
        <w:pStyle w:val="BodyText"/>
      </w:pPr>
      <w:r w:rsidRPr="008A70C6">
        <w:t>International studies also report</w:t>
      </w:r>
      <w:r w:rsidR="00D05DB5">
        <w:t>ed</w:t>
      </w:r>
      <w:r w:rsidRPr="008A70C6">
        <w:t xml:space="preserve"> </w:t>
      </w:r>
      <w:r w:rsidR="00C102E9">
        <w:t>an</w:t>
      </w:r>
      <w:r w:rsidR="0097640A">
        <w:t xml:space="preserve"> </w:t>
      </w:r>
      <w:r w:rsidRPr="008A70C6">
        <w:t>association between purchasing loot boxes and gambling problems in samples of British</w:t>
      </w:r>
      <w:r w:rsidR="00D161AF">
        <w:t xml:space="preserve"> </w:t>
      </w:r>
      <w:r w:rsidRPr="008A70C6">
        <w:t>adults (</w:t>
      </w:r>
      <w:r w:rsidR="00365BEA">
        <w:t xml:space="preserve">aged </w:t>
      </w:r>
      <w:r w:rsidRPr="008A70C6">
        <w:t>16</w:t>
      </w:r>
      <w:r w:rsidR="00F420C5">
        <w:t>–</w:t>
      </w:r>
      <w:r w:rsidRPr="008A70C6">
        <w:t>24 years</w:t>
      </w:r>
      <w:r w:rsidR="00365BEA">
        <w:t xml:space="preserve"> and 18+</w:t>
      </w:r>
      <w:r w:rsidRPr="008A70C6">
        <w:t xml:space="preserve">) (Wardle &amp; </w:t>
      </w:r>
      <w:proofErr w:type="spellStart"/>
      <w:r w:rsidRPr="008A70C6">
        <w:t>Zendle</w:t>
      </w:r>
      <w:proofErr w:type="spellEnd"/>
      <w:r w:rsidRPr="008A70C6">
        <w:t>, 2021</w:t>
      </w:r>
      <w:r w:rsidR="00365BEA">
        <w:t xml:space="preserve">; </w:t>
      </w:r>
      <w:r w:rsidR="00365BEA" w:rsidRPr="00365BEA">
        <w:t>(</w:t>
      </w:r>
      <w:proofErr w:type="spellStart"/>
      <w:r w:rsidR="00365BEA" w:rsidRPr="00365BEA">
        <w:t>Zendle</w:t>
      </w:r>
      <w:proofErr w:type="spellEnd"/>
      <w:r w:rsidR="00365BEA" w:rsidRPr="00365BEA">
        <w:t>, 2020</w:t>
      </w:r>
      <w:r w:rsidRPr="008A70C6">
        <w:t>), Spanish adolescent</w:t>
      </w:r>
      <w:r w:rsidR="00E02F92">
        <w:t>s</w:t>
      </w:r>
      <w:r w:rsidRPr="008A70C6">
        <w:t xml:space="preserve"> and young adults (González-Cabrera et al., 2022), Danish adolescents (Kristiansen &amp; Severin, 2020b),</w:t>
      </w:r>
      <w:r w:rsidR="00E02F92">
        <w:t xml:space="preserve"> </w:t>
      </w:r>
      <w:r w:rsidR="006A045D" w:rsidRPr="006A045D">
        <w:t>adolescent gamers (</w:t>
      </w:r>
      <w:proofErr w:type="spellStart"/>
      <w:r w:rsidR="006A045D" w:rsidRPr="006A045D">
        <w:t>Zendle</w:t>
      </w:r>
      <w:proofErr w:type="spellEnd"/>
      <w:r w:rsidR="006A045D" w:rsidRPr="006A045D">
        <w:t xml:space="preserve">, Meyer, &amp; Over, 2019), </w:t>
      </w:r>
      <w:r w:rsidRPr="008A70C6">
        <w:t xml:space="preserve">German adult internet users (von </w:t>
      </w:r>
      <w:proofErr w:type="spellStart"/>
      <w:r w:rsidRPr="008A70C6">
        <w:t>Meduna</w:t>
      </w:r>
      <w:proofErr w:type="spellEnd"/>
      <w:r w:rsidRPr="008A70C6">
        <w:t xml:space="preserve"> et al., 2020), </w:t>
      </w:r>
      <w:r w:rsidR="006A045D" w:rsidRPr="006A045D">
        <w:t xml:space="preserve">US adult </w:t>
      </w:r>
      <w:r w:rsidR="000425E3" w:rsidRPr="006A045D">
        <w:t>video</w:t>
      </w:r>
      <w:r w:rsidR="000425E3">
        <w:t>-</w:t>
      </w:r>
      <w:r w:rsidR="006A045D" w:rsidRPr="006A045D">
        <w:t xml:space="preserve">gamers (Li </w:t>
      </w:r>
      <w:r w:rsidR="000435A7">
        <w:t>et al.</w:t>
      </w:r>
      <w:r w:rsidR="006A045D" w:rsidRPr="006A045D">
        <w:t xml:space="preserve">, 2019), </w:t>
      </w:r>
      <w:r w:rsidR="0042197C">
        <w:t>an international sample of</w:t>
      </w:r>
      <w:r w:rsidR="0042197C" w:rsidRPr="008A70C6">
        <w:t xml:space="preserve"> video gamers (Macey &amp; </w:t>
      </w:r>
      <w:proofErr w:type="spellStart"/>
      <w:r w:rsidR="0042197C" w:rsidRPr="008A70C6">
        <w:t>Hamari</w:t>
      </w:r>
      <w:proofErr w:type="spellEnd"/>
      <w:r w:rsidR="0042197C" w:rsidRPr="008A70C6">
        <w:t>, 201</w:t>
      </w:r>
      <w:r w:rsidR="007F68B4">
        <w:t>8</w:t>
      </w:r>
      <w:r w:rsidR="0042197C" w:rsidRPr="008A70C6">
        <w:t>)</w:t>
      </w:r>
      <w:r w:rsidR="0042197C">
        <w:t>, and</w:t>
      </w:r>
      <w:r w:rsidR="0042197C" w:rsidRPr="008A70C6">
        <w:t xml:space="preserve"> </w:t>
      </w:r>
      <w:r w:rsidR="00E17B57">
        <w:t xml:space="preserve">a sample of </w:t>
      </w:r>
      <w:r w:rsidR="00375C19">
        <w:t>video gamers</w:t>
      </w:r>
      <w:r w:rsidR="009A5258">
        <w:t xml:space="preserve"> </w:t>
      </w:r>
      <w:r w:rsidR="00E17B57">
        <w:t xml:space="preserve">who had recently opened a </w:t>
      </w:r>
      <w:r w:rsidR="00E17B57" w:rsidRPr="00E17B57">
        <w:t xml:space="preserve">loot box </w:t>
      </w:r>
      <w:r w:rsidRPr="008A70C6">
        <w:t>(</w:t>
      </w:r>
      <w:proofErr w:type="spellStart"/>
      <w:r w:rsidRPr="008A70C6">
        <w:t>Zendle</w:t>
      </w:r>
      <w:proofErr w:type="spellEnd"/>
      <w:r w:rsidR="00086BD7">
        <w:t>, Cairns, Barrett, &amp; McCall</w:t>
      </w:r>
      <w:r w:rsidRPr="008A70C6">
        <w:t>, 20</w:t>
      </w:r>
      <w:r w:rsidR="00086BD7">
        <w:t>19</w:t>
      </w:r>
      <w:r w:rsidRPr="008A70C6">
        <w:t>)</w:t>
      </w:r>
      <w:r w:rsidR="00A15A4F">
        <w:t>.</w:t>
      </w:r>
      <w:r w:rsidRPr="008A70C6">
        <w:t xml:space="preserve"> </w:t>
      </w:r>
    </w:p>
    <w:p w14:paraId="5CC5E4B2" w14:textId="77777777" w:rsidR="00B12AA7" w:rsidRDefault="00F026F9" w:rsidP="00897FF2">
      <w:pPr>
        <w:pStyle w:val="BodyText"/>
      </w:pPr>
      <w:r>
        <w:t xml:space="preserve">Wardle &amp; </w:t>
      </w:r>
      <w:proofErr w:type="spellStart"/>
      <w:r>
        <w:t>Zendle</w:t>
      </w:r>
      <w:proofErr w:type="spellEnd"/>
      <w:r>
        <w:t xml:space="preserve"> (2021) found that</w:t>
      </w:r>
      <w:r w:rsidR="001F61D0">
        <w:t>, among pay-to-win</w:t>
      </w:r>
      <w:r>
        <w:t xml:space="preserve"> </w:t>
      </w:r>
      <w:r w:rsidR="00BE7A59">
        <w:t>video game</w:t>
      </w:r>
      <w:r w:rsidR="001F61D0">
        <w:t xml:space="preserve"> players, those</w:t>
      </w:r>
      <w:r w:rsidR="00BE7A59">
        <w:t xml:space="preserve"> who had purchased loot boxes in the past 12 months were around 12 times </w:t>
      </w:r>
      <w:r w:rsidR="001F61D0">
        <w:t>more</w:t>
      </w:r>
      <w:r w:rsidR="00BE7A59">
        <w:t xml:space="preserve"> likely </w:t>
      </w:r>
      <w:r w:rsidR="001F61D0">
        <w:t xml:space="preserve">to be </w:t>
      </w:r>
      <w:r w:rsidR="00516009">
        <w:t xml:space="preserve">classified as experiencing </w:t>
      </w:r>
      <w:r w:rsidR="001F61D0">
        <w:t>problem gambl</w:t>
      </w:r>
      <w:r w:rsidR="00516009">
        <w:t>ing</w:t>
      </w:r>
      <w:r w:rsidR="001F61D0">
        <w:t xml:space="preserve"> than those who had not.</w:t>
      </w:r>
      <w:r w:rsidR="00BE7A59">
        <w:t xml:space="preserve"> </w:t>
      </w:r>
    </w:p>
    <w:p w14:paraId="2EE3588E" w14:textId="6A919F4C" w:rsidR="009F60F6" w:rsidRPr="00F13C6D" w:rsidRDefault="00D80AB9" w:rsidP="000B2101">
      <w:pPr>
        <w:pStyle w:val="Heading4"/>
      </w:pPr>
      <w:r w:rsidRPr="00F13C6D">
        <w:t>Loot box e</w:t>
      </w:r>
      <w:r w:rsidR="00985AA2" w:rsidRPr="00F13C6D">
        <w:t>xpenditure</w:t>
      </w:r>
    </w:p>
    <w:p w14:paraId="62C91BE5" w14:textId="272FB63D" w:rsidR="00F30809" w:rsidRDefault="00400C16" w:rsidP="00897FF2">
      <w:pPr>
        <w:pStyle w:val="BodyText"/>
      </w:pPr>
      <w:r>
        <w:t>Several studies found a</w:t>
      </w:r>
      <w:r w:rsidR="00C367E8">
        <w:t xml:space="preserve">n association between </w:t>
      </w:r>
      <w:r w:rsidR="00BB3255">
        <w:t>higher</w:t>
      </w:r>
      <w:r w:rsidR="00E25C8C">
        <w:t xml:space="preserve"> </w:t>
      </w:r>
      <w:r w:rsidR="002C1A4C">
        <w:t>loot box expenditure</w:t>
      </w:r>
      <w:r w:rsidR="00CC4B19">
        <w:t xml:space="preserve"> and </w:t>
      </w:r>
      <w:r w:rsidR="00821DF5">
        <w:t>increased</w:t>
      </w:r>
      <w:r w:rsidR="00052946">
        <w:t xml:space="preserve"> levels of </w:t>
      </w:r>
      <w:r w:rsidR="00CD108F">
        <w:t>problem gambling</w:t>
      </w:r>
      <w:r w:rsidR="00B41B14">
        <w:t xml:space="preserve"> in </w:t>
      </w:r>
      <w:r w:rsidR="00383F6D">
        <w:t xml:space="preserve">samples from </w:t>
      </w:r>
      <w:r w:rsidR="00130E3E">
        <w:t xml:space="preserve">Australia, </w:t>
      </w:r>
      <w:r w:rsidR="00130E3E" w:rsidRPr="00AE598B">
        <w:t>New Zealand, the United States (</w:t>
      </w:r>
      <w:r w:rsidR="00130E3E">
        <w:t>Drummond</w:t>
      </w:r>
      <w:r w:rsidR="00F71CB3">
        <w:t xml:space="preserve">, </w:t>
      </w:r>
      <w:r w:rsidR="00F71CB3" w:rsidRPr="00FF2FE2">
        <w:t xml:space="preserve">Sauer, </w:t>
      </w:r>
      <w:r w:rsidR="00F71CB3">
        <w:t xml:space="preserve">Ferguson, &amp; Hall, </w:t>
      </w:r>
      <w:r w:rsidR="006B787E">
        <w:t xml:space="preserve">2020; </w:t>
      </w:r>
      <w:r w:rsidR="00130E3E" w:rsidRPr="00AE598B">
        <w:t>Hall</w:t>
      </w:r>
      <w:r w:rsidR="00083262">
        <w:t>, Drummond, Sauer, &amp; Ferguson,</w:t>
      </w:r>
      <w:r w:rsidR="00083262" w:rsidRPr="00AE598B">
        <w:t xml:space="preserve"> </w:t>
      </w:r>
      <w:r w:rsidR="00130E3E" w:rsidRPr="00AE598B">
        <w:t>2021</w:t>
      </w:r>
      <w:r w:rsidR="00953632">
        <w:t xml:space="preserve">; King, </w:t>
      </w:r>
      <w:r w:rsidR="00953632" w:rsidRPr="00290BF3">
        <w:t>Wong-</w:t>
      </w:r>
      <w:proofErr w:type="spellStart"/>
      <w:r w:rsidR="00953632" w:rsidRPr="00290BF3">
        <w:t>Padoongpatt</w:t>
      </w:r>
      <w:proofErr w:type="spellEnd"/>
      <w:r w:rsidR="00953632">
        <w:t xml:space="preserve">, </w:t>
      </w:r>
      <w:proofErr w:type="spellStart"/>
      <w:r w:rsidR="00953632">
        <w:t>Barrita</w:t>
      </w:r>
      <w:proofErr w:type="spellEnd"/>
      <w:r w:rsidR="00953632">
        <w:t>, Phung, &amp; Tong, 2020</w:t>
      </w:r>
      <w:r w:rsidR="00130E3E" w:rsidRPr="00AE598B">
        <w:t>)</w:t>
      </w:r>
      <w:r w:rsidR="006B787E">
        <w:t xml:space="preserve"> and </w:t>
      </w:r>
      <w:r w:rsidR="00BD0825">
        <w:t xml:space="preserve">other </w:t>
      </w:r>
      <w:r w:rsidR="006B787E">
        <w:t>internationa</w:t>
      </w:r>
      <w:r w:rsidR="00B16BDC">
        <w:t xml:space="preserve">l </w:t>
      </w:r>
      <w:r w:rsidR="00101B9C">
        <w:t xml:space="preserve">samples </w:t>
      </w:r>
      <w:r w:rsidR="00B37D53">
        <w:t>(</w:t>
      </w:r>
      <w:r w:rsidR="00E3768E">
        <w:t xml:space="preserve">Brooks &amp; Clark, 2019; </w:t>
      </w:r>
      <w:r w:rsidR="00B23B94">
        <w:t>Drummond, Sauer, &amp; Hall, 2019</w:t>
      </w:r>
      <w:r w:rsidR="00546848">
        <w:t xml:space="preserve">; </w:t>
      </w:r>
      <w:proofErr w:type="spellStart"/>
      <w:r w:rsidR="00B37D53" w:rsidRPr="00AE598B">
        <w:t>Zendle</w:t>
      </w:r>
      <w:proofErr w:type="spellEnd"/>
      <w:r w:rsidR="00B37D53" w:rsidRPr="00AE598B">
        <w:t xml:space="preserve"> &amp; Cairns, 2018</w:t>
      </w:r>
      <w:r w:rsidR="00896FF8">
        <w:t>; 2019</w:t>
      </w:r>
      <w:r w:rsidR="00E25C8C">
        <w:t xml:space="preserve">; </w:t>
      </w:r>
      <w:proofErr w:type="spellStart"/>
      <w:r w:rsidR="00E25C8C" w:rsidRPr="00AE598B">
        <w:t>Zendle</w:t>
      </w:r>
      <w:proofErr w:type="spellEnd"/>
      <w:r w:rsidR="00E25C8C" w:rsidRPr="00AE598B">
        <w:t xml:space="preserve">, Meyer </w:t>
      </w:r>
      <w:r w:rsidR="0056198F">
        <w:t>et al.,</w:t>
      </w:r>
      <w:r w:rsidR="0056198F" w:rsidRPr="00AE598B">
        <w:t xml:space="preserve"> </w:t>
      </w:r>
      <w:r w:rsidR="00E25C8C" w:rsidRPr="00AE598B">
        <w:t>2019</w:t>
      </w:r>
      <w:r w:rsidR="00E25C8C">
        <w:t xml:space="preserve">; </w:t>
      </w:r>
      <w:proofErr w:type="spellStart"/>
      <w:r w:rsidR="00E25C8C" w:rsidRPr="00AE598B">
        <w:t>Zendle</w:t>
      </w:r>
      <w:proofErr w:type="spellEnd"/>
      <w:r w:rsidR="00E565C3">
        <w:t xml:space="preserve">, Cairns </w:t>
      </w:r>
      <w:r w:rsidR="00E25C8C" w:rsidRPr="00AE598B">
        <w:t>et al., 20</w:t>
      </w:r>
      <w:r w:rsidR="00E565C3">
        <w:t>19</w:t>
      </w:r>
      <w:r w:rsidR="00896FF8">
        <w:t>)</w:t>
      </w:r>
      <w:r w:rsidR="00220BB3">
        <w:t xml:space="preserve">. </w:t>
      </w:r>
      <w:r w:rsidR="009F60F6" w:rsidRPr="00AE598B">
        <w:t>In a secondary analysis of data</w:t>
      </w:r>
      <w:r w:rsidR="000252AC">
        <w:t xml:space="preserve"> </w:t>
      </w:r>
      <w:r w:rsidR="009F60F6" w:rsidRPr="00AE598B">
        <w:t xml:space="preserve">using six aggregated datasets, Close and colleagues (2021) found a moderate positive relationship between loot box </w:t>
      </w:r>
      <w:r w:rsidR="003A47F5">
        <w:t>expenditure</w:t>
      </w:r>
      <w:r w:rsidR="009F60F6" w:rsidRPr="00AE598B">
        <w:t xml:space="preserve"> and </w:t>
      </w:r>
      <w:r w:rsidR="007C7C15">
        <w:t>at-risk problem gambling.</w:t>
      </w:r>
      <w:r w:rsidR="000C611B">
        <w:t xml:space="preserve"> </w:t>
      </w:r>
      <w:r w:rsidR="00774047">
        <w:t>The frequency of purchasing was also found to be a significant factor associate</w:t>
      </w:r>
      <w:r w:rsidR="00773E80">
        <w:t>d</w:t>
      </w:r>
      <w:r w:rsidR="00774047">
        <w:t xml:space="preserve"> with increased risk of gambling problems (</w:t>
      </w:r>
      <w:proofErr w:type="spellStart"/>
      <w:r w:rsidR="00774047">
        <w:t>Zendle</w:t>
      </w:r>
      <w:proofErr w:type="spellEnd"/>
      <w:r w:rsidR="00774047">
        <w:t>, 2020).</w:t>
      </w:r>
    </w:p>
    <w:p w14:paraId="2ED8CC2B" w14:textId="72A34844" w:rsidR="002639B5" w:rsidRDefault="002639B5" w:rsidP="00897FF2">
      <w:pPr>
        <w:pStyle w:val="BodyText"/>
      </w:pPr>
      <w:r>
        <w:t>Two pre-registered and peer-reviewed studies</w:t>
      </w:r>
      <w:r w:rsidR="00A84954">
        <w:t xml:space="preserve"> of high value</w:t>
      </w:r>
      <w:r>
        <w:t xml:space="preserve"> examined how endorsement of different loot box features moderated the relationship between loot box spending and problem gambling severity (</w:t>
      </w:r>
      <w:proofErr w:type="spellStart"/>
      <w:r>
        <w:t>Zendle</w:t>
      </w:r>
      <w:proofErr w:type="spellEnd"/>
      <w:r>
        <w:t xml:space="preserve">, Meyer, &amp; Over, 2019; </w:t>
      </w:r>
      <w:proofErr w:type="spellStart"/>
      <w:r>
        <w:t>Zendle</w:t>
      </w:r>
      <w:proofErr w:type="spellEnd"/>
      <w:r>
        <w:t xml:space="preserve">, Cairns, et al., 2019). </w:t>
      </w:r>
      <w:r w:rsidR="00C84F86">
        <w:t xml:space="preserve">The authors </w:t>
      </w:r>
      <w:r w:rsidR="00C84F86">
        <w:lastRenderedPageBreak/>
        <w:t xml:space="preserve">observed that regardless of the presence or absence of specific features, </w:t>
      </w:r>
      <w:r w:rsidR="00443420">
        <w:t>loot box</w:t>
      </w:r>
      <w:r w:rsidR="00976BBB">
        <w:t xml:space="preserve"> purchasing (using real-world money/fiat currency) predicted greater risk of</w:t>
      </w:r>
      <w:r w:rsidR="00C84F86">
        <w:t xml:space="preserve"> problem gambling (</w:t>
      </w:r>
      <w:proofErr w:type="spellStart"/>
      <w:r w:rsidR="00C84F86">
        <w:t>Zendle</w:t>
      </w:r>
      <w:proofErr w:type="spellEnd"/>
      <w:r w:rsidR="00C84F86">
        <w:t xml:space="preserve">, Cairns, et al., 2019). </w:t>
      </w:r>
      <w:r>
        <w:t xml:space="preserve"> The first study recruited a multinational sample of adolescent gamers and found </w:t>
      </w:r>
      <w:r w:rsidRPr="000A6E7E">
        <w:t xml:space="preserve">two features of loot boxes significantly strengthened links between loot box spending and problem gambling: loot box contents being available for a limited time and games giving away free loot boxes </w:t>
      </w:r>
      <w:r>
        <w:t>(</w:t>
      </w:r>
      <w:proofErr w:type="spellStart"/>
      <w:r>
        <w:t>Zendle</w:t>
      </w:r>
      <w:proofErr w:type="spellEnd"/>
      <w:r>
        <w:t>, Meyer, &amp; Over, 2019). The second study of adult past-month loot box openers found that being able to cash out, showing near misses, and letting players use in-game currency to buy loot boxes strengthened the relationship between loot box spending and problem gambling (</w:t>
      </w:r>
      <w:proofErr w:type="spellStart"/>
      <w:r>
        <w:t>Zendle</w:t>
      </w:r>
      <w:proofErr w:type="spellEnd"/>
      <w:r>
        <w:t xml:space="preserve">, Cairns, et al., 2019). </w:t>
      </w:r>
    </w:p>
    <w:p w14:paraId="58401800" w14:textId="77777777" w:rsidR="00FB6DAB" w:rsidRPr="00F13C6D" w:rsidRDefault="00FB6DAB" w:rsidP="000B2101">
      <w:pPr>
        <w:pStyle w:val="Heading4"/>
      </w:pPr>
      <w:r w:rsidRPr="00F13C6D">
        <w:t>Selling items from loot boxes</w:t>
      </w:r>
    </w:p>
    <w:p w14:paraId="2DE5A2D9" w14:textId="187FDBA5" w:rsidR="009B6575" w:rsidRDefault="009A430E" w:rsidP="00897FF2">
      <w:pPr>
        <w:pStyle w:val="BodyText"/>
      </w:pPr>
      <w:r w:rsidRPr="007940C3">
        <w:t xml:space="preserve">Items obtained from loot boxes can be sold for real money on </w:t>
      </w:r>
      <w:r w:rsidR="00AA3301" w:rsidRPr="007940C3">
        <w:t>third-party online platform</w:t>
      </w:r>
      <w:r w:rsidR="007D6378" w:rsidRPr="007940C3">
        <w:t>s</w:t>
      </w:r>
      <w:r w:rsidR="00AA3301" w:rsidRPr="007940C3">
        <w:t xml:space="preserve"> (e.g. a </w:t>
      </w:r>
      <w:r w:rsidR="003A47F5" w:rsidRPr="007940C3">
        <w:t>‘</w:t>
      </w:r>
      <w:r w:rsidR="00AA3301" w:rsidRPr="007940C3">
        <w:t>skin</w:t>
      </w:r>
      <w:r w:rsidR="003A47F5" w:rsidRPr="007940C3">
        <w:t>’</w:t>
      </w:r>
      <w:r w:rsidR="00AA3301" w:rsidRPr="007940C3">
        <w:t xml:space="preserve"> exchan</w:t>
      </w:r>
      <w:r w:rsidR="007D6378" w:rsidRPr="007940C3">
        <w:t>g</w:t>
      </w:r>
      <w:r w:rsidR="00AA3301" w:rsidRPr="007940C3">
        <w:t>e)</w:t>
      </w:r>
      <w:r w:rsidR="009B6575" w:rsidRPr="007940C3">
        <w:t xml:space="preserve">. </w:t>
      </w:r>
      <w:r w:rsidR="002A4EE8">
        <w:t>Adolescents and adults</w:t>
      </w:r>
      <w:r w:rsidR="00A61EFB">
        <w:t xml:space="preserve"> who</w:t>
      </w:r>
      <w:r w:rsidR="007D6378" w:rsidRPr="007940C3">
        <w:t xml:space="preserve"> </w:t>
      </w:r>
      <w:r w:rsidR="00DB461D" w:rsidRPr="007940C3">
        <w:t>sell loot box</w:t>
      </w:r>
      <w:r w:rsidR="00A61EFB">
        <w:t xml:space="preserve"> items</w:t>
      </w:r>
      <w:r w:rsidR="00F70926" w:rsidRPr="007940C3">
        <w:t xml:space="preserve"> </w:t>
      </w:r>
      <w:r w:rsidR="00305EB9">
        <w:t>have</w:t>
      </w:r>
      <w:r w:rsidR="00A61EFB">
        <w:t xml:space="preserve"> </w:t>
      </w:r>
      <w:r w:rsidR="00821DF5">
        <w:t>been found to</w:t>
      </w:r>
      <w:r w:rsidR="00F70926" w:rsidRPr="007940C3">
        <w:t xml:space="preserve"> </w:t>
      </w:r>
      <w:r w:rsidR="00305EB9">
        <w:t>have</w:t>
      </w:r>
      <w:r w:rsidR="00A61EFB">
        <w:t xml:space="preserve"> a</w:t>
      </w:r>
      <w:r w:rsidR="00F70926" w:rsidRPr="007940C3">
        <w:t xml:space="preserve"> </w:t>
      </w:r>
      <w:r w:rsidR="00EA0331" w:rsidRPr="007940C3">
        <w:t xml:space="preserve">higher risk </w:t>
      </w:r>
      <w:r w:rsidR="00A61EFB">
        <w:t>of</w:t>
      </w:r>
      <w:r w:rsidR="00EA0331" w:rsidRPr="007940C3">
        <w:t xml:space="preserve"> problem gambling</w:t>
      </w:r>
      <w:r w:rsidR="002A4EE8">
        <w:t>, both</w:t>
      </w:r>
      <w:r w:rsidR="00EA0331" w:rsidRPr="007940C3">
        <w:t xml:space="preserve"> in </w:t>
      </w:r>
      <w:r w:rsidR="00FB6DAB" w:rsidRPr="007940C3">
        <w:t>Australia (</w:t>
      </w:r>
      <w:proofErr w:type="spellStart"/>
      <w:r w:rsidR="00FB6DAB" w:rsidRPr="007940C3">
        <w:t>Rockloff</w:t>
      </w:r>
      <w:proofErr w:type="spellEnd"/>
      <w:r w:rsidR="00FB6DAB" w:rsidRPr="007940C3">
        <w:t xml:space="preserve"> et al., 2020, 2021; Russell et al., 2020)</w:t>
      </w:r>
      <w:r w:rsidR="00DB461D" w:rsidRPr="007940C3">
        <w:t xml:space="preserve">, </w:t>
      </w:r>
      <w:r w:rsidR="00EA0331" w:rsidRPr="007940C3">
        <w:t xml:space="preserve">and </w:t>
      </w:r>
      <w:r w:rsidR="002A4EE8">
        <w:t>in Denmark</w:t>
      </w:r>
      <w:r w:rsidR="002A4EE8" w:rsidRPr="007940C3">
        <w:t xml:space="preserve"> </w:t>
      </w:r>
      <w:r w:rsidR="00EA0331" w:rsidRPr="007940C3">
        <w:t>(</w:t>
      </w:r>
      <w:r w:rsidR="00DA0917" w:rsidRPr="007940C3">
        <w:t>Kristiansen &amp; Severin, 2020b</w:t>
      </w:r>
      <w:r w:rsidR="009B6575" w:rsidRPr="007940C3">
        <w:t>).</w:t>
      </w:r>
      <w:r w:rsidR="00305EB9">
        <w:t xml:space="preserve"> </w:t>
      </w:r>
      <w:r w:rsidR="002A4EE8">
        <w:t xml:space="preserve">In an Australian study, </w:t>
      </w:r>
      <w:r w:rsidR="00305EB9">
        <w:t xml:space="preserve">the association </w:t>
      </w:r>
      <w:r w:rsidR="00516FD2">
        <w:t>with gambling risk was not as strong for</w:t>
      </w:r>
      <w:r w:rsidR="00A61EFB">
        <w:t xml:space="preserve"> selling </w:t>
      </w:r>
      <w:r w:rsidR="00516FD2">
        <w:t xml:space="preserve">as it was for </w:t>
      </w:r>
      <w:r w:rsidR="00FD4E3B">
        <w:t xml:space="preserve">purchasing </w:t>
      </w:r>
      <w:r w:rsidR="003A7117">
        <w:t>loot boxes</w:t>
      </w:r>
      <w:r w:rsidR="00FD4E3B">
        <w:t xml:space="preserve"> (</w:t>
      </w:r>
      <w:proofErr w:type="spellStart"/>
      <w:r w:rsidR="00FD4E3B">
        <w:t>Rockloff</w:t>
      </w:r>
      <w:proofErr w:type="spellEnd"/>
      <w:r w:rsidR="00FD4E3B">
        <w:t xml:space="preserve"> et al., 2020).</w:t>
      </w:r>
    </w:p>
    <w:p w14:paraId="505FDDD6" w14:textId="4BE0EC94" w:rsidR="009B6176" w:rsidRPr="00A27449" w:rsidRDefault="009B6176" w:rsidP="000B2101">
      <w:pPr>
        <w:pStyle w:val="Heading4"/>
      </w:pPr>
      <w:r w:rsidRPr="00A27449">
        <w:t>Evidence of causa</w:t>
      </w:r>
      <w:r w:rsidR="00830786">
        <w:t>l link</w:t>
      </w:r>
      <w:r w:rsidRPr="00A27449">
        <w:t xml:space="preserve"> between loot boxes and gambling problems</w:t>
      </w:r>
    </w:p>
    <w:p w14:paraId="4DD22AC1" w14:textId="438FD004" w:rsidR="008B4D5F" w:rsidRPr="00171ABA" w:rsidRDefault="00AD7AD1" w:rsidP="00897FF2">
      <w:pPr>
        <w:pStyle w:val="BodyText"/>
      </w:pPr>
      <w:r>
        <w:t xml:space="preserve">As mentioned, the </w:t>
      </w:r>
      <w:r w:rsidR="009754DA">
        <w:t>reviewed studies</w:t>
      </w:r>
      <w:r>
        <w:t xml:space="preserve"> employed mostly cross-sectional designs and</w:t>
      </w:r>
      <w:r w:rsidR="009754DA">
        <w:t xml:space="preserve"> i</w:t>
      </w:r>
      <w:r w:rsidR="00717ADA">
        <w:t>t was not possible</w:t>
      </w:r>
      <w:r w:rsidR="0098015A">
        <w:t xml:space="preserve"> to determine whether </w:t>
      </w:r>
      <w:r>
        <w:t xml:space="preserve">loot </w:t>
      </w:r>
      <w:r w:rsidR="0098015A">
        <w:t xml:space="preserve">box engagement </w:t>
      </w:r>
      <w:r w:rsidR="00F44396">
        <w:rPr>
          <w:i/>
          <w:iCs/>
        </w:rPr>
        <w:t>caused</w:t>
      </w:r>
      <w:r w:rsidR="0098015A">
        <w:t xml:space="preserve"> gambling problems.</w:t>
      </w:r>
      <w:r w:rsidR="00DE5792">
        <w:t xml:space="preserve"> </w:t>
      </w:r>
      <w:r w:rsidR="008B4D5F">
        <w:t>Further</w:t>
      </w:r>
      <w:r w:rsidR="008B4D5F" w:rsidDel="002041B6">
        <w:t xml:space="preserve"> </w:t>
      </w:r>
      <w:r w:rsidR="008B4D5F">
        <w:t>investigation</w:t>
      </w:r>
      <w:r w:rsidR="00F44396">
        <w:t xml:space="preserve"> – such as </w:t>
      </w:r>
      <w:r w:rsidR="00FB3AF6">
        <w:t>via</w:t>
      </w:r>
      <w:r w:rsidR="00F44396">
        <w:t xml:space="preserve"> longitudinal stud</w:t>
      </w:r>
      <w:r w:rsidR="00FB3AF6">
        <w:t>ies</w:t>
      </w:r>
      <w:r w:rsidR="00F44396">
        <w:t xml:space="preserve"> </w:t>
      </w:r>
      <w:r w:rsidR="00546BF7">
        <w:t>– would be</w:t>
      </w:r>
      <w:r w:rsidR="008B4D5F">
        <w:t xml:space="preserve"> required to determine </w:t>
      </w:r>
      <w:r w:rsidR="008B4D5F" w:rsidRPr="00AE598B">
        <w:t>whether</w:t>
      </w:r>
      <w:r w:rsidR="00546BF7">
        <w:t>: (</w:t>
      </w:r>
      <w:proofErr w:type="spellStart"/>
      <w:r w:rsidR="00FB3AF6">
        <w:t>i</w:t>
      </w:r>
      <w:proofErr w:type="spellEnd"/>
      <w:r w:rsidR="00546BF7">
        <w:t>)</w:t>
      </w:r>
      <w:r w:rsidR="008B4D5F" w:rsidRPr="00AE598B">
        <w:t xml:space="preserve"> loot box consumption causes </w:t>
      </w:r>
      <w:r w:rsidR="008B4D5F">
        <w:t xml:space="preserve">gambling problems </w:t>
      </w:r>
      <w:r w:rsidR="008B4D5F" w:rsidRPr="00AE598B">
        <w:t>directly,</w:t>
      </w:r>
      <w:r w:rsidR="00546BF7">
        <w:t xml:space="preserve"> (</w:t>
      </w:r>
      <w:r w:rsidR="00FB3AF6">
        <w:t>ii</w:t>
      </w:r>
      <w:r w:rsidR="00546BF7">
        <w:t>)</w:t>
      </w:r>
      <w:r w:rsidR="008B4D5F" w:rsidRPr="00AE598B">
        <w:t xml:space="preserve"> those who already experience </w:t>
      </w:r>
      <w:r w:rsidR="008B4D5F">
        <w:t>gambling problems</w:t>
      </w:r>
      <w:r w:rsidR="008B4D5F" w:rsidRPr="00AE598B">
        <w:t xml:space="preserve"> are predisposed to higher loot box consumption,</w:t>
      </w:r>
      <w:r w:rsidR="00546BF7">
        <w:t xml:space="preserve"> (</w:t>
      </w:r>
      <w:r w:rsidR="00FB3AF6">
        <w:t>iii</w:t>
      </w:r>
      <w:r w:rsidR="00546BF7">
        <w:t>)</w:t>
      </w:r>
      <w:r w:rsidR="008B4D5F" w:rsidRPr="00AE598B">
        <w:t xml:space="preserve"> if there is</w:t>
      </w:r>
      <w:r w:rsidR="008B4D5F">
        <w:t xml:space="preserve"> a</w:t>
      </w:r>
      <w:r w:rsidR="008B4D5F" w:rsidRPr="00AE598B">
        <w:t xml:space="preserve"> bidirectional relationship, or</w:t>
      </w:r>
      <w:r w:rsidR="00546BF7">
        <w:t xml:space="preserve"> (</w:t>
      </w:r>
      <w:r w:rsidR="00FB3AF6">
        <w:t>iv</w:t>
      </w:r>
      <w:r w:rsidR="00546BF7">
        <w:t>)</w:t>
      </w:r>
      <w:r w:rsidR="008B4D5F" w:rsidRPr="00AE598B">
        <w:t xml:space="preserve"> if </w:t>
      </w:r>
      <w:r w:rsidR="009D378A">
        <w:t>an</w:t>
      </w:r>
      <w:r w:rsidR="00784EB3">
        <w:t xml:space="preserve">y </w:t>
      </w:r>
      <w:r w:rsidR="009D378A">
        <w:t>other</w:t>
      </w:r>
      <w:r w:rsidR="008B4D5F" w:rsidRPr="00AE598B">
        <w:t xml:space="preserve"> factor</w:t>
      </w:r>
      <w:r w:rsidR="009D378A">
        <w:t>/</w:t>
      </w:r>
      <w:r w:rsidR="008B4D5F">
        <w:t>s</w:t>
      </w:r>
      <w:r w:rsidR="008B4D5F" w:rsidRPr="00AE598B">
        <w:t xml:space="preserve"> are wholly </w:t>
      </w:r>
      <w:r w:rsidR="009D378A">
        <w:t>explaining</w:t>
      </w:r>
      <w:r w:rsidR="008B4D5F" w:rsidRPr="00AE598B">
        <w:t xml:space="preserve"> this relationship</w:t>
      </w:r>
      <w:r w:rsidR="009D378A">
        <w:t xml:space="preserve"> (mediation)</w:t>
      </w:r>
      <w:r w:rsidR="008B4D5F">
        <w:t>.</w:t>
      </w:r>
    </w:p>
    <w:p w14:paraId="4A792AD4" w14:textId="77777777" w:rsidR="00A63ACA" w:rsidRPr="007038F7" w:rsidRDefault="00B40046" w:rsidP="007038F7">
      <w:pPr>
        <w:pStyle w:val="Heading3"/>
      </w:pPr>
      <w:r w:rsidRPr="007038F7">
        <w:t>Internet g</w:t>
      </w:r>
      <w:r w:rsidR="00A63ACA" w:rsidRPr="007038F7">
        <w:t>aming disorder</w:t>
      </w:r>
    </w:p>
    <w:p w14:paraId="256CD8FD" w14:textId="19EEB9ED" w:rsidR="007D220E" w:rsidRPr="00EA5028" w:rsidRDefault="007D220E" w:rsidP="00897FF2">
      <w:pPr>
        <w:pStyle w:val="BodyText"/>
      </w:pPr>
      <w:r>
        <w:t>A total of</w:t>
      </w:r>
      <w:r w:rsidDel="00657F14">
        <w:t xml:space="preserve"> </w:t>
      </w:r>
      <w:r w:rsidR="00007BE5">
        <w:t>nine</w:t>
      </w:r>
      <w:r>
        <w:t xml:space="preserve"> </w:t>
      </w:r>
      <w:r w:rsidRPr="00F26AAB">
        <w:t>Australian</w:t>
      </w:r>
      <w:r>
        <w:t xml:space="preserve"> and international studies</w:t>
      </w:r>
      <w:r w:rsidR="005033F5">
        <w:t xml:space="preserve"> – with an average strength and </w:t>
      </w:r>
      <w:r w:rsidR="00744589">
        <w:t>value</w:t>
      </w:r>
      <w:r w:rsidR="005033F5">
        <w:t xml:space="preserve"> rating of </w:t>
      </w:r>
      <w:r w:rsidR="005033F5" w:rsidRPr="007038F7">
        <w:rPr>
          <w:b/>
        </w:rPr>
        <w:t>medium</w:t>
      </w:r>
      <w:r w:rsidR="005033F5" w:rsidRPr="00F26AAB">
        <w:t xml:space="preserve"> </w:t>
      </w:r>
      <w:r w:rsidR="005033F5">
        <w:t>–</w:t>
      </w:r>
      <w:r>
        <w:t xml:space="preserve"> found an association between </w:t>
      </w:r>
      <w:r w:rsidRPr="00EA5028">
        <w:t xml:space="preserve">loot box </w:t>
      </w:r>
      <w:r w:rsidR="0068725F" w:rsidRPr="00EA5028">
        <w:t xml:space="preserve">engagement </w:t>
      </w:r>
      <w:r w:rsidRPr="00EA5028">
        <w:t xml:space="preserve">and </w:t>
      </w:r>
      <w:r w:rsidR="008862FB" w:rsidRPr="00EA5028">
        <w:t>internet gaming disorder</w:t>
      </w:r>
      <w:r w:rsidR="00301844">
        <w:t xml:space="preserve">. </w:t>
      </w:r>
      <w:r w:rsidR="00C1141A">
        <w:t>One</w:t>
      </w:r>
      <w:r w:rsidR="00616E9D" w:rsidRPr="00EA5028">
        <w:t xml:space="preserve"> study</w:t>
      </w:r>
      <w:r w:rsidR="00301844">
        <w:t xml:space="preserve"> found an association</w:t>
      </w:r>
      <w:r w:rsidR="00616E9D" w:rsidRPr="00EA5028">
        <w:t xml:space="preserve"> with gaming harm</w:t>
      </w:r>
      <w:r w:rsidR="008862FB" w:rsidRPr="00EA5028">
        <w:t>.</w:t>
      </w:r>
      <w:r w:rsidR="003143E1">
        <w:t xml:space="preserve"> Gaming disorder was typically measured using DSM-V classification</w:t>
      </w:r>
      <w:r w:rsidR="0089011C">
        <w:t xml:space="preserve"> criteria</w:t>
      </w:r>
      <w:r w:rsidR="003143E1">
        <w:t xml:space="preserve"> </w:t>
      </w:r>
      <w:r w:rsidR="0089011C">
        <w:t>(</w:t>
      </w:r>
      <w:r w:rsidR="003143E1">
        <w:t>Internet Gaming Disorder</w:t>
      </w:r>
      <w:r w:rsidR="0089011C">
        <w:t>; IGD</w:t>
      </w:r>
      <w:r w:rsidR="002F2875">
        <w:t>).</w:t>
      </w:r>
      <w:r w:rsidR="00D51921">
        <w:t xml:space="preserve"> There was broad cross-sectional evidence demonstrating a</w:t>
      </w:r>
      <w:r w:rsidR="0085497F">
        <w:t>n association</w:t>
      </w:r>
      <w:r w:rsidR="00D51921">
        <w:t xml:space="preserve"> between loot box purchasing and higher levels of gaming disorder symptomology. The average </w:t>
      </w:r>
      <w:r w:rsidR="0085497F">
        <w:t xml:space="preserve">strength of this </w:t>
      </w:r>
      <w:r w:rsidR="00142B05">
        <w:t>relationship</w:t>
      </w:r>
      <w:r w:rsidR="00950D32">
        <w:t xml:space="preserve"> was </w:t>
      </w:r>
      <w:r w:rsidR="00950D32" w:rsidRPr="007038F7">
        <w:rPr>
          <w:b/>
        </w:rPr>
        <w:t>medium-high</w:t>
      </w:r>
      <w:r w:rsidR="00950D32">
        <w:t>,</w:t>
      </w:r>
      <w:r w:rsidR="00D51921">
        <w:t xml:space="preserve"> </w:t>
      </w:r>
      <w:r w:rsidR="0089011C">
        <w:t xml:space="preserve">though </w:t>
      </w:r>
      <w:r w:rsidR="00085C8B">
        <w:t xml:space="preserve">it </w:t>
      </w:r>
      <w:r w:rsidR="00950D32">
        <w:t>rang</w:t>
      </w:r>
      <w:r w:rsidR="0089011C">
        <w:t>ed</w:t>
      </w:r>
      <w:r w:rsidR="00D51921">
        <w:t xml:space="preserve"> from </w:t>
      </w:r>
      <w:r w:rsidR="00D51921" w:rsidRPr="00950D32">
        <w:t>low-medium</w:t>
      </w:r>
      <w:r w:rsidR="002F2875" w:rsidRPr="00950D32">
        <w:t xml:space="preserve"> </w:t>
      </w:r>
      <w:r w:rsidR="00D51921" w:rsidRPr="00950D32">
        <w:t>to high</w:t>
      </w:r>
      <w:r w:rsidR="0089011C">
        <w:rPr>
          <w:b/>
          <w:bCs/>
          <w:i/>
          <w:iCs/>
        </w:rPr>
        <w:t xml:space="preserve"> </w:t>
      </w:r>
      <w:r w:rsidR="0089011C" w:rsidRPr="0089011C">
        <w:t>(</w:t>
      </w:r>
      <w:r w:rsidR="00784EB3">
        <w:t>higher</w:t>
      </w:r>
      <w:r w:rsidR="00D51921">
        <w:t xml:space="preserve"> among adolescents</w:t>
      </w:r>
      <w:r w:rsidR="0089011C">
        <w:t>)</w:t>
      </w:r>
      <w:r w:rsidR="00D51921">
        <w:t xml:space="preserve">. </w:t>
      </w:r>
    </w:p>
    <w:p w14:paraId="4FE2003E" w14:textId="5F8604CD" w:rsidR="00784EB3" w:rsidRPr="00784EB3" w:rsidRDefault="00784EB3" w:rsidP="000B2101">
      <w:pPr>
        <w:pStyle w:val="Heading4"/>
      </w:pPr>
      <w:r>
        <w:t>L</w:t>
      </w:r>
      <w:r w:rsidRPr="00F13C6D">
        <w:t>oot box</w:t>
      </w:r>
      <w:r>
        <w:t xml:space="preserve"> engagement</w:t>
      </w:r>
    </w:p>
    <w:p w14:paraId="69D6594D" w14:textId="485EB7D9" w:rsidR="00CC57D2" w:rsidRDefault="00E207F8" w:rsidP="00897FF2">
      <w:pPr>
        <w:pStyle w:val="BodyText"/>
      </w:pPr>
      <w:r>
        <w:t>Three evidence reviews provided t</w:t>
      </w:r>
      <w:r w:rsidR="003967F0" w:rsidRPr="00EA5028">
        <w:t>he highest</w:t>
      </w:r>
      <w:r w:rsidR="00304135">
        <w:t xml:space="preserve"> </w:t>
      </w:r>
      <w:r w:rsidR="00744589">
        <w:t>value</w:t>
      </w:r>
      <w:r w:rsidR="003967F0" w:rsidRPr="00EA5028">
        <w:t xml:space="preserve"> evidence </w:t>
      </w:r>
      <w:r w:rsidR="00EA5028">
        <w:t>of</w:t>
      </w:r>
      <w:r w:rsidR="003967F0" w:rsidRPr="00EA5028">
        <w:t xml:space="preserve"> a</w:t>
      </w:r>
      <w:r w:rsidR="005A24D2">
        <w:t xml:space="preserve"> </w:t>
      </w:r>
      <w:r w:rsidR="003967F0" w:rsidRPr="00EA5028">
        <w:t xml:space="preserve">relationship between </w:t>
      </w:r>
      <w:r w:rsidR="00AE598B" w:rsidRPr="00EA5028">
        <w:t>loot box</w:t>
      </w:r>
      <w:r w:rsidR="00214EF3">
        <w:t xml:space="preserve"> engagement</w:t>
      </w:r>
      <w:r w:rsidR="001C6558" w:rsidRPr="00EA5028">
        <w:t xml:space="preserve"> </w:t>
      </w:r>
      <w:r w:rsidR="006F2C3F" w:rsidRPr="006F2C3F">
        <w:t xml:space="preserve">(mainly measured by spend) </w:t>
      </w:r>
      <w:r w:rsidR="00C76216" w:rsidRPr="00EA5028">
        <w:t xml:space="preserve">and </w:t>
      </w:r>
      <w:r w:rsidR="009E5322" w:rsidRPr="00EA5028">
        <w:t>internet gaming disorder</w:t>
      </w:r>
      <w:r w:rsidR="005330A5" w:rsidRPr="00AE598B">
        <w:t xml:space="preserve"> (</w:t>
      </w:r>
      <w:proofErr w:type="spellStart"/>
      <w:r w:rsidR="00B8632C" w:rsidRPr="00AE598B">
        <w:t>Kolandai-Matchett</w:t>
      </w:r>
      <w:proofErr w:type="spellEnd"/>
      <w:r w:rsidR="00B8632C" w:rsidRPr="00AE598B">
        <w:t xml:space="preserve"> &amp; Abbott, 2021; </w:t>
      </w:r>
      <w:r w:rsidR="00AE0379" w:rsidRPr="00AE598B">
        <w:t xml:space="preserve">Spicer et al., 2021; </w:t>
      </w:r>
      <w:r w:rsidR="005330A5" w:rsidRPr="00AE598B">
        <w:t>Yokomitsu et al., 2021)</w:t>
      </w:r>
      <w:r w:rsidR="0085170E" w:rsidRPr="00AE598B">
        <w:t>.</w:t>
      </w:r>
      <w:r w:rsidR="007A3B81">
        <w:t xml:space="preserve"> This association was medium-high strength</w:t>
      </w:r>
      <w:r w:rsidR="00317FFD">
        <w:t>.</w:t>
      </w:r>
      <w:r w:rsidR="0085170E" w:rsidRPr="00AE598B">
        <w:t xml:space="preserve"> </w:t>
      </w:r>
      <w:r w:rsidR="00E322AD">
        <w:t xml:space="preserve">Findings from </w:t>
      </w:r>
      <w:r w:rsidR="00AE0379" w:rsidRPr="00AE598B">
        <w:t xml:space="preserve">Spicer </w:t>
      </w:r>
      <w:r w:rsidR="00F34374" w:rsidRPr="00AE598B">
        <w:t>and colleagues</w:t>
      </w:r>
      <w:r w:rsidR="00010080">
        <w:t>’</w:t>
      </w:r>
      <w:r w:rsidR="00AE0379" w:rsidRPr="00AE598B">
        <w:t xml:space="preserve"> (2021) </w:t>
      </w:r>
      <w:r w:rsidR="002F794C">
        <w:t xml:space="preserve">meta-analysis </w:t>
      </w:r>
      <w:r w:rsidR="0040604A">
        <w:t>suggest that</w:t>
      </w:r>
      <w:r w:rsidR="00B35ABE" w:rsidRPr="00AE598B">
        <w:t xml:space="preserve"> while </w:t>
      </w:r>
      <w:r w:rsidR="004241C8">
        <w:t>the</w:t>
      </w:r>
      <w:r w:rsidR="00B35ABE" w:rsidRPr="00AE598B">
        <w:t xml:space="preserve"> relationship</w:t>
      </w:r>
      <w:r w:rsidR="006B231F" w:rsidRPr="00AE598B">
        <w:t xml:space="preserve"> </w:t>
      </w:r>
      <w:r w:rsidR="0040604A">
        <w:t xml:space="preserve">with gaming disorder </w:t>
      </w:r>
      <w:r w:rsidR="002F794C">
        <w:t>wa</w:t>
      </w:r>
      <w:r w:rsidR="006B231F" w:rsidRPr="00AE598B">
        <w:t>s</w:t>
      </w:r>
      <w:r w:rsidR="00B35ABE" w:rsidRPr="00AE598B">
        <w:t xml:space="preserve"> </w:t>
      </w:r>
      <w:r w:rsidR="00AE0379" w:rsidRPr="00AE598B">
        <w:t>stronger</w:t>
      </w:r>
      <w:r w:rsidR="003967F0" w:rsidRPr="00AE598B">
        <w:t xml:space="preserve"> in magnitude</w:t>
      </w:r>
      <w:r w:rsidR="00AE0379" w:rsidRPr="00AE598B">
        <w:t xml:space="preserve"> than</w:t>
      </w:r>
      <w:r w:rsidR="003967F0" w:rsidRPr="00AE598B">
        <w:t xml:space="preserve"> the relationship</w:t>
      </w:r>
      <w:r w:rsidR="00AE0379" w:rsidRPr="00AE598B">
        <w:t xml:space="preserve"> </w:t>
      </w:r>
      <w:r w:rsidR="00153D1C">
        <w:t>with</w:t>
      </w:r>
      <w:r w:rsidR="006B231F" w:rsidRPr="00AE598B">
        <w:t xml:space="preserve"> </w:t>
      </w:r>
      <w:r w:rsidR="00536AFD">
        <w:t>problem gambling,</w:t>
      </w:r>
      <w:r w:rsidR="00B35ABE" w:rsidRPr="00AE598B">
        <w:t xml:space="preserve"> </w:t>
      </w:r>
      <w:r w:rsidR="00F34374" w:rsidRPr="00AE598B">
        <w:t xml:space="preserve">the association </w:t>
      </w:r>
      <w:r w:rsidR="00FB3EEF">
        <w:t>wa</w:t>
      </w:r>
      <w:r w:rsidR="00F34374" w:rsidRPr="00AE598B">
        <w:t>s</w:t>
      </w:r>
      <w:r w:rsidR="006B231F" w:rsidRPr="00AE598B">
        <w:t xml:space="preserve"> less reliable as it </w:t>
      </w:r>
      <w:r w:rsidR="00516009">
        <w:t>wa</w:t>
      </w:r>
      <w:r w:rsidR="006B231F" w:rsidRPr="00AE598B">
        <w:t xml:space="preserve">s </w:t>
      </w:r>
      <w:r w:rsidR="00AE0379" w:rsidRPr="00AE598B">
        <w:t xml:space="preserve">based on fewer </w:t>
      </w:r>
      <w:r w:rsidR="00F34374" w:rsidRPr="00AE598B">
        <w:t>samples</w:t>
      </w:r>
      <w:r w:rsidR="008F1346" w:rsidRPr="00AE598B">
        <w:t>.</w:t>
      </w:r>
      <w:r w:rsidR="00AE0379" w:rsidRPr="00AE598B">
        <w:t xml:space="preserve"> </w:t>
      </w:r>
    </w:p>
    <w:p w14:paraId="5597A8BF" w14:textId="7D65004B" w:rsidR="00D968D5" w:rsidRPr="00BC4DAE" w:rsidRDefault="00FB205E" w:rsidP="00897FF2">
      <w:pPr>
        <w:pStyle w:val="BodyText"/>
      </w:pPr>
      <w:r>
        <w:t xml:space="preserve">While </w:t>
      </w:r>
      <w:r w:rsidR="000A6653">
        <w:t>a number of the</w:t>
      </w:r>
      <w:r w:rsidR="00FD72F8">
        <w:t xml:space="preserve"> </w:t>
      </w:r>
      <w:r w:rsidRPr="00FB205E">
        <w:t xml:space="preserve">in-scope articles </w:t>
      </w:r>
      <w:r w:rsidR="00A878CE">
        <w:t>exam</w:t>
      </w:r>
      <w:r w:rsidR="00A30CDF">
        <w:t>in</w:t>
      </w:r>
      <w:r w:rsidR="00A878CE">
        <w:t>ing</w:t>
      </w:r>
      <w:r w:rsidRPr="00FB205E">
        <w:t xml:space="preserve"> </w:t>
      </w:r>
      <w:r w:rsidR="00CC740B">
        <w:t>internet gaming disorder</w:t>
      </w:r>
      <w:r w:rsidRPr="00FB205E">
        <w:t xml:space="preserve"> were captured by the three </w:t>
      </w:r>
      <w:r w:rsidR="004279F6">
        <w:t xml:space="preserve">evidence </w:t>
      </w:r>
      <w:r w:rsidRPr="00FB205E">
        <w:t>reviews</w:t>
      </w:r>
      <w:r w:rsidR="00574C24">
        <w:t xml:space="preserve"> (above)</w:t>
      </w:r>
      <w:r w:rsidR="00177D88">
        <w:t xml:space="preserve">, </w:t>
      </w:r>
      <w:r w:rsidR="00516009">
        <w:t>other more</w:t>
      </w:r>
      <w:r w:rsidR="00A878CE">
        <w:t xml:space="preserve"> </w:t>
      </w:r>
      <w:r w:rsidR="001C7FBF" w:rsidRPr="001C7FBF">
        <w:t xml:space="preserve">recent </w:t>
      </w:r>
      <w:r w:rsidR="00A878CE">
        <w:t>studies</w:t>
      </w:r>
      <w:r w:rsidR="001C7FBF" w:rsidRPr="001C7FBF">
        <w:t xml:space="preserve"> were not</w:t>
      </w:r>
      <w:r w:rsidR="00177D88">
        <w:t>.</w:t>
      </w:r>
      <w:r w:rsidR="00D52E2D">
        <w:t xml:space="preserve"> </w:t>
      </w:r>
      <w:r w:rsidR="00A30CDF">
        <w:t>O</w:t>
      </w:r>
      <w:r w:rsidR="003502BF" w:rsidRPr="00AE598B">
        <w:t xml:space="preserve">ur </w:t>
      </w:r>
      <w:r w:rsidR="00D52E2D">
        <w:t>assessment</w:t>
      </w:r>
      <w:r w:rsidR="003502BF" w:rsidRPr="00AE598B">
        <w:t xml:space="preserve"> of the cross-sectional </w:t>
      </w:r>
      <w:r w:rsidR="002C5207" w:rsidRPr="00AE598B">
        <w:t xml:space="preserve">studies supports the </w:t>
      </w:r>
      <w:r w:rsidR="00936B4D" w:rsidRPr="00BC4DAE">
        <w:t xml:space="preserve">conclusions from the </w:t>
      </w:r>
      <w:r w:rsidR="009F376B" w:rsidRPr="00BC4DAE">
        <w:t>literature</w:t>
      </w:r>
      <w:r w:rsidR="00936B4D" w:rsidRPr="00BC4DAE">
        <w:t xml:space="preserve"> reviews</w:t>
      </w:r>
      <w:r w:rsidR="00B661B6" w:rsidRPr="00BC4DAE">
        <w:t xml:space="preserve"> </w:t>
      </w:r>
      <w:r w:rsidR="00486D2E" w:rsidRPr="00BC4DAE">
        <w:t xml:space="preserve">of medium evidence that loot box </w:t>
      </w:r>
      <w:r w:rsidR="00486D2E" w:rsidRPr="00170651">
        <w:rPr>
          <w:i/>
        </w:rPr>
        <w:t>purchasing</w:t>
      </w:r>
      <w:r w:rsidR="00486D2E" w:rsidRPr="00BC4DAE">
        <w:t xml:space="preserve"> is associated with </w:t>
      </w:r>
      <w:r w:rsidR="00372DCA" w:rsidRPr="00BC4DAE">
        <w:t>internet gaming disorder</w:t>
      </w:r>
      <w:r w:rsidR="00F22A73" w:rsidRPr="00BC4DAE">
        <w:t xml:space="preserve">, with less </w:t>
      </w:r>
      <w:r w:rsidR="00DD1EED" w:rsidRPr="00BC4DAE">
        <w:t xml:space="preserve">evidence </w:t>
      </w:r>
      <w:r w:rsidR="00B61F8F" w:rsidRPr="00BC4DAE">
        <w:t>of</w:t>
      </w:r>
      <w:r w:rsidR="009332D4" w:rsidRPr="00BC4DAE">
        <w:t xml:space="preserve"> a</w:t>
      </w:r>
      <w:r w:rsidR="0018103A" w:rsidRPr="00BC4DAE">
        <w:t>n</w:t>
      </w:r>
      <w:r w:rsidR="009F376B" w:rsidRPr="00BC4DAE">
        <w:t xml:space="preserve"> </w:t>
      </w:r>
      <w:r w:rsidR="009332D4" w:rsidRPr="00BC4DAE">
        <w:lastRenderedPageBreak/>
        <w:t xml:space="preserve">association between </w:t>
      </w:r>
      <w:r w:rsidR="006C27BE" w:rsidRPr="00BC4DAE">
        <w:t xml:space="preserve">opening </w:t>
      </w:r>
      <w:r w:rsidR="000706E2" w:rsidRPr="00BC4DAE">
        <w:t>loot box</w:t>
      </w:r>
      <w:r w:rsidR="006C27BE" w:rsidRPr="00BC4DAE">
        <w:t xml:space="preserve">es for free or selling </w:t>
      </w:r>
      <w:r w:rsidR="00D8112B" w:rsidRPr="00BC4DAE">
        <w:t>items from loot boxes</w:t>
      </w:r>
      <w:r w:rsidR="009332D4" w:rsidRPr="00BC4DAE">
        <w:t xml:space="preserve"> </w:t>
      </w:r>
      <w:r w:rsidR="00CB02AE" w:rsidRPr="00BC4DAE">
        <w:t xml:space="preserve">and </w:t>
      </w:r>
      <w:r w:rsidR="009332D4" w:rsidRPr="00BC4DAE">
        <w:t>internet gaming disorder.</w:t>
      </w:r>
      <w:r w:rsidR="00D968D5" w:rsidRPr="00BC4DAE">
        <w:t xml:space="preserve"> </w:t>
      </w:r>
    </w:p>
    <w:p w14:paraId="36318293" w14:textId="77777777" w:rsidR="00752CB4" w:rsidRPr="00F13C6D" w:rsidRDefault="00752CB4" w:rsidP="000B2101">
      <w:pPr>
        <w:pStyle w:val="Heading4"/>
      </w:pPr>
      <w:r w:rsidRPr="00F13C6D">
        <w:t xml:space="preserve">Opening </w:t>
      </w:r>
      <w:r w:rsidR="009228DB">
        <w:t xml:space="preserve">and purchasing </w:t>
      </w:r>
      <w:r w:rsidRPr="00F13C6D">
        <w:t>loot boxes</w:t>
      </w:r>
    </w:p>
    <w:p w14:paraId="246B1D6B" w14:textId="26C93941" w:rsidR="00E71E41" w:rsidRDefault="00021C50" w:rsidP="00897FF2">
      <w:pPr>
        <w:pStyle w:val="BodyText"/>
      </w:pPr>
      <w:r>
        <w:t>The only study to measure the</w:t>
      </w:r>
      <w:r w:rsidR="00916863">
        <w:t xml:space="preserve"> association between opening loot boxes (free) and internet gaming disorder was a</w:t>
      </w:r>
      <w:r w:rsidR="00A54604">
        <w:t>n</w:t>
      </w:r>
      <w:r w:rsidR="00916863">
        <w:t xml:space="preserve"> experiment by </w:t>
      </w:r>
      <w:r w:rsidR="007D0E8E">
        <w:t xml:space="preserve">Brady </w:t>
      </w:r>
      <w:r w:rsidR="00103773">
        <w:t>and</w:t>
      </w:r>
      <w:r w:rsidR="007D0E8E">
        <w:t xml:space="preserve"> Prentice (</w:t>
      </w:r>
      <w:r w:rsidR="000D5206">
        <w:t>2021)</w:t>
      </w:r>
      <w:r w:rsidR="00103773">
        <w:t xml:space="preserve"> that</w:t>
      </w:r>
      <w:r w:rsidR="00E71E41">
        <w:t xml:space="preserve"> </w:t>
      </w:r>
      <w:r w:rsidR="00F539D1">
        <w:t xml:space="preserve">measured physiological response (heart rate, skin conductance) </w:t>
      </w:r>
      <w:r w:rsidR="0073034D">
        <w:t xml:space="preserve">to loot box opening </w:t>
      </w:r>
      <w:r w:rsidR="00BF1525">
        <w:t>among</w:t>
      </w:r>
      <w:r w:rsidR="0073034D">
        <w:t xml:space="preserve"> young </w:t>
      </w:r>
      <w:r w:rsidR="00632608">
        <w:t xml:space="preserve">adult </w:t>
      </w:r>
      <w:r w:rsidR="0073034D">
        <w:t xml:space="preserve">male </w:t>
      </w:r>
      <w:r w:rsidR="00632608">
        <w:t>video-</w:t>
      </w:r>
      <w:r w:rsidR="0073034D">
        <w:t xml:space="preserve">gamers. </w:t>
      </w:r>
      <w:r w:rsidR="00965B5A">
        <w:t>T</w:t>
      </w:r>
      <w:r w:rsidR="0073034D">
        <w:t xml:space="preserve">he </w:t>
      </w:r>
      <w:r w:rsidR="00965B5A">
        <w:t xml:space="preserve">authors </w:t>
      </w:r>
      <w:r w:rsidR="0073034D">
        <w:t xml:space="preserve">found </w:t>
      </w:r>
      <w:r w:rsidR="0076181A">
        <w:t xml:space="preserve">decreases </w:t>
      </w:r>
      <w:r w:rsidR="00683018">
        <w:t xml:space="preserve">in </w:t>
      </w:r>
      <w:r w:rsidR="000A2385">
        <w:t>physiological response</w:t>
      </w:r>
      <w:r w:rsidR="0076181A">
        <w:t xml:space="preserve"> to </w:t>
      </w:r>
      <w:r w:rsidR="001F078E">
        <w:t xml:space="preserve">loot boxes being </w:t>
      </w:r>
      <w:r w:rsidR="003A6529">
        <w:t>opened</w:t>
      </w:r>
      <w:r w:rsidR="00D93F71">
        <w:t xml:space="preserve">, </w:t>
      </w:r>
      <w:r w:rsidR="00233A0F">
        <w:t>the prize displayed</w:t>
      </w:r>
      <w:r w:rsidR="007D65B3">
        <w:t>, and the entire loot box experience</w:t>
      </w:r>
      <w:r w:rsidR="00233A0F">
        <w:t xml:space="preserve"> </w:t>
      </w:r>
      <w:r w:rsidR="004D2A60">
        <w:t xml:space="preserve">for </w:t>
      </w:r>
      <w:r w:rsidR="00232FA6">
        <w:t>participants</w:t>
      </w:r>
      <w:r w:rsidR="004D2A60">
        <w:t xml:space="preserve"> with higher </w:t>
      </w:r>
      <w:r w:rsidR="00A12089">
        <w:t xml:space="preserve">scores for </w:t>
      </w:r>
      <w:r w:rsidR="00653F5F">
        <w:t xml:space="preserve">gaming </w:t>
      </w:r>
      <w:r w:rsidR="00142FC8">
        <w:t xml:space="preserve">disorder (as measured by the Gaming Addiction Scale). </w:t>
      </w:r>
      <w:r w:rsidR="008C18FF">
        <w:t>The authors</w:t>
      </w:r>
      <w:r w:rsidR="00BC1F76">
        <w:t>’</w:t>
      </w:r>
      <w:r w:rsidR="008C18FF">
        <w:t xml:space="preserve"> </w:t>
      </w:r>
      <w:r w:rsidR="007D7BEB">
        <w:t xml:space="preserve">finding that </w:t>
      </w:r>
      <w:r w:rsidR="00071551">
        <w:t>participant</w:t>
      </w:r>
      <w:r w:rsidR="007D7BEB">
        <w:t>s</w:t>
      </w:r>
      <w:r w:rsidR="00071551">
        <w:t xml:space="preserve"> with higher gaming addiction scores </w:t>
      </w:r>
      <w:r w:rsidR="004D6108">
        <w:t>experienced</w:t>
      </w:r>
      <w:r w:rsidR="00071551">
        <w:t xml:space="preserve"> less of an increase in physiological arousal from </w:t>
      </w:r>
      <w:r w:rsidR="008A79C2">
        <w:t>their loot box experience</w:t>
      </w:r>
      <w:r w:rsidR="007D7BEB">
        <w:t xml:space="preserve"> was in line with research on </w:t>
      </w:r>
      <w:r w:rsidR="004D6108">
        <w:t xml:space="preserve">people who experience </w:t>
      </w:r>
      <w:r w:rsidR="007D7BEB">
        <w:t>problem gambl</w:t>
      </w:r>
      <w:r w:rsidR="004D6108">
        <w:t>ing</w:t>
      </w:r>
      <w:r w:rsidR="007D7BEB">
        <w:t xml:space="preserve"> </w:t>
      </w:r>
      <w:r w:rsidR="00A8585E">
        <w:t>–</w:t>
      </w:r>
      <w:r w:rsidR="007D7BEB">
        <w:t xml:space="preserve"> </w:t>
      </w:r>
      <w:r w:rsidR="00A8585E">
        <w:t xml:space="preserve">who get less of a response to wins and losses than </w:t>
      </w:r>
      <w:r w:rsidR="00BE7717">
        <w:t>non-problem gamblers.</w:t>
      </w:r>
    </w:p>
    <w:p w14:paraId="3C544772" w14:textId="596E003A" w:rsidR="000135F9" w:rsidRDefault="00F40A9B" w:rsidP="00897FF2">
      <w:pPr>
        <w:pStyle w:val="BodyText"/>
      </w:pPr>
      <w:r>
        <w:t xml:space="preserve">Several studies found </w:t>
      </w:r>
      <w:r w:rsidR="003A75D6">
        <w:t>purchasing loot boxes</w:t>
      </w:r>
      <w:r w:rsidR="00EA7F25">
        <w:t xml:space="preserve"> </w:t>
      </w:r>
      <w:r>
        <w:t xml:space="preserve">was </w:t>
      </w:r>
      <w:r w:rsidR="00EA7F25">
        <w:t>associated with</w:t>
      </w:r>
      <w:r w:rsidR="003121F0">
        <w:t xml:space="preserve"> </w:t>
      </w:r>
      <w:r w:rsidR="00576571">
        <w:t>greater risk of</w:t>
      </w:r>
      <w:r w:rsidR="00134118">
        <w:t xml:space="preserve"> internet gaming disorder, or meeting criteria for problematic gaming</w:t>
      </w:r>
      <w:r>
        <w:t>, in samples of Australian adolescents</w:t>
      </w:r>
      <w:r w:rsidR="000A3DC6">
        <w:t xml:space="preserve"> (Hing et al., 2020), </w:t>
      </w:r>
      <w:r w:rsidR="00CD2D2A" w:rsidRPr="00CD2D2A">
        <w:t>Japanese adolescents (Ide et al., 2021), Spanish adolescents and young adults (González-Cabrera et al., 2022)</w:t>
      </w:r>
      <w:r w:rsidR="00CD2D2A">
        <w:t>,</w:t>
      </w:r>
      <w:r w:rsidR="00CD2D2A" w:rsidRPr="00CD2D2A">
        <w:t xml:space="preserve"> </w:t>
      </w:r>
      <w:r w:rsidR="006576D8" w:rsidRPr="00AE598B">
        <w:t>US young adults (King</w:t>
      </w:r>
      <w:r w:rsidR="00F04D71">
        <w:t>,</w:t>
      </w:r>
      <w:r w:rsidR="006576D8" w:rsidRPr="00AE598B">
        <w:t xml:space="preserve"> </w:t>
      </w:r>
      <w:r w:rsidR="00F04D71" w:rsidRPr="00FF2FE2">
        <w:t>Wong-</w:t>
      </w:r>
      <w:proofErr w:type="spellStart"/>
      <w:r w:rsidR="00F04D71" w:rsidRPr="00FF2FE2">
        <w:t>Padoongpatt</w:t>
      </w:r>
      <w:proofErr w:type="spellEnd"/>
      <w:r w:rsidR="00F04D71">
        <w:t xml:space="preserve"> </w:t>
      </w:r>
      <w:r w:rsidR="009C1A43">
        <w:t>et al.</w:t>
      </w:r>
      <w:r w:rsidR="00F04D71">
        <w:t>,</w:t>
      </w:r>
      <w:r w:rsidR="00F04D71" w:rsidRPr="00AE598B" w:rsidDel="00F04D71">
        <w:t xml:space="preserve"> </w:t>
      </w:r>
      <w:r w:rsidR="006576D8" w:rsidRPr="00AE598B">
        <w:t xml:space="preserve">2020), </w:t>
      </w:r>
      <w:r w:rsidR="00CD2D2A" w:rsidRPr="00CD2D2A">
        <w:t>US</w:t>
      </w:r>
      <w:r w:rsidR="00476454">
        <w:t xml:space="preserve"> video gamers aged</w:t>
      </w:r>
      <w:r w:rsidR="00CD2D2A">
        <w:t xml:space="preserve"> </w:t>
      </w:r>
      <w:r w:rsidR="00CD2D2A" w:rsidRPr="00CD2D2A">
        <w:t>18–25</w:t>
      </w:r>
      <w:r w:rsidR="00476454">
        <w:t xml:space="preserve"> </w:t>
      </w:r>
      <w:r w:rsidR="00CD2D2A" w:rsidRPr="00CD2D2A">
        <w:t>year</w:t>
      </w:r>
      <w:r w:rsidR="00476454">
        <w:t xml:space="preserve">s </w:t>
      </w:r>
      <w:r w:rsidR="00CD2D2A" w:rsidRPr="00CD2D2A">
        <w:t>(</w:t>
      </w:r>
      <w:proofErr w:type="spellStart"/>
      <w:r w:rsidR="00CD2D2A" w:rsidRPr="00CD2D2A">
        <w:t>Tham</w:t>
      </w:r>
      <w:proofErr w:type="spellEnd"/>
      <w:r w:rsidR="00CD2D2A" w:rsidRPr="00CD2D2A">
        <w:t xml:space="preserve"> &amp; Perreault, 2020)</w:t>
      </w:r>
      <w:r w:rsidR="00C82343">
        <w:t xml:space="preserve"> and</w:t>
      </w:r>
      <w:r w:rsidR="00CD2D2A" w:rsidRPr="00CD2D2A">
        <w:t xml:space="preserve"> </w:t>
      </w:r>
      <w:r w:rsidR="006576D8" w:rsidRPr="00AE598B">
        <w:t xml:space="preserve">US adult </w:t>
      </w:r>
      <w:r w:rsidR="0025785A" w:rsidRPr="00AE598B">
        <w:t>video</w:t>
      </w:r>
      <w:r w:rsidR="0025785A">
        <w:t>-</w:t>
      </w:r>
      <w:r w:rsidR="006576D8" w:rsidRPr="00AE598B">
        <w:t>gamers (Li et al., 2019)</w:t>
      </w:r>
      <w:r w:rsidR="00C82343">
        <w:t>.</w:t>
      </w:r>
      <w:r w:rsidR="006576D8" w:rsidRPr="00AE598B">
        <w:t xml:space="preserve"> </w:t>
      </w:r>
      <w:r w:rsidR="005B14C1">
        <w:t>More</w:t>
      </w:r>
      <w:r w:rsidR="001800C0">
        <w:t xml:space="preserve"> frequen</w:t>
      </w:r>
      <w:r w:rsidR="005B14C1">
        <w:t>t</w:t>
      </w:r>
      <w:r w:rsidR="001800C0">
        <w:t xml:space="preserve"> l</w:t>
      </w:r>
      <w:r w:rsidR="00C82343">
        <w:t xml:space="preserve">oot box purchasing </w:t>
      </w:r>
      <w:r w:rsidR="006E59CD">
        <w:t>was associated with</w:t>
      </w:r>
      <w:r w:rsidR="00C82343">
        <w:t xml:space="preserve"> </w:t>
      </w:r>
      <w:r w:rsidR="006E59CD">
        <w:t>increased</w:t>
      </w:r>
      <w:r w:rsidR="005B14C1">
        <w:t xml:space="preserve"> </w:t>
      </w:r>
      <w:r w:rsidR="00C82343">
        <w:t>risk of gaming disorder (</w:t>
      </w:r>
      <w:proofErr w:type="spellStart"/>
      <w:r w:rsidR="00C82343">
        <w:t>Zendle</w:t>
      </w:r>
      <w:proofErr w:type="spellEnd"/>
      <w:r w:rsidR="00C82343">
        <w:t>, 2020).</w:t>
      </w:r>
    </w:p>
    <w:p w14:paraId="0845B563" w14:textId="77777777" w:rsidR="00752CB4" w:rsidRPr="00F13C6D" w:rsidRDefault="00752CB4" w:rsidP="000B2101">
      <w:pPr>
        <w:pStyle w:val="Heading4"/>
      </w:pPr>
      <w:r w:rsidRPr="00F13C6D">
        <w:t>Loot box expenditure</w:t>
      </w:r>
    </w:p>
    <w:p w14:paraId="754C49B0" w14:textId="35C4560F" w:rsidR="00814F9E" w:rsidRPr="00AE598B" w:rsidRDefault="00FF1105" w:rsidP="00897FF2">
      <w:pPr>
        <w:pStyle w:val="BodyText"/>
      </w:pPr>
      <w:r>
        <w:t>Greater expenditure on loot boxes (often measured as monthly</w:t>
      </w:r>
      <w:r w:rsidR="00C16462">
        <w:t xml:space="preserve"> expenditure</w:t>
      </w:r>
      <w:r>
        <w:t xml:space="preserve">) </w:t>
      </w:r>
      <w:r w:rsidR="00331915">
        <w:t xml:space="preserve">was found to be associated with </w:t>
      </w:r>
      <w:r w:rsidR="004C3C48">
        <w:t>higher internet gaming disorder scores</w:t>
      </w:r>
      <w:r w:rsidR="00832322">
        <w:t xml:space="preserve"> </w:t>
      </w:r>
      <w:r w:rsidR="00CE417D">
        <w:t>in international studies</w:t>
      </w:r>
      <w:r w:rsidR="00DD7735">
        <w:t xml:space="preserve"> </w:t>
      </w:r>
      <w:r w:rsidR="001D49A9">
        <w:t xml:space="preserve">with medium-high </w:t>
      </w:r>
      <w:r w:rsidR="00050217">
        <w:t>generalisability t</w:t>
      </w:r>
      <w:r w:rsidR="00E72E8D">
        <w:t>o Australia (</w:t>
      </w:r>
      <w:r w:rsidR="0032122E">
        <w:t>Brooks &amp; Clark</w:t>
      </w:r>
      <w:r w:rsidR="004D515B">
        <w:t xml:space="preserve">, 2019; </w:t>
      </w:r>
      <w:r w:rsidR="000F4137" w:rsidRPr="00AE598B">
        <w:t>González-Cabrera et al., 2022</w:t>
      </w:r>
      <w:r w:rsidR="00251274">
        <w:t>; Hall et al., 2021</w:t>
      </w:r>
      <w:r w:rsidR="00E81F0E">
        <w:t xml:space="preserve">; </w:t>
      </w:r>
      <w:r w:rsidR="00E81F0E" w:rsidRPr="00AE598B">
        <w:t>King et al., 2020a</w:t>
      </w:r>
      <w:r w:rsidR="00E72E8D">
        <w:t>)</w:t>
      </w:r>
      <w:r w:rsidR="00065FEE">
        <w:t xml:space="preserve">. </w:t>
      </w:r>
      <w:r w:rsidR="00814F9E" w:rsidRPr="00103773">
        <w:t xml:space="preserve">An Australian study with regular video gamers found loot box expenditure was positively associated with experiencing any and moderate gaming harm (Carey </w:t>
      </w:r>
      <w:r w:rsidR="004340A2">
        <w:t>et al.</w:t>
      </w:r>
      <w:r w:rsidR="00814F9E" w:rsidRPr="00103773">
        <w:t xml:space="preserve">, 2021), although the measure used for ‘gaming harm’ </w:t>
      </w:r>
      <w:r w:rsidR="00736C8F">
        <w:t>was not</w:t>
      </w:r>
      <w:r w:rsidR="00506C09">
        <w:t xml:space="preserve"> a</w:t>
      </w:r>
      <w:r w:rsidR="00814F9E" w:rsidRPr="00103773">
        <w:t xml:space="preserve"> validated measure such as the IGD.</w:t>
      </w:r>
    </w:p>
    <w:p w14:paraId="0AB3E405" w14:textId="77777777" w:rsidR="004A0405" w:rsidRPr="00BC4DAE" w:rsidRDefault="004A0405" w:rsidP="00393D22">
      <w:pPr>
        <w:pStyle w:val="Heading3"/>
      </w:pPr>
      <w:r w:rsidRPr="00BC4DAE">
        <w:t>Other harms</w:t>
      </w:r>
    </w:p>
    <w:p w14:paraId="323F49B1" w14:textId="4564826A" w:rsidR="00547E7D" w:rsidRDefault="00547E7D" w:rsidP="00897FF2">
      <w:pPr>
        <w:pStyle w:val="BodyText"/>
      </w:pPr>
      <w:r>
        <w:t>A total of</w:t>
      </w:r>
      <w:r w:rsidR="00F1396D">
        <w:t xml:space="preserve"> </w:t>
      </w:r>
      <w:r w:rsidR="00D9255A">
        <w:t>12</w:t>
      </w:r>
      <w:r w:rsidR="00F1396D">
        <w:t xml:space="preserve"> </w:t>
      </w:r>
      <w:r w:rsidRPr="00F26AAB">
        <w:t>Australian</w:t>
      </w:r>
      <w:r>
        <w:t xml:space="preserve"> and international studies found an association between loot box</w:t>
      </w:r>
      <w:r w:rsidR="006408B6">
        <w:t xml:space="preserve"> engagement</w:t>
      </w:r>
      <w:r>
        <w:t xml:space="preserve"> </w:t>
      </w:r>
      <w:r w:rsidR="00D16D2C">
        <w:t xml:space="preserve">and other types of </w:t>
      </w:r>
      <w:r>
        <w:t>harm.</w:t>
      </w:r>
      <w:r w:rsidR="00361844">
        <w:t xml:space="preserve"> These articles were </w:t>
      </w:r>
      <w:r w:rsidR="00C73441" w:rsidRPr="00BC4DAE">
        <w:rPr>
          <w:b/>
        </w:rPr>
        <w:t>low-medium</w:t>
      </w:r>
      <w:r w:rsidR="00C73441">
        <w:rPr>
          <w:b/>
          <w:bCs/>
          <w:i/>
          <w:iCs/>
        </w:rPr>
        <w:t xml:space="preserve"> </w:t>
      </w:r>
      <w:r w:rsidR="00C73441">
        <w:t xml:space="preserve">strength and </w:t>
      </w:r>
      <w:r w:rsidR="00744589">
        <w:t>value</w:t>
      </w:r>
      <w:r w:rsidR="00C73441">
        <w:t xml:space="preserve"> on average</w:t>
      </w:r>
      <w:r w:rsidR="006349C6">
        <w:t>, with the s</w:t>
      </w:r>
      <w:r w:rsidR="007479A3">
        <w:t xml:space="preserve">trength of </w:t>
      </w:r>
      <w:r w:rsidR="00142B05">
        <w:t>relationship</w:t>
      </w:r>
      <w:r w:rsidR="007479A3">
        <w:t xml:space="preserve"> between </w:t>
      </w:r>
      <w:r w:rsidR="00D11269">
        <w:t xml:space="preserve">loot boxes </w:t>
      </w:r>
      <w:r w:rsidR="007479A3">
        <w:t>and other harms var</w:t>
      </w:r>
      <w:r w:rsidR="00335D9E">
        <w:t>ying by</w:t>
      </w:r>
      <w:r w:rsidR="007479A3">
        <w:t xml:space="preserve"> type of harm.</w:t>
      </w:r>
    </w:p>
    <w:p w14:paraId="2E7FD362" w14:textId="60D2FB19" w:rsidR="00FF22BD" w:rsidRPr="006E606A" w:rsidRDefault="00FF22BD" w:rsidP="000B2101">
      <w:pPr>
        <w:pStyle w:val="Heading4"/>
      </w:pPr>
      <w:r w:rsidRPr="006E606A">
        <w:t>Psychological</w:t>
      </w:r>
      <w:r w:rsidR="00322267">
        <w:t xml:space="preserve"> harm</w:t>
      </w:r>
      <w:r w:rsidRPr="006E606A">
        <w:t xml:space="preserve"> and mental distress</w:t>
      </w:r>
    </w:p>
    <w:p w14:paraId="463EFAA2" w14:textId="63A752A3" w:rsidR="008039B4" w:rsidRDefault="008039B4" w:rsidP="00897FF2">
      <w:pPr>
        <w:pStyle w:val="BodyText"/>
      </w:pPr>
      <w:r>
        <w:t xml:space="preserve">One medium </w:t>
      </w:r>
      <w:r w:rsidR="00744589">
        <w:t>value</w:t>
      </w:r>
      <w:r>
        <w:t xml:space="preserve"> study involving a narrative literature review, semi-structured interviews with key experts (academics, gaming industry, regulatory bodies, consumer organisations) and desk research </w:t>
      </w:r>
      <w:r w:rsidR="001C626A">
        <w:t>examined</w:t>
      </w:r>
      <w:r>
        <w:t xml:space="preserve"> the behavioural effects of loot boxes and other in-game purchase systems (</w:t>
      </w:r>
      <w:proofErr w:type="spellStart"/>
      <w:r>
        <w:t>Cerulli</w:t>
      </w:r>
      <w:proofErr w:type="spellEnd"/>
      <w:r>
        <w:t xml:space="preserve">-Harms et al., 2020). </w:t>
      </w:r>
      <w:proofErr w:type="spellStart"/>
      <w:r>
        <w:t>Cerulli</w:t>
      </w:r>
      <w:proofErr w:type="spellEnd"/>
      <w:r>
        <w:t>-Harms and colleagues</w:t>
      </w:r>
      <w:r w:rsidDel="00383A4F">
        <w:t xml:space="preserve"> </w:t>
      </w:r>
      <w:r w:rsidR="005061D0">
        <w:t>suggested</w:t>
      </w:r>
      <w:r>
        <w:t xml:space="preserve"> that </w:t>
      </w:r>
      <w:r w:rsidRPr="0022072B">
        <w:t>loot boxes use</w:t>
      </w:r>
      <w:r>
        <w:t>d</w:t>
      </w:r>
      <w:r w:rsidRPr="0022072B">
        <w:t xml:space="preserve"> problematic design features </w:t>
      </w:r>
      <w:r>
        <w:t>that</w:t>
      </w:r>
      <w:r w:rsidRPr="0022072B">
        <w:t xml:space="preserve"> could lead to </w:t>
      </w:r>
      <w:r>
        <w:t>negative psychological</w:t>
      </w:r>
      <w:r w:rsidRPr="0022072B">
        <w:t xml:space="preserve"> outcomes for users</w:t>
      </w:r>
      <w:r>
        <w:t>, such as</w:t>
      </w:r>
      <w:r w:rsidRPr="0022072B">
        <w:t xml:space="preserve"> addictive behaviours </w:t>
      </w:r>
      <w:r>
        <w:t>(</w:t>
      </w:r>
      <w:proofErr w:type="spellStart"/>
      <w:r>
        <w:t>Cerulli</w:t>
      </w:r>
      <w:proofErr w:type="spellEnd"/>
      <w:r>
        <w:t>-Harms et al., 2020).</w:t>
      </w:r>
      <w:r w:rsidRPr="0022072B">
        <w:t xml:space="preserve"> </w:t>
      </w:r>
    </w:p>
    <w:p w14:paraId="78DD32FC" w14:textId="1823841C" w:rsidR="000D0A08" w:rsidRDefault="0012186C" w:rsidP="00897FF2">
      <w:pPr>
        <w:pStyle w:val="BodyText"/>
      </w:pPr>
      <w:r>
        <w:t xml:space="preserve">A recent systematic literature review (Yokomitsu et al., 2021) found that loot box purchasing may lead to mental distress or psychological harm, but the degree to which spending translates into psychological harm remains unknown and findings were interpreted with caution by the </w:t>
      </w:r>
      <w:r>
        <w:lastRenderedPageBreak/>
        <w:t xml:space="preserve">author. </w:t>
      </w:r>
      <w:r w:rsidR="005061D0">
        <w:t>Another t</w:t>
      </w:r>
      <w:r w:rsidR="0040007B">
        <w:t xml:space="preserve">hree </w:t>
      </w:r>
      <w:r w:rsidR="00EF4CA0">
        <w:t xml:space="preserve">cross-sectional </w:t>
      </w:r>
      <w:r w:rsidR="00C17244">
        <w:t xml:space="preserve">studies </w:t>
      </w:r>
      <w:r w:rsidR="006103E3">
        <w:t xml:space="preserve">generalisable to Australia </w:t>
      </w:r>
      <w:r w:rsidR="00414E27">
        <w:t xml:space="preserve">found </w:t>
      </w:r>
      <w:r w:rsidR="00CA798C">
        <w:t>an</w:t>
      </w:r>
      <w:r w:rsidR="00414E27">
        <w:t xml:space="preserve"> association between </w:t>
      </w:r>
      <w:r w:rsidR="009517D4">
        <w:t>loot box</w:t>
      </w:r>
      <w:r w:rsidR="00CB257B">
        <w:t xml:space="preserve"> </w:t>
      </w:r>
      <w:r w:rsidR="0013497B">
        <w:t>(</w:t>
      </w:r>
      <w:r w:rsidR="00CB257B">
        <w:t>monthly</w:t>
      </w:r>
      <w:r w:rsidR="0013497B">
        <w:t>)</w:t>
      </w:r>
      <w:r w:rsidR="00CB257B">
        <w:t xml:space="preserve"> expenditure </w:t>
      </w:r>
      <w:r w:rsidR="009517D4">
        <w:t xml:space="preserve">and </w:t>
      </w:r>
      <w:r w:rsidR="002672F8">
        <w:t>higher levels of</w:t>
      </w:r>
      <w:r w:rsidR="00037A44">
        <w:t xml:space="preserve"> </w:t>
      </w:r>
      <w:r w:rsidR="00533712">
        <w:t xml:space="preserve">psychological distress </w:t>
      </w:r>
      <w:r w:rsidR="00A71160" w:rsidRPr="0017399C">
        <w:t>(</w:t>
      </w:r>
      <w:r w:rsidR="00593F27" w:rsidRPr="0017399C">
        <w:t>Drummond et al., 2020; Hall</w:t>
      </w:r>
      <w:r w:rsidR="007E6966">
        <w:t xml:space="preserve"> et al</w:t>
      </w:r>
      <w:r w:rsidR="00593F27" w:rsidRPr="0017399C">
        <w:t>., 2021</w:t>
      </w:r>
      <w:r w:rsidR="0013497B" w:rsidRPr="0017399C">
        <w:t>; Li et al., 2019</w:t>
      </w:r>
      <w:r w:rsidR="006D59E9" w:rsidRPr="0017399C">
        <w:t>)</w:t>
      </w:r>
      <w:r w:rsidR="005061D0">
        <w:t>,</w:t>
      </w:r>
      <w:r w:rsidR="0076179B" w:rsidRPr="0017399C">
        <w:t xml:space="preserve"> </w:t>
      </w:r>
      <w:r w:rsidR="005061D0">
        <w:t>but</w:t>
      </w:r>
      <w:r w:rsidR="005C2AC8" w:rsidRPr="0017399C">
        <w:t xml:space="preserve"> loot box spending showed </w:t>
      </w:r>
      <w:r w:rsidR="00F12C7D" w:rsidRPr="0017399C">
        <w:t>an association with both negative and positive moods</w:t>
      </w:r>
      <w:r w:rsidR="00B01BC7">
        <w:t>.</w:t>
      </w:r>
    </w:p>
    <w:p w14:paraId="58F9EC53" w14:textId="77777777" w:rsidR="00CE0BA1" w:rsidRPr="006E606A" w:rsidRDefault="005B3061" w:rsidP="000B2101">
      <w:pPr>
        <w:pStyle w:val="Heading4"/>
      </w:pPr>
      <w:r w:rsidRPr="006E606A">
        <w:t>Financial harm</w:t>
      </w:r>
    </w:p>
    <w:p w14:paraId="06EC12E2" w14:textId="59B45CA4" w:rsidR="00FD7DEC" w:rsidRDefault="0055654E" w:rsidP="00897FF2">
      <w:pPr>
        <w:pStyle w:val="BodyText"/>
      </w:pPr>
      <w:r>
        <w:t>Th</w:t>
      </w:r>
      <w:r w:rsidR="008B4C38">
        <w:t xml:space="preserve">ere is little </w:t>
      </w:r>
      <w:r w:rsidR="00C11790">
        <w:t xml:space="preserve">cross-sectional </w:t>
      </w:r>
      <w:r w:rsidR="00ED3837">
        <w:t>research</w:t>
      </w:r>
      <w:r w:rsidR="008B4C38">
        <w:t xml:space="preserve"> available on </w:t>
      </w:r>
      <w:r w:rsidR="002D4D1A">
        <w:t>the association between loot box</w:t>
      </w:r>
      <w:r w:rsidR="00B1788E">
        <w:t xml:space="preserve"> engagement</w:t>
      </w:r>
      <w:r w:rsidR="002D4D1A">
        <w:t xml:space="preserve"> and financial harm. </w:t>
      </w:r>
      <w:r w:rsidR="008039B4">
        <w:t xml:space="preserve">The narrative literature review by </w:t>
      </w:r>
      <w:proofErr w:type="spellStart"/>
      <w:r w:rsidR="008039B4">
        <w:t>Cerulli</w:t>
      </w:r>
      <w:proofErr w:type="spellEnd"/>
      <w:r w:rsidR="008039B4">
        <w:t>-Harms and colleagues</w:t>
      </w:r>
      <w:r w:rsidR="00322267">
        <w:t xml:space="preserve"> (2020)</w:t>
      </w:r>
      <w:r w:rsidR="008039B4">
        <w:t xml:space="preserve"> found that</w:t>
      </w:r>
      <w:r w:rsidR="00322267">
        <w:t xml:space="preserve"> – in addition to psychological harms –</w:t>
      </w:r>
      <w:r w:rsidR="008039B4">
        <w:t xml:space="preserve"> loot box design features may be related to financial harms, such as excessive spending (</w:t>
      </w:r>
      <w:proofErr w:type="spellStart"/>
      <w:r w:rsidR="008039B4">
        <w:t>Cerulli</w:t>
      </w:r>
      <w:proofErr w:type="spellEnd"/>
      <w:r w:rsidR="008039B4">
        <w:t>-Harms et al., 2020).</w:t>
      </w:r>
      <w:r w:rsidR="00322267">
        <w:t xml:space="preserve"> Supporting this, o</w:t>
      </w:r>
      <w:r w:rsidR="000A0A56">
        <w:t>ne</w:t>
      </w:r>
      <w:r w:rsidR="00322267">
        <w:t xml:space="preserve"> quantitative</w:t>
      </w:r>
      <w:r w:rsidR="000A0A56">
        <w:t xml:space="preserve"> study found a weak association between loot box expenditure and moderate financial </w:t>
      </w:r>
      <w:r w:rsidR="000A615C">
        <w:t xml:space="preserve">gaming </w:t>
      </w:r>
      <w:r w:rsidR="000A0A56">
        <w:t>harm (Carey et al., 2021).</w:t>
      </w:r>
    </w:p>
    <w:p w14:paraId="3C4ED4A1" w14:textId="77777777" w:rsidR="00955707" w:rsidRDefault="00C16462" w:rsidP="00897FF2">
      <w:pPr>
        <w:pStyle w:val="BodyText"/>
        <w:keepNext/>
      </w:pPr>
      <w:r>
        <w:t xml:space="preserve">Another </w:t>
      </w:r>
      <w:r w:rsidR="00413D15">
        <w:t xml:space="preserve">qualitative study explored children’s (aged 10-16 years) experiences of spending money within games </w:t>
      </w:r>
      <w:r>
        <w:t xml:space="preserve">and </w:t>
      </w:r>
      <w:r w:rsidR="00413D15">
        <w:t xml:space="preserve">found that some children believed that loot boxes (with unknown rewards) were </w:t>
      </w:r>
      <w:r>
        <w:t>like</w:t>
      </w:r>
      <w:r w:rsidR="00413D15">
        <w:t xml:space="preserve"> gambling and </w:t>
      </w:r>
      <w:r>
        <w:t xml:space="preserve">that </w:t>
      </w:r>
      <w:r w:rsidR="00413D15">
        <w:t>loot box purchasing was associated with financial harm for some young people, with reports of wasted money, not being in control of their spending and sometimes trying to ‘chase losses’ (Children’s Commissioner for England, 2019).</w:t>
      </w:r>
    </w:p>
    <w:p w14:paraId="0B62EC80" w14:textId="04B8B044" w:rsidR="004124F3" w:rsidRPr="00F13C6D" w:rsidRDefault="00F029B7" w:rsidP="000B2101">
      <w:pPr>
        <w:pStyle w:val="Heading4"/>
      </w:pPr>
      <w:r>
        <w:t>Problematic</w:t>
      </w:r>
      <w:r w:rsidRPr="00F13C6D">
        <w:t xml:space="preserve"> </w:t>
      </w:r>
      <w:r w:rsidR="00CF18DC">
        <w:t>l</w:t>
      </w:r>
      <w:r w:rsidR="004124F3" w:rsidRPr="00F13C6D">
        <w:t xml:space="preserve">oot </w:t>
      </w:r>
      <w:r w:rsidR="00CF18DC">
        <w:t>b</w:t>
      </w:r>
      <w:r w:rsidR="004124F3" w:rsidRPr="00F13C6D">
        <w:t>ox</w:t>
      </w:r>
      <w:r w:rsidR="00F657C2" w:rsidRPr="00F13C6D">
        <w:t xml:space="preserve"> </w:t>
      </w:r>
      <w:r w:rsidR="00CF18DC">
        <w:t>u</w:t>
      </w:r>
      <w:r w:rsidR="00F657C2" w:rsidRPr="00F13C6D">
        <w:t>se</w:t>
      </w:r>
    </w:p>
    <w:p w14:paraId="6D17AC6F" w14:textId="513E58E8" w:rsidR="00EB486E" w:rsidRPr="00F029B7" w:rsidRDefault="0049729B" w:rsidP="00897FF2">
      <w:pPr>
        <w:pStyle w:val="BodyText"/>
      </w:pPr>
      <w:r w:rsidRPr="00393D22">
        <w:t>Problematic loot box use</w:t>
      </w:r>
      <w:r w:rsidR="0085225E">
        <w:t>,</w:t>
      </w:r>
      <w:r w:rsidR="00E46316" w:rsidRPr="00393D22">
        <w:t xml:space="preserve"> as measured by the </w:t>
      </w:r>
      <w:r w:rsidR="00F029B7">
        <w:t>Risky Loot Box Index (RLI)</w:t>
      </w:r>
      <w:r w:rsidR="0085225E">
        <w:t xml:space="preserve">, </w:t>
      </w:r>
      <w:r w:rsidR="00B329C1" w:rsidRPr="00393D22">
        <w:t>has also been associated with</w:t>
      </w:r>
      <w:r w:rsidR="0085225E">
        <w:t xml:space="preserve"> both</w:t>
      </w:r>
      <w:r w:rsidR="00B329C1" w:rsidRPr="00393D22">
        <w:t xml:space="preserve"> gambling and gaming harm.</w:t>
      </w:r>
      <w:r w:rsidR="00F029B7">
        <w:t xml:space="preserve"> The RLI</w:t>
      </w:r>
      <w:r w:rsidR="00B329C1" w:rsidRPr="00393D22">
        <w:t xml:space="preserve"> </w:t>
      </w:r>
      <w:r w:rsidR="00F029B7">
        <w:t>is a five-</w:t>
      </w:r>
      <w:r w:rsidR="00445549">
        <w:t>item</w:t>
      </w:r>
      <w:r w:rsidR="00F029B7">
        <w:t xml:space="preserve"> measure of problematic loot box use, designed by Brooks and Clark (2019). Higher RLI scores indicate riskier loot box use (i.e., more likely to cause harm). </w:t>
      </w:r>
      <w:r w:rsidR="00CF58AB" w:rsidRPr="00CF58AB">
        <w:t>Brooks and Clark</w:t>
      </w:r>
      <w:r w:rsidR="00CF58AB">
        <w:t>’s</w:t>
      </w:r>
      <w:r w:rsidR="00CF58AB" w:rsidRPr="00CF58AB">
        <w:t xml:space="preserve"> (2019) </w:t>
      </w:r>
      <w:r w:rsidR="00CF58AB">
        <w:t xml:space="preserve">survey </w:t>
      </w:r>
      <w:r w:rsidR="00872F1B">
        <w:t>found</w:t>
      </w:r>
      <w:r w:rsidR="00D75A97">
        <w:t xml:space="preserve"> that</w:t>
      </w:r>
      <w:r w:rsidR="00872F1B">
        <w:t xml:space="preserve"> </w:t>
      </w:r>
      <w:r w:rsidR="0062591A">
        <w:t>among</w:t>
      </w:r>
      <w:r w:rsidR="00857C5E">
        <w:t xml:space="preserve"> sample</w:t>
      </w:r>
      <w:r w:rsidR="005812F3">
        <w:t xml:space="preserve">s of </w:t>
      </w:r>
      <w:r w:rsidR="00203D72">
        <w:t xml:space="preserve">Canadian </w:t>
      </w:r>
      <w:r w:rsidR="003111A6">
        <w:t xml:space="preserve">adult </w:t>
      </w:r>
      <w:r w:rsidR="00382E88">
        <w:t>video-</w:t>
      </w:r>
      <w:r w:rsidR="003111A6">
        <w:t>gamers and undergraduate students</w:t>
      </w:r>
      <w:r w:rsidR="0062591A">
        <w:t>,</w:t>
      </w:r>
      <w:r w:rsidR="00857C5E">
        <w:t xml:space="preserve"> </w:t>
      </w:r>
      <w:r w:rsidR="008021CA">
        <w:t xml:space="preserve">the </w:t>
      </w:r>
      <w:r w:rsidR="007550D0">
        <w:t xml:space="preserve">RLI </w:t>
      </w:r>
      <w:r w:rsidR="008021CA">
        <w:t xml:space="preserve">was </w:t>
      </w:r>
      <w:r w:rsidR="002F731E">
        <w:t xml:space="preserve">associated with higher </w:t>
      </w:r>
      <w:r w:rsidR="003D316A">
        <w:t>scores on several other</w:t>
      </w:r>
      <w:r w:rsidR="006B7EB4">
        <w:t xml:space="preserve"> </w:t>
      </w:r>
      <w:r w:rsidR="00E03E98">
        <w:t xml:space="preserve">harm </w:t>
      </w:r>
      <w:r w:rsidR="009F04D5">
        <w:t>measures</w:t>
      </w:r>
      <w:r w:rsidR="002D4534">
        <w:t xml:space="preserve">: </w:t>
      </w:r>
      <w:r w:rsidR="009F79CA">
        <w:t xml:space="preserve">problem gambling, </w:t>
      </w:r>
      <w:r w:rsidR="00A653E2">
        <w:t>internet gaming disorder</w:t>
      </w:r>
      <w:r w:rsidR="009F79CA">
        <w:t>,</w:t>
      </w:r>
      <w:r w:rsidR="0068156E">
        <w:t xml:space="preserve"> gambling-related cognitive distortions </w:t>
      </w:r>
      <w:r w:rsidR="008712D8">
        <w:t>and risk</w:t>
      </w:r>
      <w:r w:rsidR="00382E88">
        <w:t xml:space="preserve"> </w:t>
      </w:r>
      <w:r w:rsidR="008712D8">
        <w:t>taking.</w:t>
      </w:r>
      <w:r w:rsidR="009F79CA">
        <w:t xml:space="preserve"> </w:t>
      </w:r>
    </w:p>
    <w:p w14:paraId="403F1888" w14:textId="427E6235" w:rsidR="0075269B" w:rsidRDefault="0054112D" w:rsidP="00897FF2">
      <w:pPr>
        <w:pStyle w:val="BodyText"/>
      </w:pPr>
      <w:r>
        <w:t xml:space="preserve">These findings were replicated in a study </w:t>
      </w:r>
      <w:r w:rsidR="00203D72">
        <w:t xml:space="preserve">of </w:t>
      </w:r>
      <w:r w:rsidR="00B4342A">
        <w:t xml:space="preserve">young adults </w:t>
      </w:r>
      <w:r w:rsidR="00B4342A" w:rsidRPr="00B4342A">
        <w:t>(18</w:t>
      </w:r>
      <w:r w:rsidR="00994206">
        <w:t>–</w:t>
      </w:r>
      <w:r w:rsidR="00B4342A" w:rsidRPr="00B4342A">
        <w:t xml:space="preserve">25 years) </w:t>
      </w:r>
      <w:r w:rsidR="00B4342A">
        <w:t xml:space="preserve">in the </w:t>
      </w:r>
      <w:r>
        <w:t xml:space="preserve">US </w:t>
      </w:r>
      <w:r w:rsidR="00552639">
        <w:t xml:space="preserve">that </w:t>
      </w:r>
      <w:r w:rsidR="00BF35A1">
        <w:t xml:space="preserve">found </w:t>
      </w:r>
      <w:r w:rsidR="00433A5C">
        <w:t>the RLI (</w:t>
      </w:r>
      <w:r w:rsidR="002A6309">
        <w:t xml:space="preserve">referred to as </w:t>
      </w:r>
      <w:r w:rsidR="00433A5C">
        <w:t>microtransaction engagement)</w:t>
      </w:r>
      <w:r w:rsidR="002A6309">
        <w:t xml:space="preserve"> positively correlated with </w:t>
      </w:r>
      <w:r w:rsidR="00BF35A1">
        <w:t xml:space="preserve">gambling disorder, </w:t>
      </w:r>
      <w:r w:rsidR="00A35E81">
        <w:t>internet gaming disorder</w:t>
      </w:r>
      <w:r w:rsidR="00D37307">
        <w:t xml:space="preserve"> and risk</w:t>
      </w:r>
      <w:r w:rsidR="00552639">
        <w:t xml:space="preserve"> </w:t>
      </w:r>
      <w:r w:rsidR="00D37307">
        <w:t>taking</w:t>
      </w:r>
      <w:r w:rsidR="008C36F7">
        <w:t xml:space="preserve"> (King</w:t>
      </w:r>
      <w:r w:rsidR="001C6EC5">
        <w:t xml:space="preserve">, </w:t>
      </w:r>
      <w:r w:rsidR="001C6EC5" w:rsidRPr="00677AAF">
        <w:t>Wong-</w:t>
      </w:r>
      <w:proofErr w:type="spellStart"/>
      <w:r w:rsidR="001C6EC5" w:rsidRPr="00677AAF">
        <w:t>Padoongpatt</w:t>
      </w:r>
      <w:proofErr w:type="spellEnd"/>
      <w:r w:rsidR="004D0183">
        <w:t xml:space="preserve"> et al.</w:t>
      </w:r>
      <w:r w:rsidR="008C36F7">
        <w:t>, 2020).</w:t>
      </w:r>
      <w:r>
        <w:t xml:space="preserve"> </w:t>
      </w:r>
      <w:r w:rsidR="006F51CC">
        <w:t xml:space="preserve">Drummond and colleagues </w:t>
      </w:r>
      <w:r w:rsidR="003E6509">
        <w:t xml:space="preserve">(2020) </w:t>
      </w:r>
      <w:r w:rsidR="006F51CC">
        <w:t xml:space="preserve">also found </w:t>
      </w:r>
      <w:r w:rsidR="001C6EC5">
        <w:t xml:space="preserve">that </w:t>
      </w:r>
      <w:r w:rsidR="00F9001D">
        <w:t>among</w:t>
      </w:r>
      <w:r w:rsidR="003E6509">
        <w:t xml:space="preserve"> US adults </w:t>
      </w:r>
      <w:r w:rsidR="00C13310">
        <w:t>higher RLI scores were associated with greater monthly loot box spending</w:t>
      </w:r>
      <w:r w:rsidR="003E6509">
        <w:t>.</w:t>
      </w:r>
      <w:r w:rsidR="00C13310">
        <w:t xml:space="preserve"> </w:t>
      </w:r>
    </w:p>
    <w:p w14:paraId="5AD4D545" w14:textId="10BE4EBA" w:rsidR="00F029B7" w:rsidRDefault="00F029B7" w:rsidP="00897FF2">
      <w:pPr>
        <w:pStyle w:val="BodyText"/>
      </w:pPr>
      <w:r>
        <w:t xml:space="preserve">A recent study by </w:t>
      </w:r>
      <w:r w:rsidRPr="00B85C2E">
        <w:t xml:space="preserve">González-Cabrera </w:t>
      </w:r>
      <w:r>
        <w:t xml:space="preserve">and colleagues </w:t>
      </w:r>
      <w:r w:rsidRPr="00B85C2E">
        <w:t>(2022)</w:t>
      </w:r>
      <w:r>
        <w:t xml:space="preserve"> designed and tested a different measure called the Problematic Use of Loot Boxes Questionnaire (PU-LB). This measure consisted of 18 items around the problematic use of loot boxes, gaming-related problems concerning loot boxes, and gambling-related problems. </w:t>
      </w:r>
      <w:r w:rsidRPr="00C22B26">
        <w:t>Higher problematic use of loot boxes score</w:t>
      </w:r>
      <w:r>
        <w:t>s</w:t>
      </w:r>
      <w:r w:rsidRPr="00C22B26">
        <w:t xml:space="preserve"> (PU-LB)</w:t>
      </w:r>
      <w:r>
        <w:t xml:space="preserve"> </w:t>
      </w:r>
      <w:r w:rsidRPr="00C22B26">
        <w:t xml:space="preserve">correlated positively with </w:t>
      </w:r>
      <w:r>
        <w:t xml:space="preserve">online gambling disorder, internet gaming disorder, </w:t>
      </w:r>
      <w:r w:rsidRPr="00C22B26">
        <w:t xml:space="preserve">higher monthly spend on </w:t>
      </w:r>
      <w:r>
        <w:t>loot boxes</w:t>
      </w:r>
      <w:r w:rsidRPr="00C22B26">
        <w:t xml:space="preserve">, and </w:t>
      </w:r>
      <w:r>
        <w:t xml:space="preserve">a greater </w:t>
      </w:r>
      <w:r w:rsidRPr="00C22B26">
        <w:t>number of</w:t>
      </w:r>
      <w:r>
        <w:t xml:space="preserve"> loot boxes</w:t>
      </w:r>
      <w:r w:rsidRPr="00C22B26">
        <w:t xml:space="preserve"> purchased in the last week</w:t>
      </w:r>
      <w:r>
        <w:t xml:space="preserve">. </w:t>
      </w:r>
    </w:p>
    <w:p w14:paraId="4F9CFD23" w14:textId="77777777" w:rsidR="00FB0D0E" w:rsidRPr="00F13C6D" w:rsidRDefault="00601740" w:rsidP="000B2101">
      <w:pPr>
        <w:pStyle w:val="Heading4"/>
      </w:pPr>
      <w:r w:rsidRPr="00F13C6D">
        <w:t>Problem p</w:t>
      </w:r>
      <w:r w:rsidR="00FB0D0E" w:rsidRPr="00F13C6D">
        <w:t>ay</w:t>
      </w:r>
      <w:r w:rsidR="004124F3" w:rsidRPr="00F13C6D">
        <w:t xml:space="preserve">-to-win </w:t>
      </w:r>
      <w:r w:rsidRPr="00F13C6D">
        <w:t>g</w:t>
      </w:r>
      <w:r w:rsidR="004124F3" w:rsidRPr="00F13C6D">
        <w:t>aming</w:t>
      </w:r>
    </w:p>
    <w:p w14:paraId="54A7F87D" w14:textId="3350C7CA" w:rsidR="00B956EA" w:rsidRDefault="00CA41CB" w:rsidP="00897FF2">
      <w:pPr>
        <w:pStyle w:val="BodyText"/>
      </w:pPr>
      <w:r>
        <w:t xml:space="preserve">Pay-to-win gaming </w:t>
      </w:r>
      <w:r w:rsidR="00E33F9F">
        <w:t>refers</w:t>
      </w:r>
      <w:r>
        <w:t xml:space="preserve"> when a consumer makes in-game purchases to increase their </w:t>
      </w:r>
      <w:r w:rsidRPr="00516BDB">
        <w:t>chances of winning, gaining time or keeping the game going (Steinmetz et al., 2021).</w:t>
      </w:r>
      <w:r>
        <w:t xml:space="preserve"> </w:t>
      </w:r>
      <w:r w:rsidR="00887BAA">
        <w:t xml:space="preserve">A </w:t>
      </w:r>
      <w:r w:rsidR="00F02465">
        <w:t xml:space="preserve">‘pay-to-win’ </w:t>
      </w:r>
      <w:r w:rsidR="00FB0D0E" w:rsidRPr="00AE598B">
        <w:t xml:space="preserve">gaming problem measure </w:t>
      </w:r>
      <w:r w:rsidR="00F02465">
        <w:t xml:space="preserve">has also been </w:t>
      </w:r>
      <w:r w:rsidR="00FB0D0E" w:rsidRPr="00AE598B">
        <w:t>adapted from the PGSI</w:t>
      </w:r>
      <w:r w:rsidR="00F02465">
        <w:t>,</w:t>
      </w:r>
      <w:r w:rsidR="00FB0D0E" w:rsidRPr="00AE598B">
        <w:t xml:space="preserve"> using the same scoring and categorisation</w:t>
      </w:r>
      <w:r w:rsidR="006B5FC2">
        <w:t xml:space="preserve"> </w:t>
      </w:r>
      <w:r w:rsidR="002C5F75">
        <w:t>(</w:t>
      </w:r>
      <w:r w:rsidR="00FB0D0E" w:rsidRPr="00AE598B">
        <w:t xml:space="preserve">no risk, low-risk, moderate-risk and high-risk </w:t>
      </w:r>
      <w:r w:rsidR="006B5FC2">
        <w:t xml:space="preserve">pay-to-win </w:t>
      </w:r>
      <w:r w:rsidR="00FB0D0E" w:rsidRPr="00AE598B">
        <w:t>problem gamers</w:t>
      </w:r>
      <w:r w:rsidR="002C5F75">
        <w:t>;</w:t>
      </w:r>
      <w:r w:rsidR="00FB0D0E" w:rsidRPr="00AE598B">
        <w:t xml:space="preserve"> Steinmetz et al., 2021; von </w:t>
      </w:r>
      <w:proofErr w:type="spellStart"/>
      <w:r w:rsidR="00FB0D0E" w:rsidRPr="00AE598B">
        <w:t>Meduna</w:t>
      </w:r>
      <w:proofErr w:type="spellEnd"/>
      <w:r w:rsidR="00FB0D0E" w:rsidRPr="00AE598B">
        <w:t xml:space="preserve"> et al., 2020). </w:t>
      </w:r>
      <w:r w:rsidR="00EA02E1">
        <w:t>Studies of</w:t>
      </w:r>
      <w:r w:rsidR="006B5FC2" w:rsidRPr="006B5FC2">
        <w:t xml:space="preserve"> adult internet users </w:t>
      </w:r>
      <w:r w:rsidR="00882740">
        <w:t xml:space="preserve">have </w:t>
      </w:r>
      <w:r w:rsidR="00FB0D0E" w:rsidRPr="00AE598B">
        <w:t xml:space="preserve">found that higher </w:t>
      </w:r>
      <w:r w:rsidR="007E27FE">
        <w:t xml:space="preserve">pay-to-win </w:t>
      </w:r>
      <w:r w:rsidR="00FB0D0E" w:rsidRPr="00AE598B">
        <w:t xml:space="preserve">spending </w:t>
      </w:r>
      <w:r w:rsidR="008719B3">
        <w:t>was related to a</w:t>
      </w:r>
      <w:r w:rsidR="00FB0D0E" w:rsidRPr="00AE598B">
        <w:t xml:space="preserve"> </w:t>
      </w:r>
      <w:r w:rsidR="008564E6">
        <w:t xml:space="preserve">higher risk of </w:t>
      </w:r>
      <w:r w:rsidR="007E27FE">
        <w:t xml:space="preserve">pay-to-win </w:t>
      </w:r>
      <w:r w:rsidR="00FB0D0E" w:rsidRPr="00AE598B">
        <w:t>gaming problems (Steinmetz et al., 2021)</w:t>
      </w:r>
      <w:r w:rsidR="002C5F75">
        <w:t>. P</w:t>
      </w:r>
      <w:r w:rsidR="00445267" w:rsidRPr="00445267">
        <w:t>urchasing loot boxes and daily loot box purchas</w:t>
      </w:r>
      <w:r w:rsidR="00D75A97">
        <w:t>ing</w:t>
      </w:r>
      <w:r w:rsidR="00445267" w:rsidRPr="00445267">
        <w:t xml:space="preserve"> </w:t>
      </w:r>
      <w:r w:rsidR="00445267">
        <w:t>were</w:t>
      </w:r>
      <w:r w:rsidR="00FB0D0E" w:rsidRPr="00AE598B">
        <w:t xml:space="preserve"> </w:t>
      </w:r>
      <w:r w:rsidR="002C5F75">
        <w:t xml:space="preserve">also </w:t>
      </w:r>
      <w:r w:rsidR="00FB0D0E" w:rsidRPr="00AE598B">
        <w:lastRenderedPageBreak/>
        <w:t xml:space="preserve">associated </w:t>
      </w:r>
      <w:r w:rsidR="002C5F75">
        <w:t xml:space="preserve">with </w:t>
      </w:r>
      <w:r w:rsidR="00445267" w:rsidRPr="00445267">
        <w:t xml:space="preserve">problem pay-to-win </w:t>
      </w:r>
      <w:r w:rsidR="00DC58E6" w:rsidRPr="00445267">
        <w:t>gam</w:t>
      </w:r>
      <w:r w:rsidR="00DC58E6">
        <w:t>ing</w:t>
      </w:r>
      <w:r w:rsidR="00FB0D0E" w:rsidRPr="00AE598B">
        <w:t xml:space="preserve"> </w:t>
      </w:r>
      <w:r w:rsidR="002C5F75">
        <w:t>classification</w:t>
      </w:r>
      <w:r w:rsidR="00FB0D0E" w:rsidRPr="00AE598B">
        <w:t xml:space="preserve"> (von </w:t>
      </w:r>
      <w:proofErr w:type="spellStart"/>
      <w:r w:rsidR="00FB0D0E" w:rsidRPr="00AE598B">
        <w:t>Meduna</w:t>
      </w:r>
      <w:proofErr w:type="spellEnd"/>
      <w:r w:rsidR="00FB0D0E" w:rsidRPr="00AE598B">
        <w:t xml:space="preserve"> et al., 2020).</w:t>
      </w:r>
      <w:r w:rsidR="0023430A">
        <w:t xml:space="preserve"> </w:t>
      </w:r>
      <w:r w:rsidR="00FE7AE7">
        <w:t>v</w:t>
      </w:r>
      <w:r w:rsidR="0023430A">
        <w:t xml:space="preserve">on </w:t>
      </w:r>
      <w:proofErr w:type="spellStart"/>
      <w:r w:rsidR="0023430A">
        <w:t>Meduna</w:t>
      </w:r>
      <w:proofErr w:type="spellEnd"/>
      <w:r w:rsidR="0023430A">
        <w:t xml:space="preserve"> and colleagues (2020) found that</w:t>
      </w:r>
      <w:r w:rsidR="0005589C">
        <w:t xml:space="preserve"> </w:t>
      </w:r>
      <w:r w:rsidR="00BF2E79">
        <w:t>the observed</w:t>
      </w:r>
      <w:r w:rsidR="007A61D3">
        <w:t xml:space="preserve"> relationship</w:t>
      </w:r>
      <w:r w:rsidR="00967746">
        <w:t xml:space="preserve"> </w:t>
      </w:r>
      <w:r w:rsidR="007A61D3">
        <w:t>between</w:t>
      </w:r>
      <w:r w:rsidR="0005589C">
        <w:t xml:space="preserve"> loot box </w:t>
      </w:r>
      <w:proofErr w:type="gramStart"/>
      <w:r w:rsidR="0005589C">
        <w:t>purchasing</w:t>
      </w:r>
      <w:proofErr w:type="gramEnd"/>
      <w:r w:rsidR="0005589C">
        <w:t xml:space="preserve"> </w:t>
      </w:r>
      <w:r w:rsidR="007A61D3">
        <w:t>and</w:t>
      </w:r>
      <w:r w:rsidR="0023430A">
        <w:t xml:space="preserve"> </w:t>
      </w:r>
      <w:r w:rsidR="0005589C">
        <w:t>pay-to</w:t>
      </w:r>
      <w:r w:rsidR="002C5F75">
        <w:t>-</w:t>
      </w:r>
      <w:r w:rsidR="0005589C">
        <w:t>win gaming</w:t>
      </w:r>
      <w:r w:rsidR="00967746">
        <w:t xml:space="preserve"> problems</w:t>
      </w:r>
      <w:r w:rsidR="0023430A">
        <w:t xml:space="preserve"> persisted even when accounting for </w:t>
      </w:r>
      <w:r w:rsidR="007A61D3">
        <w:t>demographic factor</w:t>
      </w:r>
      <w:r w:rsidR="00BF2E79">
        <w:t>s, monetary gambling and other gaming behaviours.</w:t>
      </w:r>
    </w:p>
    <w:p w14:paraId="7CD7E9FA" w14:textId="77777777" w:rsidR="005662F2" w:rsidRPr="00F13C6D" w:rsidRDefault="005662F2" w:rsidP="000B2101">
      <w:pPr>
        <w:pStyle w:val="Heading4"/>
      </w:pPr>
      <w:r w:rsidRPr="00F13C6D">
        <w:t>Perceived harmful features of loot boxes</w:t>
      </w:r>
    </w:p>
    <w:p w14:paraId="02380DCA" w14:textId="77777777" w:rsidR="005662F2" w:rsidRDefault="005662F2" w:rsidP="00897FF2">
      <w:pPr>
        <w:pStyle w:val="BodyText"/>
      </w:pPr>
      <w:r w:rsidRPr="00AE598B">
        <w:t xml:space="preserve">Hing </w:t>
      </w:r>
      <w:r w:rsidR="004D71CB">
        <w:t>and colleagues</w:t>
      </w:r>
      <w:r w:rsidRPr="00AE598B">
        <w:t xml:space="preserve"> (2021) conducted qualitative interviews with Australian adult loot box purchasers</w:t>
      </w:r>
      <w:r w:rsidR="004D71CB">
        <w:t>.</w:t>
      </w:r>
      <w:r>
        <w:t xml:space="preserve"> </w:t>
      </w:r>
      <w:r w:rsidR="004D71CB">
        <w:t>W</w:t>
      </w:r>
      <w:r w:rsidR="004D71CB" w:rsidRPr="00AE598B">
        <w:t xml:space="preserve">hile </w:t>
      </w:r>
      <w:r>
        <w:t>participants</w:t>
      </w:r>
      <w:r w:rsidRPr="00AE598B">
        <w:t xml:space="preserve"> reported no serious harm from loot box purchasing, </w:t>
      </w:r>
      <w:r>
        <w:t>they</w:t>
      </w:r>
      <w:r w:rsidRPr="00AE598B">
        <w:t xml:space="preserve"> expressed concerns that loot boxes may be attracti</w:t>
      </w:r>
      <w:r>
        <w:t>ve</w:t>
      </w:r>
      <w:r w:rsidRPr="00AE598B">
        <w:t xml:space="preserve"> and harmful to a younger </w:t>
      </w:r>
      <w:r>
        <w:t>(</w:t>
      </w:r>
      <w:r w:rsidRPr="00AE598B">
        <w:t>underage</w:t>
      </w:r>
      <w:r>
        <w:t>)</w:t>
      </w:r>
      <w:r w:rsidRPr="00AE598B">
        <w:t xml:space="preserve"> market. </w:t>
      </w:r>
      <w:r>
        <w:t>Participants also described</w:t>
      </w:r>
      <w:r w:rsidRPr="00AE598B">
        <w:t xml:space="preserve"> risky features of loot boxes, including continual availability, unknown cost of chasing desired items, addictive potential, prolific in-game promotions, low cost per transaction facilitating continued purchasing, easy access to minors, and lack </w:t>
      </w:r>
      <w:r w:rsidR="004D71CB">
        <w:t xml:space="preserve">of </w:t>
      </w:r>
      <w:r w:rsidRPr="00AE598B">
        <w:t xml:space="preserve">consumer </w:t>
      </w:r>
      <w:r>
        <w:t>protection</w:t>
      </w:r>
      <w:r w:rsidRPr="00AE598B">
        <w:t xml:space="preserve"> features (i.e. age restrictions, odds information, responsible gambling tools) (Hing et al</w:t>
      </w:r>
      <w:r w:rsidR="004D71CB">
        <w:t>.</w:t>
      </w:r>
      <w:r w:rsidRPr="00AE598B">
        <w:t>, 2021).</w:t>
      </w:r>
    </w:p>
    <w:p w14:paraId="3B75BC80" w14:textId="77777777" w:rsidR="00836AC7" w:rsidRPr="00393D22" w:rsidRDefault="00836AC7" w:rsidP="00393D22">
      <w:pPr>
        <w:pStyle w:val="Heading2"/>
      </w:pPr>
      <w:bookmarkStart w:id="39" w:name="_Toc106359512"/>
      <w:r w:rsidRPr="00393D22">
        <w:t>Which groups are most at</w:t>
      </w:r>
      <w:r w:rsidR="004D71CB">
        <w:t xml:space="preserve"> </w:t>
      </w:r>
      <w:r w:rsidRPr="00393D22">
        <w:t>risk or vulnerable to harm</w:t>
      </w:r>
      <w:r w:rsidR="00D544ED" w:rsidRPr="00393D22">
        <w:t xml:space="preserve"> from loot boxes</w:t>
      </w:r>
      <w:r w:rsidRPr="00393D22">
        <w:t>?</w:t>
      </w:r>
      <w:bookmarkEnd w:id="39"/>
    </w:p>
    <w:tbl>
      <w:tblPr>
        <w:tblStyle w:val="TableGrid"/>
        <w:tblW w:w="84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95"/>
      </w:tblGrid>
      <w:tr w:rsidR="00A6147B" w14:paraId="13BF7217" w14:textId="77777777" w:rsidTr="006066C1">
        <w:trPr>
          <w:cnfStyle w:val="100000000000" w:firstRow="1" w:lastRow="0" w:firstColumn="0" w:lastColumn="0" w:oddVBand="0" w:evenVBand="0" w:oddHBand="0" w:evenHBand="0" w:firstRowFirstColumn="0" w:firstRowLastColumn="0" w:lastRowFirstColumn="0" w:lastRowLastColumn="0"/>
        </w:trPr>
        <w:tc>
          <w:tcPr>
            <w:tcW w:w="8495" w:type="dxa"/>
          </w:tcPr>
          <w:p w14:paraId="2ECD443C" w14:textId="39EC73EF" w:rsidR="00A6147B" w:rsidRPr="00AA29D5" w:rsidRDefault="00A6147B" w:rsidP="00A64B4B">
            <w:pPr>
              <w:pStyle w:val="BodyText"/>
              <w:spacing w:line="360" w:lineRule="auto"/>
              <w:rPr>
                <w:b/>
                <w:bCs/>
                <w:color w:val="FFFFFF" w:themeColor="background1"/>
              </w:rPr>
            </w:pPr>
            <w:r>
              <w:rPr>
                <w:b/>
                <w:bCs/>
                <w:color w:val="FFFFFF" w:themeColor="background1"/>
              </w:rPr>
              <w:t xml:space="preserve">Assessment of </w:t>
            </w:r>
            <w:r w:rsidR="00046A26">
              <w:rPr>
                <w:b/>
                <w:bCs/>
                <w:color w:val="FFFFFF" w:themeColor="background1"/>
              </w:rPr>
              <w:t xml:space="preserve">strength and </w:t>
            </w:r>
            <w:r w:rsidR="00D21BC1">
              <w:rPr>
                <w:b/>
                <w:bCs/>
                <w:color w:val="FFFFFF" w:themeColor="background1"/>
              </w:rPr>
              <w:t>value</w:t>
            </w:r>
            <w:r w:rsidR="000E5ACC">
              <w:rPr>
                <w:b/>
                <w:bCs/>
                <w:color w:val="FFFFFF" w:themeColor="background1"/>
              </w:rPr>
              <w:t xml:space="preserve"> </w:t>
            </w:r>
            <w:r>
              <w:rPr>
                <w:b/>
                <w:bCs/>
                <w:color w:val="FFFFFF" w:themeColor="background1"/>
              </w:rPr>
              <w:t xml:space="preserve">of evidence for </w:t>
            </w:r>
            <w:r w:rsidR="009B722E">
              <w:rPr>
                <w:b/>
                <w:bCs/>
                <w:color w:val="FFFFFF" w:themeColor="background1"/>
              </w:rPr>
              <w:t xml:space="preserve">which </w:t>
            </w:r>
            <w:r w:rsidR="00911B40">
              <w:rPr>
                <w:b/>
                <w:bCs/>
                <w:color w:val="FFFFFF" w:themeColor="background1"/>
              </w:rPr>
              <w:t xml:space="preserve">groups </w:t>
            </w:r>
            <w:r w:rsidR="009B722E">
              <w:rPr>
                <w:b/>
                <w:bCs/>
                <w:color w:val="FFFFFF" w:themeColor="background1"/>
              </w:rPr>
              <w:t xml:space="preserve">are most </w:t>
            </w:r>
            <w:r w:rsidR="00911B40">
              <w:rPr>
                <w:b/>
                <w:bCs/>
                <w:color w:val="FFFFFF" w:themeColor="background1"/>
              </w:rPr>
              <w:t xml:space="preserve">at </w:t>
            </w:r>
            <w:r w:rsidR="009B722E">
              <w:rPr>
                <w:b/>
                <w:bCs/>
                <w:color w:val="FFFFFF" w:themeColor="background1"/>
              </w:rPr>
              <w:t>risk of harm related to loot box engagement</w:t>
            </w:r>
          </w:p>
        </w:tc>
      </w:tr>
      <w:tr w:rsidR="00A6147B" w14:paraId="3B227A24" w14:textId="77777777" w:rsidTr="00A902DA">
        <w:tc>
          <w:tcPr>
            <w:tcW w:w="8495" w:type="dxa"/>
            <w:shd w:val="clear" w:color="auto" w:fill="FABF8F" w:themeFill="accent6" w:themeFillTint="99"/>
          </w:tcPr>
          <w:p w14:paraId="328889FD" w14:textId="77777777" w:rsidR="00A6147B" w:rsidRDefault="00A6147B" w:rsidP="00A64B4B">
            <w:pPr>
              <w:pStyle w:val="BodyText"/>
              <w:spacing w:line="360" w:lineRule="auto"/>
            </w:pPr>
            <w:r w:rsidRPr="00916853">
              <w:rPr>
                <w:b/>
                <w:bCs/>
              </w:rPr>
              <w:t>Medium</w:t>
            </w:r>
            <w:r>
              <w:t xml:space="preserve"> – </w:t>
            </w:r>
            <w:r w:rsidR="00E55DA9">
              <w:t>Some high</w:t>
            </w:r>
            <w:r w:rsidR="00086FEE">
              <w:t xml:space="preserve"> </w:t>
            </w:r>
            <w:r w:rsidR="00E55DA9">
              <w:t xml:space="preserve">strength evidence of </w:t>
            </w:r>
            <w:r w:rsidR="00436603">
              <w:t>demographic differences</w:t>
            </w:r>
            <w:r w:rsidR="009318AF">
              <w:t xml:space="preserve"> </w:t>
            </w:r>
            <w:r w:rsidR="001B394F">
              <w:t xml:space="preserve">affecting </w:t>
            </w:r>
            <w:r w:rsidR="009318AF">
              <w:t>problem gambling</w:t>
            </w:r>
            <w:r w:rsidR="001B394F">
              <w:t xml:space="preserve"> risk</w:t>
            </w:r>
            <w:r w:rsidR="00436603">
              <w:t xml:space="preserve"> (e.g. age, gender). Limited information about </w:t>
            </w:r>
            <w:r w:rsidR="009318AF">
              <w:t>other types of harm</w:t>
            </w:r>
            <w:r w:rsidR="00A02E27">
              <w:t>.</w:t>
            </w:r>
          </w:p>
        </w:tc>
      </w:tr>
    </w:tbl>
    <w:p w14:paraId="34B478A4" w14:textId="77777777" w:rsidR="00BC1FB8" w:rsidRPr="00393D22" w:rsidRDefault="000629AB" w:rsidP="00393D22">
      <w:pPr>
        <w:pStyle w:val="Heading3"/>
      </w:pPr>
      <w:r w:rsidRPr="00393D22">
        <w:t>Demographic</w:t>
      </w:r>
      <w:r w:rsidR="004C543A" w:rsidRPr="00393D22">
        <w:t xml:space="preserve"> characteristics</w:t>
      </w:r>
    </w:p>
    <w:p w14:paraId="0A8502F3" w14:textId="7752F19E" w:rsidR="00CF3B77" w:rsidRPr="00AE598B" w:rsidRDefault="00B476C6" w:rsidP="00897FF2">
      <w:pPr>
        <w:pStyle w:val="BodyText"/>
      </w:pPr>
      <w:r w:rsidRPr="00AE598B">
        <w:t xml:space="preserve">While </w:t>
      </w:r>
      <w:r w:rsidR="00E22A52">
        <w:t>an</w:t>
      </w:r>
      <w:r w:rsidR="001405C2" w:rsidRPr="00AE598B">
        <w:t xml:space="preserve"> </w:t>
      </w:r>
      <w:r w:rsidR="00346FF6" w:rsidRPr="00AE598B">
        <w:t>association</w:t>
      </w:r>
      <w:r w:rsidR="00E5156A" w:rsidRPr="00AE598B">
        <w:t xml:space="preserve"> between</w:t>
      </w:r>
      <w:r w:rsidR="00451805" w:rsidRPr="00AE598B">
        <w:t xml:space="preserve"> </w:t>
      </w:r>
      <w:r w:rsidR="00E5156A" w:rsidRPr="00AE598B">
        <w:t>lo</w:t>
      </w:r>
      <w:r w:rsidR="006D7C8A" w:rsidRPr="00AE598B">
        <w:t>o</w:t>
      </w:r>
      <w:r w:rsidR="00E5156A" w:rsidRPr="00AE598B">
        <w:t>t box</w:t>
      </w:r>
      <w:r w:rsidR="00451805" w:rsidRPr="00AE598B">
        <w:t xml:space="preserve"> spending</w:t>
      </w:r>
      <w:r w:rsidR="00E5156A" w:rsidRPr="00AE598B">
        <w:t xml:space="preserve"> and gambling</w:t>
      </w:r>
      <w:r w:rsidR="0025531E">
        <w:t xml:space="preserve"> </w:t>
      </w:r>
      <w:r w:rsidR="00E5156A" w:rsidRPr="00AE598B">
        <w:t>problems ha</w:t>
      </w:r>
      <w:r w:rsidR="00E92557" w:rsidRPr="00AE598B">
        <w:t>s</w:t>
      </w:r>
      <w:r w:rsidR="00E5156A" w:rsidRPr="00AE598B">
        <w:t xml:space="preserve"> been found </w:t>
      </w:r>
      <w:r w:rsidR="00C70E08" w:rsidRPr="00AE598B">
        <w:t>for</w:t>
      </w:r>
      <w:r w:rsidR="000A2617" w:rsidRPr="00AE598B">
        <w:t xml:space="preserve"> both </w:t>
      </w:r>
      <w:r w:rsidR="00AB5AF0">
        <w:t>children/</w:t>
      </w:r>
      <w:r w:rsidR="000A2617" w:rsidRPr="00AE598B">
        <w:t xml:space="preserve">adolescents </w:t>
      </w:r>
      <w:r w:rsidR="00AB5AF0">
        <w:t>(</w:t>
      </w:r>
      <w:r w:rsidR="00396212">
        <w:t>aged 12</w:t>
      </w:r>
      <w:r w:rsidR="006D54B1">
        <w:t>–</w:t>
      </w:r>
      <w:r w:rsidR="00396212">
        <w:t>17 years</w:t>
      </w:r>
      <w:r w:rsidR="00AB5AF0">
        <w:t>)</w:t>
      </w:r>
      <w:r w:rsidR="00396212">
        <w:t xml:space="preserve"> </w:t>
      </w:r>
      <w:r w:rsidR="000A2617" w:rsidRPr="00AE598B">
        <w:t xml:space="preserve">and adults aged 18 and </w:t>
      </w:r>
      <w:r w:rsidR="00FC6ED4">
        <w:t xml:space="preserve">over </w:t>
      </w:r>
      <w:r w:rsidRPr="00AE598B">
        <w:t>(</w:t>
      </w:r>
      <w:r w:rsidR="00CC22FD" w:rsidRPr="00AE598B">
        <w:t xml:space="preserve">e.g. </w:t>
      </w:r>
      <w:r w:rsidR="000B7EDF" w:rsidRPr="00AE598B">
        <w:t xml:space="preserve">Hing et al., </w:t>
      </w:r>
      <w:r w:rsidR="00CC22FD" w:rsidRPr="00AE598B">
        <w:t>202</w:t>
      </w:r>
      <w:r w:rsidR="00907F32" w:rsidRPr="00AE598B">
        <w:t>0</w:t>
      </w:r>
      <w:r w:rsidR="00CC22FD" w:rsidRPr="00AE598B">
        <w:t xml:space="preserve">; </w:t>
      </w:r>
      <w:proofErr w:type="spellStart"/>
      <w:r w:rsidRPr="00AE598B">
        <w:t>Rockloff</w:t>
      </w:r>
      <w:proofErr w:type="spellEnd"/>
      <w:r w:rsidRPr="00AE598B">
        <w:t xml:space="preserve"> et al., 2021</w:t>
      </w:r>
      <w:r w:rsidR="00C70E08" w:rsidRPr="00AE598B">
        <w:t>;</w:t>
      </w:r>
      <w:r w:rsidR="00F71FD6" w:rsidRPr="00AE598B">
        <w:t xml:space="preserve"> </w:t>
      </w:r>
      <w:proofErr w:type="spellStart"/>
      <w:r w:rsidR="00F71FD6" w:rsidRPr="00AE598B">
        <w:t>Zendle</w:t>
      </w:r>
      <w:proofErr w:type="spellEnd"/>
      <w:r w:rsidR="000055E1">
        <w:t xml:space="preserve"> &amp;</w:t>
      </w:r>
      <w:r w:rsidR="00CE1F70">
        <w:t xml:space="preserve"> </w:t>
      </w:r>
      <w:r w:rsidR="00B34A57">
        <w:t>C</w:t>
      </w:r>
      <w:r w:rsidR="00CE6243">
        <w:t xml:space="preserve">airns, </w:t>
      </w:r>
      <w:r w:rsidR="00F71FD6" w:rsidRPr="00AE598B">
        <w:t>2018;</w:t>
      </w:r>
      <w:r w:rsidR="00C70E08" w:rsidRPr="00AE598B">
        <w:t xml:space="preserve"> </w:t>
      </w:r>
      <w:proofErr w:type="spellStart"/>
      <w:r w:rsidR="00C70E08" w:rsidRPr="00AE598B">
        <w:t>Zendle</w:t>
      </w:r>
      <w:proofErr w:type="spellEnd"/>
      <w:r w:rsidR="00FB7185">
        <w:t>, Cairns</w:t>
      </w:r>
      <w:r w:rsidR="00C70E08" w:rsidRPr="00AE598B">
        <w:t xml:space="preserve"> et al., </w:t>
      </w:r>
      <w:r w:rsidR="00FB7185">
        <w:t>2019;</w:t>
      </w:r>
      <w:r w:rsidR="00610B07">
        <w:t xml:space="preserve">; </w:t>
      </w:r>
      <w:proofErr w:type="spellStart"/>
      <w:r w:rsidR="00610B07">
        <w:t>Zendle</w:t>
      </w:r>
      <w:proofErr w:type="spellEnd"/>
      <w:r w:rsidR="00610B07">
        <w:t xml:space="preserve">, Meyer </w:t>
      </w:r>
      <w:r w:rsidR="00FB7185">
        <w:t xml:space="preserve">et al., </w:t>
      </w:r>
      <w:r w:rsidR="00610B07">
        <w:t>2019</w:t>
      </w:r>
      <w:r w:rsidR="00FA6E66">
        <w:t>), s</w:t>
      </w:r>
      <w:r w:rsidRPr="00AE598B">
        <w:t xml:space="preserve">ome research suggests </w:t>
      </w:r>
      <w:r w:rsidR="00E22A52">
        <w:t>this</w:t>
      </w:r>
      <w:r w:rsidR="0021112B" w:rsidRPr="00AE598B">
        <w:t xml:space="preserve"> relationship </w:t>
      </w:r>
      <w:r w:rsidR="00846A2E" w:rsidRPr="00AE598B">
        <w:t xml:space="preserve">is </w:t>
      </w:r>
      <w:r w:rsidR="0021112B" w:rsidRPr="00AE598B">
        <w:t xml:space="preserve">stronger </w:t>
      </w:r>
      <w:r w:rsidR="004200DC" w:rsidRPr="00AE598B">
        <w:t>for</w:t>
      </w:r>
      <w:r w:rsidR="0021112B" w:rsidRPr="00AE598B">
        <w:t xml:space="preserve"> </w:t>
      </w:r>
      <w:r w:rsidR="00E74357" w:rsidRPr="00AE598B">
        <w:t>(</w:t>
      </w:r>
      <w:r w:rsidR="0021112B" w:rsidRPr="00AE598B">
        <w:t>older</w:t>
      </w:r>
      <w:r w:rsidR="00E74357" w:rsidRPr="00AE598B">
        <w:t>)</w:t>
      </w:r>
      <w:r w:rsidR="0021112B" w:rsidRPr="00AE598B">
        <w:t xml:space="preserve"> adolescents than adults</w:t>
      </w:r>
      <w:r w:rsidR="00846A2E" w:rsidRPr="00AE598B">
        <w:t xml:space="preserve"> (</w:t>
      </w:r>
      <w:r w:rsidR="00361278">
        <w:t xml:space="preserve">Hing et al., 2021; </w:t>
      </w:r>
      <w:r w:rsidR="006302D8">
        <w:t xml:space="preserve">Kristiansen &amp; Severin, 2020b; </w:t>
      </w:r>
      <w:r w:rsidR="006170FA">
        <w:t xml:space="preserve">Wardle &amp; </w:t>
      </w:r>
      <w:proofErr w:type="spellStart"/>
      <w:r w:rsidR="006170FA">
        <w:t>Zendle</w:t>
      </w:r>
      <w:proofErr w:type="spellEnd"/>
      <w:r w:rsidR="006170FA">
        <w:t>, 2021</w:t>
      </w:r>
      <w:r w:rsidR="00846A2E" w:rsidRPr="00AE598B">
        <w:t>)</w:t>
      </w:r>
      <w:r w:rsidR="00CD6656" w:rsidRPr="00AE598B">
        <w:t>.</w:t>
      </w:r>
      <w:r w:rsidR="004442B8">
        <w:t xml:space="preserve"> </w:t>
      </w:r>
      <w:r w:rsidR="00C16462">
        <w:t>In other</w:t>
      </w:r>
      <w:r w:rsidR="00CB0D31">
        <w:t xml:space="preserve"> </w:t>
      </w:r>
      <w:r w:rsidR="007E2E1A">
        <w:t>recent</w:t>
      </w:r>
      <w:r w:rsidR="00E53336" w:rsidRPr="00AE598B">
        <w:t xml:space="preserve"> </w:t>
      </w:r>
      <w:r w:rsidR="00C25D06" w:rsidRPr="00AE598B">
        <w:t>Australian research</w:t>
      </w:r>
      <w:r w:rsidR="00C16462">
        <w:t>,</w:t>
      </w:r>
      <w:r w:rsidR="00C25D06" w:rsidRPr="00AE598B">
        <w:t xml:space="preserve"> frequency of buying loot boxes was more strongly associated with </w:t>
      </w:r>
      <w:r w:rsidR="00033541">
        <w:t xml:space="preserve">problem gambling </w:t>
      </w:r>
      <w:r w:rsidR="00C25D06" w:rsidRPr="00AE598B">
        <w:t xml:space="preserve">among </w:t>
      </w:r>
      <w:r w:rsidR="0011251C" w:rsidRPr="0011251C">
        <w:t>the older cohort</w:t>
      </w:r>
      <w:r w:rsidR="00C25D06" w:rsidRPr="00AE598B">
        <w:t xml:space="preserve"> (25</w:t>
      </w:r>
      <w:r w:rsidR="00CE6243">
        <w:t>–</w:t>
      </w:r>
      <w:r w:rsidR="00C25D06" w:rsidRPr="00AE598B">
        <w:t>29 years</w:t>
      </w:r>
      <w:r w:rsidR="0011251C" w:rsidRPr="0011251C">
        <w:t xml:space="preserve">), compared to those aged </w:t>
      </w:r>
      <w:r w:rsidR="00C25D06" w:rsidRPr="00AE598B">
        <w:t>18–24 years</w:t>
      </w:r>
      <w:r w:rsidR="0011251C" w:rsidRPr="0011251C">
        <w:t xml:space="preserve"> (Russell et al.,</w:t>
      </w:r>
      <w:r w:rsidR="00C25D06" w:rsidRPr="00AE598B">
        <w:t xml:space="preserve"> 2020).</w:t>
      </w:r>
    </w:p>
    <w:p w14:paraId="2BCECFD0" w14:textId="57089069" w:rsidR="00A91BFF" w:rsidRDefault="00B16258" w:rsidP="00897FF2">
      <w:pPr>
        <w:pStyle w:val="BodyText"/>
      </w:pPr>
      <w:r>
        <w:t>L</w:t>
      </w:r>
      <w:r w:rsidR="00CF52E2" w:rsidRPr="00AE598B">
        <w:t xml:space="preserve">oot box engagement </w:t>
      </w:r>
      <w:r w:rsidR="00FC64EE">
        <w:t>has been found to</w:t>
      </w:r>
      <w:r w:rsidR="00CF52E2" w:rsidRPr="00AE598B">
        <w:t xml:space="preserve"> </w:t>
      </w:r>
      <w:r w:rsidR="00FA4EB4">
        <w:t xml:space="preserve">be </w:t>
      </w:r>
      <w:r w:rsidR="007420F7">
        <w:t>more common among males than females</w:t>
      </w:r>
      <w:r w:rsidR="00CF52E2" w:rsidRPr="00AE598B">
        <w:t xml:space="preserve"> </w:t>
      </w:r>
      <w:r w:rsidR="00FA4EB4">
        <w:t xml:space="preserve">but </w:t>
      </w:r>
      <w:r w:rsidR="00CF52E2" w:rsidRPr="00AE598B">
        <w:t xml:space="preserve">the association between loot box engagement and problem gambling risk </w:t>
      </w:r>
      <w:r>
        <w:t>has been found to be</w:t>
      </w:r>
      <w:r w:rsidR="006A1CF6">
        <w:t xml:space="preserve"> </w:t>
      </w:r>
      <w:r w:rsidR="00CF52E2" w:rsidRPr="00AE598B">
        <w:t xml:space="preserve">stronger for females </w:t>
      </w:r>
      <w:r w:rsidR="004442B8">
        <w:t>who engage with loot boxes</w:t>
      </w:r>
      <w:r w:rsidR="00DC7831">
        <w:t xml:space="preserve"> </w:t>
      </w:r>
      <w:r w:rsidR="00CF52E2" w:rsidRPr="00AE598B">
        <w:t>than males</w:t>
      </w:r>
      <w:r w:rsidR="00CF52E2">
        <w:t xml:space="preserve"> </w:t>
      </w:r>
      <w:r w:rsidR="00205B30">
        <w:t xml:space="preserve">in Australia </w:t>
      </w:r>
      <w:r w:rsidR="00CF52E2">
        <w:t>(</w:t>
      </w:r>
      <w:proofErr w:type="spellStart"/>
      <w:r w:rsidR="00CF52E2">
        <w:t>Rockloff</w:t>
      </w:r>
      <w:proofErr w:type="spellEnd"/>
      <w:r w:rsidR="00CF52E2">
        <w:t xml:space="preserve"> et al., 2021) and internationally</w:t>
      </w:r>
      <w:r w:rsidR="00CF52E2" w:rsidRPr="00AE598B">
        <w:t xml:space="preserve"> (</w:t>
      </w:r>
      <w:r w:rsidR="00CF52E2">
        <w:t xml:space="preserve">Ide et al., 2021; </w:t>
      </w:r>
      <w:r w:rsidR="00CF52E2" w:rsidRPr="00AE598B">
        <w:t>Kristiansen &amp; Severin, 2020b)</w:t>
      </w:r>
      <w:r w:rsidR="00CF52E2">
        <w:t>.</w:t>
      </w:r>
      <w:r w:rsidR="00C34BA1">
        <w:t xml:space="preserve"> </w:t>
      </w:r>
    </w:p>
    <w:p w14:paraId="3807267F" w14:textId="77777777" w:rsidR="00942262" w:rsidRPr="00393D22" w:rsidRDefault="00382707" w:rsidP="00393D22">
      <w:pPr>
        <w:pStyle w:val="Heading3"/>
      </w:pPr>
      <w:r>
        <w:t>Gambl</w:t>
      </w:r>
      <w:r w:rsidR="00597B64">
        <w:t>ing behaviours</w:t>
      </w:r>
    </w:p>
    <w:p w14:paraId="055C9801" w14:textId="77777777" w:rsidR="00942262" w:rsidRPr="00AE598B" w:rsidRDefault="00942262" w:rsidP="00897FF2">
      <w:pPr>
        <w:pStyle w:val="BodyText"/>
      </w:pPr>
      <w:r w:rsidRPr="00AE598B">
        <w:t xml:space="preserve">In a </w:t>
      </w:r>
      <w:r w:rsidR="00EB40B3">
        <w:t>UK</w:t>
      </w:r>
      <w:r w:rsidR="00EB40B3" w:rsidRPr="00AE598B">
        <w:t xml:space="preserve"> </w:t>
      </w:r>
      <w:r w:rsidRPr="00AE598B">
        <w:t xml:space="preserve">sample of </w:t>
      </w:r>
      <w:r w:rsidR="004B29C0">
        <w:t>adolescents and young adults (</w:t>
      </w:r>
      <w:r w:rsidR="006E7B63">
        <w:t xml:space="preserve">aged </w:t>
      </w:r>
      <w:r w:rsidR="004B29C0">
        <w:t>16-24)</w:t>
      </w:r>
      <w:r w:rsidRPr="00AE598B">
        <w:t xml:space="preserve">, </w:t>
      </w:r>
      <w:r w:rsidR="00904F65">
        <w:t>individuals with higher</w:t>
      </w:r>
      <w:r w:rsidR="004034EC">
        <w:t xml:space="preserve"> </w:t>
      </w:r>
      <w:r w:rsidR="00C21BCF">
        <w:t>gambl</w:t>
      </w:r>
      <w:r w:rsidR="004034EC">
        <w:t>ing engagement</w:t>
      </w:r>
      <w:r w:rsidR="00904F65">
        <w:t xml:space="preserve"> (frequency, </w:t>
      </w:r>
      <w:r w:rsidR="00F35712">
        <w:t>number of activities, past-week participation)</w:t>
      </w:r>
      <w:r w:rsidR="00916D52">
        <w:t xml:space="preserve"> </w:t>
      </w:r>
      <w:r w:rsidR="00904F65">
        <w:t>were at increased risk of gambling problems associated with</w:t>
      </w:r>
      <w:r w:rsidR="00916D52">
        <w:t xml:space="preserve"> </w:t>
      </w:r>
      <w:r w:rsidR="00904F65">
        <w:t xml:space="preserve">having </w:t>
      </w:r>
      <w:r w:rsidR="00916D52">
        <w:t>purchas</w:t>
      </w:r>
      <w:r w:rsidR="00904F65">
        <w:t>ed</w:t>
      </w:r>
      <w:r w:rsidR="00916D52">
        <w:t xml:space="preserve"> loot boxes in the previous year</w:t>
      </w:r>
      <w:r w:rsidRPr="00AE598B">
        <w:t xml:space="preserve"> (</w:t>
      </w:r>
      <w:r w:rsidR="004B29C0">
        <w:t xml:space="preserve">Wardle &amp; </w:t>
      </w:r>
      <w:proofErr w:type="spellStart"/>
      <w:r w:rsidR="004B29C0">
        <w:t>Zendle</w:t>
      </w:r>
      <w:proofErr w:type="spellEnd"/>
      <w:r w:rsidR="004B29C0">
        <w:t>,</w:t>
      </w:r>
      <w:r w:rsidRPr="00AE598B">
        <w:t xml:space="preserve"> 2021). In a</w:t>
      </w:r>
      <w:r w:rsidR="00E76BCA" w:rsidRPr="00AE598B">
        <w:t>nother</w:t>
      </w:r>
      <w:r w:rsidRPr="00AE598B">
        <w:t xml:space="preserve"> representative sample of Australian adult</w:t>
      </w:r>
      <w:r w:rsidR="00D677B7" w:rsidRPr="00AE598B">
        <w:t>s who</w:t>
      </w:r>
      <w:r w:rsidRPr="00AE598B">
        <w:t xml:space="preserve"> gamble, interactive </w:t>
      </w:r>
      <w:r w:rsidR="00D677B7" w:rsidRPr="00AE598B">
        <w:t xml:space="preserve">(online) </w:t>
      </w:r>
      <w:r w:rsidRPr="00AE598B">
        <w:t>gamblers were more likely</w:t>
      </w:r>
      <w:r w:rsidR="001707F3">
        <w:t xml:space="preserve"> than </w:t>
      </w:r>
      <w:r w:rsidR="001707F3" w:rsidRPr="00AE598B">
        <w:t>non-interactive gamblers</w:t>
      </w:r>
      <w:r w:rsidRPr="00AE598B">
        <w:t xml:space="preserve"> to report </w:t>
      </w:r>
      <w:r w:rsidR="000B755D" w:rsidRPr="00AE598B">
        <w:t xml:space="preserve">that </w:t>
      </w:r>
      <w:r w:rsidRPr="00AE598B">
        <w:t xml:space="preserve">loot boxes were the most harmful gambling activity (Hing et al., 2021). </w:t>
      </w:r>
    </w:p>
    <w:p w14:paraId="4C4004E0" w14:textId="7A3BAB63" w:rsidR="006F0B1D" w:rsidRDefault="006F0B1D" w:rsidP="00897FF2">
      <w:pPr>
        <w:pStyle w:val="BodyText"/>
      </w:pPr>
      <w:r>
        <w:lastRenderedPageBreak/>
        <w:t xml:space="preserve">A pre-post design longitudinal study </w:t>
      </w:r>
      <w:r w:rsidR="00D026DD">
        <w:t xml:space="preserve">conducted by </w:t>
      </w:r>
      <w:proofErr w:type="spellStart"/>
      <w:r w:rsidR="00D026DD">
        <w:t>Zendle</w:t>
      </w:r>
      <w:proofErr w:type="spellEnd"/>
      <w:r w:rsidR="00D026DD">
        <w:t xml:space="preserve"> (2019) </w:t>
      </w:r>
      <w:r w:rsidR="00C16462">
        <w:t>surveyed</w:t>
      </w:r>
      <w:r>
        <w:t xml:space="preserve"> </w:t>
      </w:r>
      <w:r w:rsidR="00AB22D9">
        <w:t xml:space="preserve">video gamers </w:t>
      </w:r>
      <w:r w:rsidR="00D026DD">
        <w:t>about their loot box consumption</w:t>
      </w:r>
      <w:r w:rsidR="00A32DF8">
        <w:t xml:space="preserve">. The second </w:t>
      </w:r>
      <w:r w:rsidR="000F71EA">
        <w:t>survey</w:t>
      </w:r>
      <w:r w:rsidR="00C16462">
        <w:t>,</w:t>
      </w:r>
      <w:r w:rsidR="000F71EA">
        <w:t xml:space="preserve"> </w:t>
      </w:r>
      <w:r w:rsidR="00F22BE9">
        <w:t xml:space="preserve">roughly 12 months </w:t>
      </w:r>
      <w:r w:rsidR="000F71EA">
        <w:t>after the first</w:t>
      </w:r>
      <w:r w:rsidR="00C16462">
        <w:t>,</w:t>
      </w:r>
      <w:r w:rsidR="00F22BE9">
        <w:t xml:space="preserve"> </w:t>
      </w:r>
      <w:r w:rsidR="000F71EA">
        <w:t>occurred after</w:t>
      </w:r>
      <w:r w:rsidR="00A32DF8">
        <w:t xml:space="preserve"> loot boxes</w:t>
      </w:r>
      <w:r w:rsidR="000F71EA">
        <w:t xml:space="preserve"> had been removed from </w:t>
      </w:r>
      <w:r w:rsidR="003B5440">
        <w:t>the game</w:t>
      </w:r>
      <w:r w:rsidR="00F22BE9">
        <w:t xml:space="preserve">. The </w:t>
      </w:r>
      <w:r w:rsidR="00DC7831">
        <w:t>study</w:t>
      </w:r>
      <w:r>
        <w:t xml:space="preserve"> found past month in-game expenditure decreased for problem gamblers</w:t>
      </w:r>
      <w:r w:rsidR="00F22BE9">
        <w:t>, but not lower risk gamblers,</w:t>
      </w:r>
      <w:r>
        <w:t xml:space="preserve"> after loot boxes had been removed</w:t>
      </w:r>
      <w:r w:rsidR="00E83379">
        <w:t xml:space="preserve"> from the game</w:t>
      </w:r>
      <w:r w:rsidR="00876865">
        <w:t xml:space="preserve">. This suggests that </w:t>
      </w:r>
      <w:r w:rsidR="00C16462">
        <w:t xml:space="preserve">people experiencing </w:t>
      </w:r>
      <w:r w:rsidR="00876865">
        <w:t>problem gambl</w:t>
      </w:r>
      <w:r w:rsidR="00C16462">
        <w:t>ing</w:t>
      </w:r>
      <w:r w:rsidR="00876865">
        <w:t xml:space="preserve"> </w:t>
      </w:r>
      <w:r w:rsidR="003B5440">
        <w:t>may be</w:t>
      </w:r>
      <w:r w:rsidR="00F110F2">
        <w:t xml:space="preserve"> a </w:t>
      </w:r>
      <w:r w:rsidR="003B5440">
        <w:t>particularly</w:t>
      </w:r>
      <w:r w:rsidR="00F110F2">
        <w:t xml:space="preserve"> </w:t>
      </w:r>
      <w:r w:rsidR="00A02427">
        <w:t>vulnerable</w:t>
      </w:r>
      <w:r w:rsidR="003B5440">
        <w:t xml:space="preserve"> cohort</w:t>
      </w:r>
      <w:r w:rsidR="00F110F2">
        <w:t xml:space="preserve"> to loot box spending and </w:t>
      </w:r>
      <w:r w:rsidR="00A02427">
        <w:t>associated harms</w:t>
      </w:r>
      <w:r w:rsidR="00F110F2">
        <w:t xml:space="preserve">. </w:t>
      </w:r>
    </w:p>
    <w:p w14:paraId="4F07ED26" w14:textId="77777777" w:rsidR="000F67EC" w:rsidRPr="00393D22" w:rsidRDefault="000F67EC" w:rsidP="00393D22">
      <w:pPr>
        <w:pStyle w:val="Heading3"/>
      </w:pPr>
      <w:r w:rsidRPr="00DE7335">
        <w:t xml:space="preserve">Other </w:t>
      </w:r>
      <w:r w:rsidRPr="00393D22">
        <w:t>factors</w:t>
      </w:r>
    </w:p>
    <w:p w14:paraId="7E21BA98" w14:textId="7E98E84E" w:rsidR="00C766E8" w:rsidRDefault="0007536F" w:rsidP="00897FF2">
      <w:pPr>
        <w:pStyle w:val="BodyText"/>
      </w:pPr>
      <w:r w:rsidRPr="00AE598B">
        <w:t>Other f</w:t>
      </w:r>
      <w:r w:rsidR="004423CF" w:rsidRPr="00AE598B">
        <w:t xml:space="preserve">actors </w:t>
      </w:r>
      <w:r w:rsidR="005B7333" w:rsidRPr="00AE598B">
        <w:t xml:space="preserve">can </w:t>
      </w:r>
      <w:r w:rsidR="00212232" w:rsidRPr="00AE598B">
        <w:t xml:space="preserve">affect </w:t>
      </w:r>
      <w:r w:rsidR="002075E5" w:rsidRPr="00AE598B">
        <w:t>w</w:t>
      </w:r>
      <w:r w:rsidRPr="00AE598B">
        <w:t xml:space="preserve">hich groups </w:t>
      </w:r>
      <w:r w:rsidR="002075E5" w:rsidRPr="00AE598B">
        <w:t xml:space="preserve">may be </w:t>
      </w:r>
      <w:r w:rsidRPr="00AE598B">
        <w:t>most at</w:t>
      </w:r>
      <w:r w:rsidR="0072202F">
        <w:t xml:space="preserve"> </w:t>
      </w:r>
      <w:r w:rsidRPr="00AE598B">
        <w:t>risk or vulnerable to harm</w:t>
      </w:r>
      <w:r w:rsidR="002075E5" w:rsidRPr="00AE598B">
        <w:t>.</w:t>
      </w:r>
      <w:r w:rsidR="004423CF" w:rsidRPr="00AE598B">
        <w:t xml:space="preserve"> </w:t>
      </w:r>
      <w:r w:rsidR="002075E5" w:rsidRPr="00AE598B">
        <w:t xml:space="preserve">For example, </w:t>
      </w:r>
      <w:r w:rsidR="00FB3E60" w:rsidRPr="00AE598B">
        <w:t xml:space="preserve">a recent </w:t>
      </w:r>
      <w:r w:rsidR="0004515C" w:rsidRPr="00AE598B">
        <w:t xml:space="preserve">international </w:t>
      </w:r>
      <w:r w:rsidR="00FB3E60" w:rsidRPr="00AE598B">
        <w:t xml:space="preserve">study </w:t>
      </w:r>
      <w:r w:rsidR="00234ABB" w:rsidRPr="00AE598B">
        <w:t>explor</w:t>
      </w:r>
      <w:r w:rsidR="0028192C" w:rsidRPr="00AE598B">
        <w:t>ed</w:t>
      </w:r>
      <w:r w:rsidR="00404138" w:rsidRPr="00AE598B">
        <w:t xml:space="preserve"> the effects of self-isolation and quarantine </w:t>
      </w:r>
      <w:r w:rsidR="0028192C" w:rsidRPr="00AE598B">
        <w:t xml:space="preserve">during the COVID-19 pandemic </w:t>
      </w:r>
      <w:r w:rsidR="00404138" w:rsidRPr="00AE598B">
        <w:t xml:space="preserve">on </w:t>
      </w:r>
      <w:r w:rsidR="002075E5" w:rsidRPr="00AE598B">
        <w:t>p</w:t>
      </w:r>
      <w:r w:rsidR="00444B8E" w:rsidRPr="00AE598B">
        <w:t>eople who played v</w:t>
      </w:r>
      <w:r w:rsidR="000F67EC" w:rsidRPr="00AE598B">
        <w:t>ideo gam</w:t>
      </w:r>
      <w:r w:rsidR="0027686D" w:rsidRPr="00AE598B">
        <w:t>e</w:t>
      </w:r>
      <w:r w:rsidR="000F67EC" w:rsidRPr="00AE598B">
        <w:t xml:space="preserve">s in Australia, New </w:t>
      </w:r>
      <w:proofErr w:type="gramStart"/>
      <w:r w:rsidR="000F67EC" w:rsidRPr="00AE598B">
        <w:t>Zealand</w:t>
      </w:r>
      <w:proofErr w:type="gramEnd"/>
      <w:r w:rsidR="000F67EC" w:rsidRPr="00AE598B">
        <w:t xml:space="preserve"> and </w:t>
      </w:r>
      <w:r w:rsidR="002D4D67" w:rsidRPr="00AE598B">
        <w:t>the United States</w:t>
      </w:r>
      <w:r w:rsidR="00E47A73">
        <w:t xml:space="preserve"> (Hall et al., 2021)</w:t>
      </w:r>
      <w:r w:rsidR="00A660F1" w:rsidRPr="00AE598B">
        <w:t>.</w:t>
      </w:r>
      <w:r w:rsidR="000F67EC" w:rsidRPr="00AE598B">
        <w:t xml:space="preserve"> </w:t>
      </w:r>
      <w:r w:rsidR="00846974">
        <w:t>Hall and colleagues (2021)</w:t>
      </w:r>
      <w:r w:rsidR="00A660F1" w:rsidRPr="00AE598B">
        <w:t xml:space="preserve"> </w:t>
      </w:r>
      <w:r w:rsidR="002D4D67" w:rsidRPr="00AE598B">
        <w:t>found that</w:t>
      </w:r>
      <w:r w:rsidR="00794E0F" w:rsidRPr="00AE598B">
        <w:t xml:space="preserve"> </w:t>
      </w:r>
      <w:r w:rsidR="0088489E" w:rsidRPr="00AE598B">
        <w:t xml:space="preserve">the association </w:t>
      </w:r>
      <w:r w:rsidR="00B9433C" w:rsidRPr="00AE598B">
        <w:t xml:space="preserve">between </w:t>
      </w:r>
      <w:r w:rsidR="00F513B0" w:rsidRPr="00AE598B">
        <w:t xml:space="preserve">higher </w:t>
      </w:r>
      <w:r w:rsidR="0088489E" w:rsidRPr="00AE598B">
        <w:t>loot box spending</w:t>
      </w:r>
      <w:r w:rsidR="00B9433C" w:rsidRPr="00AE598B">
        <w:t xml:space="preserve"> and </w:t>
      </w:r>
      <w:r w:rsidR="0088489E" w:rsidRPr="00AE598B">
        <w:t>problem gambling symptomology was stronger among</w:t>
      </w:r>
      <w:r w:rsidR="00B9433C" w:rsidRPr="00AE598B">
        <w:t xml:space="preserve"> </w:t>
      </w:r>
      <w:r w:rsidR="00794E0F" w:rsidRPr="00AE598B">
        <w:t>participants who</w:t>
      </w:r>
      <w:r w:rsidR="002D4D67" w:rsidRPr="00AE598B">
        <w:t xml:space="preserve"> </w:t>
      </w:r>
      <w:r w:rsidR="00794E0F" w:rsidRPr="00AE598B">
        <w:t>reported being quarantined or self-isolating</w:t>
      </w:r>
      <w:r w:rsidR="00DC7831">
        <w:t>,</w:t>
      </w:r>
      <w:r w:rsidR="00794E0F" w:rsidRPr="00AE598B">
        <w:t xml:space="preserve"> </w:t>
      </w:r>
      <w:r w:rsidR="00B9433C" w:rsidRPr="00AE598B">
        <w:t xml:space="preserve">compared to </w:t>
      </w:r>
      <w:r w:rsidR="000F67EC" w:rsidRPr="00AE598B">
        <w:t>those not isolated during this time.</w:t>
      </w:r>
      <w:r w:rsidR="00A93E3D" w:rsidRPr="00AE598B">
        <w:t xml:space="preserve"> </w:t>
      </w:r>
    </w:p>
    <w:p w14:paraId="7B7ED576" w14:textId="034C9D2A" w:rsidR="00797142" w:rsidRPr="00393D22" w:rsidRDefault="00836AC7" w:rsidP="00393D22">
      <w:pPr>
        <w:pStyle w:val="Heading2"/>
      </w:pPr>
      <w:bookmarkStart w:id="40" w:name="_Toc106359513"/>
      <w:r w:rsidRPr="00393D22">
        <w:t xml:space="preserve">What </w:t>
      </w:r>
      <w:r w:rsidR="00A01287">
        <w:t>other factors influence</w:t>
      </w:r>
      <w:r w:rsidRPr="00393D22">
        <w:t xml:space="preserve"> harm</w:t>
      </w:r>
      <w:r w:rsidR="00D544ED" w:rsidRPr="00393D22">
        <w:t xml:space="preserve"> from loot boxes</w:t>
      </w:r>
      <w:r w:rsidRPr="00393D22">
        <w:t>?</w:t>
      </w:r>
      <w:bookmarkEnd w:id="40"/>
    </w:p>
    <w:p w14:paraId="4BD0062E" w14:textId="7B8AC323" w:rsidR="00E40B5E" w:rsidRPr="00E40B5E" w:rsidRDefault="00A01287" w:rsidP="00897FF2">
      <w:pPr>
        <w:pStyle w:val="BodyText"/>
        <w:spacing w:after="120"/>
      </w:pPr>
      <w:r>
        <w:t xml:space="preserve">Other factors that may </w:t>
      </w:r>
      <w:r w:rsidR="009E76F7">
        <w:t>influence</w:t>
      </w:r>
      <w:r w:rsidR="00833F6E">
        <w:t xml:space="preserve"> the </w:t>
      </w:r>
      <w:r w:rsidR="00142B05">
        <w:t>relationship</w:t>
      </w:r>
      <w:r w:rsidR="00E35A40">
        <w:t xml:space="preserve"> between loot boxes and harm fall into three broad categories – </w:t>
      </w:r>
      <w:r w:rsidR="009E76F7" w:rsidRPr="006D1B9B">
        <w:rPr>
          <w:b/>
          <w:bCs/>
        </w:rPr>
        <w:t>m</w:t>
      </w:r>
      <w:r w:rsidR="00E35A40" w:rsidRPr="006D1B9B">
        <w:rPr>
          <w:b/>
          <w:bCs/>
        </w:rPr>
        <w:t xml:space="preserve">ediators, </w:t>
      </w:r>
      <w:proofErr w:type="gramStart"/>
      <w:r w:rsidR="00E35A40" w:rsidRPr="006D1B9B">
        <w:rPr>
          <w:b/>
          <w:bCs/>
        </w:rPr>
        <w:t>moderators</w:t>
      </w:r>
      <w:proofErr w:type="gramEnd"/>
      <w:r w:rsidR="00E35A40" w:rsidRPr="006D1B9B">
        <w:rPr>
          <w:b/>
          <w:bCs/>
        </w:rPr>
        <w:t xml:space="preserve"> </w:t>
      </w:r>
      <w:r w:rsidR="00E35A40" w:rsidRPr="006D1B9B">
        <w:t>and</w:t>
      </w:r>
      <w:r w:rsidR="00E35A40" w:rsidRPr="006D1B9B">
        <w:rPr>
          <w:b/>
          <w:bCs/>
        </w:rPr>
        <w:t xml:space="preserve"> </w:t>
      </w:r>
      <w:r w:rsidR="009E76F7" w:rsidRPr="006D1B9B">
        <w:rPr>
          <w:b/>
          <w:bCs/>
        </w:rPr>
        <w:t>predictors</w:t>
      </w:r>
      <w:r w:rsidR="009E76F7">
        <w:t>.</w:t>
      </w:r>
      <w:r>
        <w:t xml:space="preserve"> </w:t>
      </w:r>
      <w:r w:rsidR="00E40B5E" w:rsidRPr="00E36429">
        <w:rPr>
          <w:b/>
          <w:bCs/>
        </w:rPr>
        <w:t>Mediators</w:t>
      </w:r>
      <w:r w:rsidR="00E40B5E">
        <w:t xml:space="preserve"> – in this review – are </w:t>
      </w:r>
      <w:r w:rsidR="00AD758F">
        <w:t xml:space="preserve">factors </w:t>
      </w:r>
      <w:r w:rsidR="00B44486">
        <w:t xml:space="preserve">that </w:t>
      </w:r>
      <w:r w:rsidR="00E40B5E">
        <w:t>help to explain</w:t>
      </w:r>
      <w:r w:rsidR="00893E14">
        <w:t xml:space="preserve"> </w:t>
      </w:r>
      <w:proofErr w:type="gramStart"/>
      <w:r w:rsidR="00893E14">
        <w:t>some</w:t>
      </w:r>
      <w:proofErr w:type="gramEnd"/>
      <w:r w:rsidR="00893E14">
        <w:t xml:space="preserve"> or all of</w:t>
      </w:r>
      <w:r w:rsidR="00E40B5E">
        <w:t xml:space="preserve"> the relationship</w:t>
      </w:r>
      <w:r w:rsidR="00AD758F">
        <w:t xml:space="preserve"> observed</w:t>
      </w:r>
      <w:r w:rsidR="00E40B5E">
        <w:t xml:space="preserve"> between a product </w:t>
      </w:r>
      <w:r w:rsidR="00B44486">
        <w:t xml:space="preserve">and </w:t>
      </w:r>
      <w:r w:rsidR="00E40B5E">
        <w:t xml:space="preserve">harm (e.g. participation in </w:t>
      </w:r>
      <w:r w:rsidR="00262E35">
        <w:t>monetary</w:t>
      </w:r>
      <w:r w:rsidR="00E40B5E">
        <w:t xml:space="preserve"> gambling). </w:t>
      </w:r>
      <w:r w:rsidR="00E40B5E" w:rsidRPr="00E36429">
        <w:rPr>
          <w:b/>
          <w:bCs/>
        </w:rPr>
        <w:t>Moderators</w:t>
      </w:r>
      <w:r w:rsidR="00E40B5E">
        <w:t xml:space="preserve"> can increase or decrease the strength of a relationship (e.g. impulsivity). </w:t>
      </w:r>
      <w:r w:rsidR="00E40B5E" w:rsidRPr="00E36429">
        <w:rPr>
          <w:b/>
          <w:bCs/>
        </w:rPr>
        <w:t>Predictors</w:t>
      </w:r>
      <w:r w:rsidR="00E40B5E">
        <w:t xml:space="preserve"> are other variables included in a model that also contribute to changes in the outcome (i.e. other factors that contribute to harm</w:t>
      </w:r>
      <w:r w:rsidR="00F7300B">
        <w:t>). Se</w:t>
      </w:r>
      <w:r w:rsidR="00E40B5E">
        <w:t xml:space="preserve">e Appendix </w:t>
      </w:r>
      <w:r w:rsidR="00D9292A">
        <w:t>E</w:t>
      </w:r>
      <w:r w:rsidR="00E40B5E">
        <w:t xml:space="preserve"> for more detail.</w:t>
      </w:r>
    </w:p>
    <w:tbl>
      <w:tblPr>
        <w:tblStyle w:val="TableGrid"/>
        <w:tblW w:w="84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95"/>
      </w:tblGrid>
      <w:tr w:rsidR="00BD0DB9" w14:paraId="7330BB4F" w14:textId="77777777" w:rsidTr="006066C1">
        <w:trPr>
          <w:cnfStyle w:val="100000000000" w:firstRow="1" w:lastRow="0" w:firstColumn="0" w:lastColumn="0" w:oddVBand="0" w:evenVBand="0" w:oddHBand="0" w:evenHBand="0" w:firstRowFirstColumn="0" w:firstRowLastColumn="0" w:lastRowFirstColumn="0" w:lastRowLastColumn="0"/>
        </w:trPr>
        <w:tc>
          <w:tcPr>
            <w:tcW w:w="8495" w:type="dxa"/>
          </w:tcPr>
          <w:p w14:paraId="0689E55C" w14:textId="0ACA7A35" w:rsidR="00BD0DB9" w:rsidRPr="00AA29D5" w:rsidRDefault="00BD0DB9" w:rsidP="000B2101">
            <w:pPr>
              <w:pStyle w:val="BodyText"/>
              <w:spacing w:line="240" w:lineRule="auto"/>
              <w:rPr>
                <w:b/>
                <w:bCs/>
                <w:color w:val="FFFFFF" w:themeColor="background1"/>
              </w:rPr>
            </w:pPr>
            <w:r>
              <w:rPr>
                <w:b/>
                <w:bCs/>
                <w:color w:val="FFFFFF" w:themeColor="background1"/>
              </w:rPr>
              <w:t xml:space="preserve">Assessment of </w:t>
            </w:r>
            <w:r w:rsidR="00046A26">
              <w:rPr>
                <w:b/>
                <w:bCs/>
                <w:color w:val="FFFFFF" w:themeColor="background1"/>
              </w:rPr>
              <w:t xml:space="preserve">strength and </w:t>
            </w:r>
            <w:r w:rsidR="0016031C">
              <w:rPr>
                <w:b/>
                <w:bCs/>
                <w:color w:val="FFFFFF" w:themeColor="background1"/>
              </w:rPr>
              <w:t>value</w:t>
            </w:r>
            <w:r w:rsidR="000E5ACC">
              <w:rPr>
                <w:b/>
                <w:bCs/>
                <w:color w:val="FFFFFF" w:themeColor="background1"/>
              </w:rPr>
              <w:t xml:space="preserve"> </w:t>
            </w:r>
            <w:r>
              <w:rPr>
                <w:b/>
                <w:bCs/>
                <w:color w:val="FFFFFF" w:themeColor="background1"/>
              </w:rPr>
              <w:t xml:space="preserve">of evidence for </w:t>
            </w:r>
            <w:r w:rsidR="0053373A" w:rsidRPr="0053373A">
              <w:rPr>
                <w:b/>
                <w:bCs/>
                <w:color w:val="FFFFFF" w:themeColor="background1"/>
              </w:rPr>
              <w:t xml:space="preserve">key predictors, </w:t>
            </w:r>
            <w:proofErr w:type="gramStart"/>
            <w:r w:rsidR="0053373A" w:rsidRPr="0053373A">
              <w:rPr>
                <w:b/>
                <w:bCs/>
                <w:color w:val="FFFFFF" w:themeColor="background1"/>
              </w:rPr>
              <w:t>mediators</w:t>
            </w:r>
            <w:proofErr w:type="gramEnd"/>
            <w:r w:rsidR="0053373A" w:rsidRPr="0053373A">
              <w:rPr>
                <w:b/>
                <w:bCs/>
                <w:color w:val="FFFFFF" w:themeColor="background1"/>
              </w:rPr>
              <w:t xml:space="preserve"> and moderators of harm from loot boxes</w:t>
            </w:r>
          </w:p>
        </w:tc>
      </w:tr>
      <w:tr w:rsidR="00BD0DB9" w14:paraId="0F45EEF7" w14:textId="77777777" w:rsidTr="000B2101">
        <w:trPr>
          <w:trHeight w:val="965"/>
        </w:trPr>
        <w:tc>
          <w:tcPr>
            <w:tcW w:w="8495" w:type="dxa"/>
            <w:shd w:val="clear" w:color="auto" w:fill="FFB3B3"/>
          </w:tcPr>
          <w:p w14:paraId="2F8EAB14" w14:textId="396A55E4" w:rsidR="00BD0DB9" w:rsidRDefault="00AC50B9" w:rsidP="000B2101">
            <w:pPr>
              <w:pStyle w:val="BodyText"/>
              <w:spacing w:line="240" w:lineRule="auto"/>
            </w:pPr>
            <w:r>
              <w:rPr>
                <w:b/>
                <w:bCs/>
              </w:rPr>
              <w:t>Low-medium</w:t>
            </w:r>
            <w:r w:rsidR="00BD0DB9">
              <w:t xml:space="preserve"> –</w:t>
            </w:r>
            <w:r w:rsidR="004116DD">
              <w:t xml:space="preserve"> </w:t>
            </w:r>
            <w:r w:rsidR="00D766A8">
              <w:t xml:space="preserve">Some </w:t>
            </w:r>
            <w:r w:rsidR="00E55DA9">
              <w:t>evidence of</w:t>
            </w:r>
            <w:r w:rsidR="00D766A8">
              <w:t xml:space="preserve"> </w:t>
            </w:r>
            <w:r w:rsidR="00D96C1F">
              <w:t xml:space="preserve">behavioural </w:t>
            </w:r>
            <w:r w:rsidR="00D766A8">
              <w:t xml:space="preserve">(e.g. </w:t>
            </w:r>
            <w:r w:rsidR="00262E35">
              <w:t>monetary</w:t>
            </w:r>
            <w:r w:rsidR="00ED09BB">
              <w:t xml:space="preserve"> gambling</w:t>
            </w:r>
            <w:r w:rsidR="00D766A8">
              <w:t>)</w:t>
            </w:r>
            <w:r w:rsidR="005479C0">
              <w:t xml:space="preserve"> and </w:t>
            </w:r>
            <w:r w:rsidR="00254EEC">
              <w:t xml:space="preserve">product features (e.g. </w:t>
            </w:r>
            <w:r w:rsidR="002A5A73">
              <w:t>time limits</w:t>
            </w:r>
            <w:r w:rsidR="00505E07">
              <w:t xml:space="preserve"> on purchasing) of mixed strength and </w:t>
            </w:r>
            <w:r w:rsidR="0016031C">
              <w:t>value</w:t>
            </w:r>
            <w:r w:rsidR="00D766A8">
              <w:t>. Limited evidence assessing mediators and moderators</w:t>
            </w:r>
            <w:r w:rsidR="00E55DA9">
              <w:t xml:space="preserve"> of harm</w:t>
            </w:r>
            <w:r w:rsidR="00D766A8">
              <w:t xml:space="preserve"> specifically.</w:t>
            </w:r>
          </w:p>
        </w:tc>
      </w:tr>
    </w:tbl>
    <w:p w14:paraId="08ED4543" w14:textId="647A496A" w:rsidR="004053B9" w:rsidRDefault="00E00569" w:rsidP="00897FF2">
      <w:pPr>
        <w:pStyle w:val="BodyText"/>
      </w:pPr>
      <w:r>
        <w:t xml:space="preserve">A total of </w:t>
      </w:r>
      <w:r w:rsidR="00DE3C24">
        <w:t>1</w:t>
      </w:r>
      <w:r w:rsidR="0029642E">
        <w:t>1</w:t>
      </w:r>
      <w:r w:rsidR="00DE3C24">
        <w:t xml:space="preserve"> </w:t>
      </w:r>
      <w:r>
        <w:t xml:space="preserve">studies examined key predictors, mediators or moderators of </w:t>
      </w:r>
      <w:r w:rsidR="00B93233">
        <w:t xml:space="preserve">harm </w:t>
      </w:r>
      <w:r w:rsidR="0029642E">
        <w:t>relating to</w:t>
      </w:r>
      <w:r w:rsidR="00B93233">
        <w:t xml:space="preserve"> </w:t>
      </w:r>
      <w:r w:rsidR="000A7BFE">
        <w:t>loot boxe</w:t>
      </w:r>
      <w:r w:rsidR="0029642E">
        <w:t>s.</w:t>
      </w:r>
      <w:r w:rsidR="00464550">
        <w:t xml:space="preserve"> </w:t>
      </w:r>
      <w:r w:rsidR="00C50CB5">
        <w:t xml:space="preserve">Evidence available to address this research question was of </w:t>
      </w:r>
      <w:r w:rsidR="00AC50B9" w:rsidRPr="00282463">
        <w:rPr>
          <w:b/>
          <w:bCs/>
          <w:i/>
          <w:iCs/>
        </w:rPr>
        <w:t>low-medium</w:t>
      </w:r>
      <w:r w:rsidR="00C50CB5">
        <w:t xml:space="preserve"> </w:t>
      </w:r>
      <w:r w:rsidR="00205C07">
        <w:t xml:space="preserve">strength and </w:t>
      </w:r>
      <w:r w:rsidR="0016031C">
        <w:t>value</w:t>
      </w:r>
      <w:r w:rsidR="00B2435E">
        <w:t>.</w:t>
      </w:r>
      <w:r w:rsidR="00E40B5E">
        <w:t xml:space="preserve"> </w:t>
      </w:r>
      <w:r w:rsidR="00143A36">
        <w:t xml:space="preserve">Across studies, a range of variables </w:t>
      </w:r>
      <w:r w:rsidR="007939DC">
        <w:t>were</w:t>
      </w:r>
      <w:r w:rsidR="00143A36">
        <w:t xml:space="preserve"> found </w:t>
      </w:r>
      <w:r w:rsidR="003E4DC1">
        <w:t>that may affect the relationship between</w:t>
      </w:r>
      <w:r w:rsidR="00143A36">
        <w:t xml:space="preserve"> </w:t>
      </w:r>
      <w:r w:rsidR="00011F9D">
        <w:t xml:space="preserve">loot box engagement and </w:t>
      </w:r>
      <w:r w:rsidR="00143A36">
        <w:t xml:space="preserve">gambling problems. </w:t>
      </w:r>
    </w:p>
    <w:p w14:paraId="1186D26A" w14:textId="77777777" w:rsidR="001758DB" w:rsidRPr="00393D22" w:rsidRDefault="001758DB" w:rsidP="00393D22">
      <w:pPr>
        <w:pStyle w:val="Heading3"/>
      </w:pPr>
      <w:r w:rsidRPr="00393D22">
        <w:t>Gambling problems and harm</w:t>
      </w:r>
    </w:p>
    <w:p w14:paraId="674A940B" w14:textId="77777777" w:rsidR="006D1B9B" w:rsidRDefault="000026FE" w:rsidP="000B2101">
      <w:pPr>
        <w:pStyle w:val="Heading4"/>
      </w:pPr>
      <w:r>
        <w:t>Mediators</w:t>
      </w:r>
    </w:p>
    <w:p w14:paraId="21EA800B" w14:textId="215C05A9" w:rsidR="003C71DB" w:rsidRDefault="003C71DB" w:rsidP="007A1D34">
      <w:pPr>
        <w:pStyle w:val="BodyText"/>
      </w:pPr>
      <w:r>
        <w:t>Several articles ‘controlled for’ potential mediators</w:t>
      </w:r>
      <w:r w:rsidR="00F07957">
        <w:t>,</w:t>
      </w:r>
      <w:r>
        <w:t xml:space="preserve"> </w:t>
      </w:r>
      <w:r w:rsidR="00F07957">
        <w:t xml:space="preserve">that is, </w:t>
      </w:r>
      <w:r>
        <w:t>factors which may have explained or ‘caused’ the observed changes in harm.</w:t>
      </w:r>
    </w:p>
    <w:p w14:paraId="4E3992AF" w14:textId="3D534AC9" w:rsidR="003C71DB" w:rsidRDefault="00DC7831" w:rsidP="007A1D34">
      <w:pPr>
        <w:pStyle w:val="BodyText"/>
      </w:pPr>
      <w:r>
        <w:t>For example, a</w:t>
      </w:r>
      <w:r w:rsidR="007A1D34" w:rsidRPr="00EA1038">
        <w:t>mong young adults 18</w:t>
      </w:r>
      <w:r w:rsidR="007A1D34">
        <w:t>–</w:t>
      </w:r>
      <w:r w:rsidR="007A1D34" w:rsidRPr="00EA1038">
        <w:t xml:space="preserve">29 years, </w:t>
      </w:r>
      <w:proofErr w:type="gramStart"/>
      <w:r w:rsidR="007A1D34" w:rsidRPr="00EA1038">
        <w:t>Russell</w:t>
      </w:r>
      <w:proofErr w:type="gramEnd"/>
      <w:r w:rsidR="007A1D34" w:rsidRPr="00EA1038">
        <w:t xml:space="preserve"> and colleagues (2020) found that lifetime use and frequency of opening and buying loot </w:t>
      </w:r>
      <w:r w:rsidR="007A1D34" w:rsidRPr="00D85773">
        <w:t>boxes were associated with greater problem gambling and lifetime gambling problems before and after controlling for</w:t>
      </w:r>
      <w:r w:rsidR="003C71DB">
        <w:t>:</w:t>
      </w:r>
      <w:r w:rsidR="007A1D34" w:rsidRPr="00D85773">
        <w:t xml:space="preserve"> </w:t>
      </w:r>
    </w:p>
    <w:p w14:paraId="0489F1C1" w14:textId="332A0E4A" w:rsidR="003C71DB" w:rsidRDefault="007A1D34" w:rsidP="000B2101">
      <w:pPr>
        <w:pStyle w:val="ListBullet"/>
      </w:pPr>
      <w:r w:rsidRPr="00D85773">
        <w:t>age</w:t>
      </w:r>
    </w:p>
    <w:p w14:paraId="74C19581" w14:textId="7B7EB831" w:rsidR="009C5448" w:rsidRDefault="007A1D34" w:rsidP="000B2101">
      <w:pPr>
        <w:pStyle w:val="ListBullet"/>
      </w:pPr>
      <w:r w:rsidRPr="00D85773">
        <w:t>impulsivity</w:t>
      </w:r>
    </w:p>
    <w:p w14:paraId="060306A7" w14:textId="00B28D8E" w:rsidR="007A1D34" w:rsidRDefault="007A1D34" w:rsidP="000B2101">
      <w:pPr>
        <w:pStyle w:val="ListBullet"/>
      </w:pPr>
      <w:r w:rsidRPr="00D85773">
        <w:lastRenderedPageBreak/>
        <w:t>traditional gambling participation.</w:t>
      </w:r>
    </w:p>
    <w:p w14:paraId="3E1B3171" w14:textId="3F6BF3CF" w:rsidR="00B35931" w:rsidRDefault="00F500ED" w:rsidP="00897FF2">
      <w:pPr>
        <w:pStyle w:val="BodyText"/>
      </w:pPr>
      <w:r w:rsidRPr="00D85773">
        <w:t xml:space="preserve">Other studies have controlled for </w:t>
      </w:r>
      <w:r w:rsidR="00D85773" w:rsidRPr="00D85773">
        <w:t xml:space="preserve">traditional </w:t>
      </w:r>
      <w:r w:rsidR="001626A1" w:rsidRPr="00D85773">
        <w:t>monetary</w:t>
      </w:r>
      <w:r w:rsidR="00AA0317" w:rsidRPr="00D85773">
        <w:t xml:space="preserve"> </w:t>
      </w:r>
      <w:r w:rsidR="000829F9" w:rsidRPr="00D85773">
        <w:t>gambling participation</w:t>
      </w:r>
      <w:r w:rsidR="00AA0317" w:rsidRPr="00D85773">
        <w:t>.</w:t>
      </w:r>
      <w:r w:rsidR="000829F9" w:rsidRPr="00D85773">
        <w:t xml:space="preserve"> </w:t>
      </w:r>
      <w:r w:rsidR="004E48C3" w:rsidRPr="00D85773">
        <w:t>A s</w:t>
      </w:r>
      <w:r w:rsidR="0028427B" w:rsidRPr="00D85773">
        <w:t>urvey</w:t>
      </w:r>
      <w:r w:rsidR="004E48C3" w:rsidRPr="00D85773">
        <w:t xml:space="preserve"> </w:t>
      </w:r>
      <w:r w:rsidR="00AA0317" w:rsidRPr="00D85773">
        <w:t>of</w:t>
      </w:r>
      <w:r w:rsidR="004E48C3" w:rsidRPr="00D85773">
        <w:t xml:space="preserve"> British young adults </w:t>
      </w:r>
      <w:r w:rsidR="005A3FBF" w:rsidRPr="00D85773">
        <w:t>(aged 16</w:t>
      </w:r>
      <w:r w:rsidR="007B197F">
        <w:t>–</w:t>
      </w:r>
      <w:r w:rsidR="005A3FBF" w:rsidRPr="00D85773">
        <w:t>24 years)</w:t>
      </w:r>
      <w:r w:rsidR="00743656">
        <w:t xml:space="preserve"> by</w:t>
      </w:r>
      <w:r w:rsidR="00743656" w:rsidRPr="004E48C3">
        <w:t xml:space="preserve"> Wardle &amp; </w:t>
      </w:r>
      <w:proofErr w:type="spellStart"/>
      <w:r w:rsidR="00743656" w:rsidRPr="004E48C3">
        <w:t>Zendle</w:t>
      </w:r>
      <w:proofErr w:type="spellEnd"/>
      <w:r w:rsidR="00743656" w:rsidRPr="004E48C3">
        <w:t xml:space="preserve">, </w:t>
      </w:r>
      <w:r w:rsidR="00743656">
        <w:t>(</w:t>
      </w:r>
      <w:r w:rsidR="00743656" w:rsidRPr="004E48C3">
        <w:t>2021)</w:t>
      </w:r>
      <w:r w:rsidR="005A3FBF" w:rsidRPr="00D85773">
        <w:t xml:space="preserve"> </w:t>
      </w:r>
      <w:r w:rsidR="004E48C3" w:rsidRPr="00D85773">
        <w:t xml:space="preserve">found </w:t>
      </w:r>
      <w:r w:rsidR="008E7D15">
        <w:t xml:space="preserve">that </w:t>
      </w:r>
      <w:r w:rsidR="004E48C3" w:rsidRPr="00D85773">
        <w:t xml:space="preserve">purchasing loot boxes (versus not purchasing loot boxes) significantly predicted the odds of </w:t>
      </w:r>
      <w:r w:rsidR="00783444" w:rsidRPr="00D85773">
        <w:t xml:space="preserve">experiencing </w:t>
      </w:r>
      <w:r w:rsidR="004E48C3" w:rsidRPr="00D85773">
        <w:t>problem gambl</w:t>
      </w:r>
      <w:r w:rsidR="00D27FFA" w:rsidRPr="00D85773">
        <w:t>ing</w:t>
      </w:r>
      <w:r w:rsidR="004E48C3" w:rsidRPr="00D85773">
        <w:t xml:space="preserve"> after controlling for</w:t>
      </w:r>
      <w:r w:rsidR="00743656">
        <w:t>:</w:t>
      </w:r>
    </w:p>
    <w:p w14:paraId="04971758" w14:textId="2272B6DB" w:rsidR="00B35931" w:rsidRDefault="00D15C19" w:rsidP="000B2101">
      <w:pPr>
        <w:pStyle w:val="ListBullet"/>
      </w:pPr>
      <w:r w:rsidRPr="00D85773">
        <w:t>socio</w:t>
      </w:r>
      <w:r w:rsidR="001F503A">
        <w:t xml:space="preserve"> </w:t>
      </w:r>
      <w:r w:rsidRPr="00D85773">
        <w:t>demographic</w:t>
      </w:r>
      <w:r w:rsidR="00B505BE">
        <w:t xml:space="preserve"> </w:t>
      </w:r>
      <w:r>
        <w:t>factors</w:t>
      </w:r>
    </w:p>
    <w:p w14:paraId="71AE7B62" w14:textId="0D2D2F4A" w:rsidR="00B35931" w:rsidRDefault="004E48C3" w:rsidP="000B2101">
      <w:pPr>
        <w:pStyle w:val="ListBullet"/>
      </w:pPr>
      <w:r w:rsidRPr="004E48C3">
        <w:t>impulsivity</w:t>
      </w:r>
    </w:p>
    <w:p w14:paraId="7755EFF2" w14:textId="637A6CDA" w:rsidR="00B35931" w:rsidRDefault="00D15C19" w:rsidP="000B2101">
      <w:pPr>
        <w:pStyle w:val="ListBullet"/>
      </w:pPr>
      <w:r>
        <w:t>gambling participation</w:t>
      </w:r>
      <w:r w:rsidR="00B35931">
        <w:t>.</w:t>
      </w:r>
    </w:p>
    <w:p w14:paraId="3FCC70A5" w14:textId="6251DC37" w:rsidR="009C5448" w:rsidRDefault="008014F6" w:rsidP="00B35931">
      <w:pPr>
        <w:pStyle w:val="BodyText"/>
      </w:pPr>
      <w:proofErr w:type="spellStart"/>
      <w:r>
        <w:t>Zendle</w:t>
      </w:r>
      <w:proofErr w:type="spellEnd"/>
      <w:r>
        <w:t xml:space="preserve"> (2020) found </w:t>
      </w:r>
      <w:r w:rsidR="00EB4F7D">
        <w:t xml:space="preserve">that loot box spending </w:t>
      </w:r>
      <w:r w:rsidR="00EE4538">
        <w:t xml:space="preserve">frequency </w:t>
      </w:r>
      <w:r w:rsidR="00EB4F7D">
        <w:t>was still associated with</w:t>
      </w:r>
      <w:r w:rsidR="00926D87">
        <w:t xml:space="preserve"> greater risk of</w:t>
      </w:r>
      <w:r w:rsidR="00EB4F7D">
        <w:t xml:space="preserve"> problem gambling</w:t>
      </w:r>
      <w:r w:rsidR="00D42B6A">
        <w:t xml:space="preserve">, </w:t>
      </w:r>
      <w:r w:rsidR="003011CB">
        <w:t>but not gaming</w:t>
      </w:r>
      <w:r w:rsidR="00926D87">
        <w:t xml:space="preserve"> disorder</w:t>
      </w:r>
      <w:r w:rsidR="00D42B6A">
        <w:t>, a</w:t>
      </w:r>
      <w:r w:rsidR="003011CB">
        <w:t>fter controlling for</w:t>
      </w:r>
      <w:r w:rsidR="00F07957">
        <w:t>:</w:t>
      </w:r>
      <w:r w:rsidR="003011CB">
        <w:t xml:space="preserve"> </w:t>
      </w:r>
    </w:p>
    <w:p w14:paraId="690274F2" w14:textId="2529F132" w:rsidR="009C5448" w:rsidRDefault="003011CB" w:rsidP="000B2101">
      <w:pPr>
        <w:pStyle w:val="ListBullet"/>
      </w:pPr>
      <w:r>
        <w:t>age</w:t>
      </w:r>
    </w:p>
    <w:p w14:paraId="5A5310A8" w14:textId="56C5455A" w:rsidR="00743656" w:rsidRDefault="003011CB" w:rsidP="000B2101">
      <w:pPr>
        <w:pStyle w:val="ListBullet"/>
      </w:pPr>
      <w:r>
        <w:t xml:space="preserve">gender. </w:t>
      </w:r>
    </w:p>
    <w:p w14:paraId="5FF4977D" w14:textId="1789B241" w:rsidR="002237B2" w:rsidRDefault="009316A6" w:rsidP="00897FF2">
      <w:pPr>
        <w:pStyle w:val="BodyText"/>
      </w:pPr>
      <w:r>
        <w:t xml:space="preserve">However, </w:t>
      </w:r>
      <w:r w:rsidR="006E070F">
        <w:t>in</w:t>
      </w:r>
      <w:r>
        <w:t xml:space="preserve"> </w:t>
      </w:r>
      <w:r w:rsidR="002237B2" w:rsidRPr="00AE598B">
        <w:t>a nationally representative sample of Australian interactive gamblers</w:t>
      </w:r>
      <w:r w:rsidR="002237B2">
        <w:t>,</w:t>
      </w:r>
      <w:r w:rsidR="002237B2" w:rsidRPr="00AE598B">
        <w:t xml:space="preserve"> Hing and colleagues (2021) found that purchasing loot boxes </w:t>
      </w:r>
      <w:r w:rsidR="002237B2">
        <w:t xml:space="preserve">was </w:t>
      </w:r>
      <w:r w:rsidR="002237B2" w:rsidRPr="006D1B9B">
        <w:rPr>
          <w:i/>
          <w:iCs/>
        </w:rPr>
        <w:t>not</w:t>
      </w:r>
      <w:r w:rsidR="002237B2">
        <w:t xml:space="preserve"> </w:t>
      </w:r>
      <w:r w:rsidR="00B80515">
        <w:t xml:space="preserve">associated with greater </w:t>
      </w:r>
      <w:r w:rsidR="00951918">
        <w:t>problem gambling severity</w:t>
      </w:r>
      <w:r w:rsidR="002237B2">
        <w:t xml:space="preserve"> </w:t>
      </w:r>
      <w:r w:rsidR="00B80515">
        <w:t xml:space="preserve">after </w:t>
      </w:r>
      <w:r w:rsidR="00D34928">
        <w:t>accounting for</w:t>
      </w:r>
      <w:r w:rsidR="002237B2" w:rsidRPr="00C16F92">
        <w:t xml:space="preserve"> demographics, engagement in monetary gambling activities, and health and wellbeing</w:t>
      </w:r>
      <w:r w:rsidR="002237B2" w:rsidRPr="00AE598B">
        <w:t xml:space="preserve">. </w:t>
      </w:r>
    </w:p>
    <w:p w14:paraId="378CDE26" w14:textId="77777777" w:rsidR="00DC7831" w:rsidRPr="006D1B9B" w:rsidRDefault="00DC7831" w:rsidP="000B2101">
      <w:pPr>
        <w:pStyle w:val="Heading4"/>
      </w:pPr>
      <w:r>
        <w:t>Predictors</w:t>
      </w:r>
    </w:p>
    <w:p w14:paraId="32333A56" w14:textId="77777777" w:rsidR="00DC7831" w:rsidRDefault="00DC7831" w:rsidP="00DC7831">
      <w:pPr>
        <w:pStyle w:val="BodyText"/>
      </w:pPr>
      <w:r>
        <w:t>Several articles identified other predictors of harm alongside loot box engagement.</w:t>
      </w:r>
    </w:p>
    <w:p w14:paraId="7251C99C" w14:textId="77777777" w:rsidR="00DC7831" w:rsidRDefault="00DC7831" w:rsidP="00DC7831">
      <w:pPr>
        <w:pStyle w:val="BodyText"/>
      </w:pPr>
      <w:r>
        <w:t>A recent Australian study (</w:t>
      </w:r>
      <w:proofErr w:type="spellStart"/>
      <w:r>
        <w:t>Rockloff</w:t>
      </w:r>
      <w:proofErr w:type="spellEnd"/>
      <w:r>
        <w:t xml:space="preserve"> et al., 2020) of adolescents (aged 12–17) and young adults (aged 18–24) found that after controlling for age, the following behaviours were all independently associated with gambling problems (PGSI) and gambling-related harms (SGHS), especially among female participants: </w:t>
      </w:r>
    </w:p>
    <w:p w14:paraId="46B053BE" w14:textId="77777777" w:rsidR="00DC7831" w:rsidRDefault="00DC7831" w:rsidP="000B2101">
      <w:pPr>
        <w:pStyle w:val="ListBullet"/>
      </w:pPr>
      <w:r>
        <w:t xml:space="preserve">ever opened a loot box, ever bought a loot box (the strongest predictor) </w:t>
      </w:r>
    </w:p>
    <w:p w14:paraId="7589736A" w14:textId="77777777" w:rsidR="00DC7831" w:rsidRDefault="00DC7831" w:rsidP="000B2101">
      <w:pPr>
        <w:pStyle w:val="ListBullet"/>
      </w:pPr>
      <w:r>
        <w:t xml:space="preserve">playing games with loot boxes in </w:t>
      </w:r>
      <w:r w:rsidRPr="00943BDB">
        <w:t>last 12 month</w:t>
      </w:r>
      <w:r>
        <w:t>s</w:t>
      </w:r>
    </w:p>
    <w:p w14:paraId="351DB014" w14:textId="77777777" w:rsidR="00DC7831" w:rsidRDefault="00DC7831" w:rsidP="000B2101">
      <w:pPr>
        <w:pStyle w:val="ListBullet"/>
      </w:pPr>
      <w:r>
        <w:t>ever sold items gained from a loot box.</w:t>
      </w:r>
      <w:r w:rsidRPr="004E48C3">
        <w:t xml:space="preserve"> </w:t>
      </w:r>
    </w:p>
    <w:p w14:paraId="4EF8D1CC" w14:textId="77777777" w:rsidR="00DC7831" w:rsidRDefault="00DC7831" w:rsidP="00DC7831">
      <w:pPr>
        <w:pStyle w:val="BodyText"/>
      </w:pPr>
      <w:r>
        <w:t xml:space="preserve">Additionally, the authors identified several other video-game related and online activities that were associated with problem gambling risk alongside loot box spending frequency, including: </w:t>
      </w:r>
    </w:p>
    <w:p w14:paraId="3A95537B" w14:textId="77777777" w:rsidR="00DC7831" w:rsidRDefault="00DC7831" w:rsidP="000B2101">
      <w:pPr>
        <w:pStyle w:val="ListBullet"/>
      </w:pPr>
      <w:r>
        <w:t>esports betting</w:t>
      </w:r>
    </w:p>
    <w:p w14:paraId="0DB05D65" w14:textId="77777777" w:rsidR="00DC7831" w:rsidRDefault="00DC7831" w:rsidP="000B2101">
      <w:pPr>
        <w:pStyle w:val="ListBullet"/>
      </w:pPr>
      <w:r>
        <w:t xml:space="preserve">monetary video gaming </w:t>
      </w:r>
    </w:p>
    <w:p w14:paraId="41FB98A6" w14:textId="77777777" w:rsidR="00DC7831" w:rsidRDefault="00DC7831" w:rsidP="000B2101">
      <w:pPr>
        <w:pStyle w:val="ListBullet"/>
      </w:pPr>
      <w:r>
        <w:t xml:space="preserve">token wagering </w:t>
      </w:r>
    </w:p>
    <w:p w14:paraId="188814A6" w14:textId="6058E7E5" w:rsidR="00DC7831" w:rsidRDefault="00DC7831" w:rsidP="000B2101">
      <w:pPr>
        <w:pStyle w:val="ListBullet"/>
      </w:pPr>
      <w:r>
        <w:t xml:space="preserve">watching loot box opening or other gambling online. </w:t>
      </w:r>
    </w:p>
    <w:p w14:paraId="45647FE9" w14:textId="77777777" w:rsidR="001758DB" w:rsidRPr="00393D22" w:rsidRDefault="001758DB" w:rsidP="00393D22">
      <w:pPr>
        <w:pStyle w:val="Heading3"/>
      </w:pPr>
      <w:r w:rsidRPr="00393D22">
        <w:t>Internet gaming disorder</w:t>
      </w:r>
    </w:p>
    <w:p w14:paraId="37D59F02" w14:textId="737CF164" w:rsidR="009C5448" w:rsidRDefault="009C5448" w:rsidP="000B2101">
      <w:pPr>
        <w:pStyle w:val="Heading4"/>
      </w:pPr>
      <w:r>
        <w:t>Mediators</w:t>
      </w:r>
    </w:p>
    <w:p w14:paraId="452482E3" w14:textId="5B79D118" w:rsidR="00FB4F25" w:rsidRDefault="00C078AA" w:rsidP="00897FF2">
      <w:pPr>
        <w:pStyle w:val="BodyText"/>
      </w:pPr>
      <w:r>
        <w:t xml:space="preserve">A </w:t>
      </w:r>
      <w:r w:rsidR="00891725" w:rsidRPr="00C078AA">
        <w:t xml:space="preserve">US </w:t>
      </w:r>
      <w:r w:rsidR="000F1D16">
        <w:t>survey</w:t>
      </w:r>
      <w:r w:rsidR="00891725" w:rsidRPr="00C078AA">
        <w:t xml:space="preserve"> of adult</w:t>
      </w:r>
      <w:r w:rsidR="00AA2420">
        <w:t>s</w:t>
      </w:r>
      <w:r w:rsidR="00FB4F25">
        <w:t xml:space="preserve"> </w:t>
      </w:r>
      <w:r w:rsidR="00AA2420">
        <w:t>who played video games</w:t>
      </w:r>
      <w:r w:rsidR="00FB4F25">
        <w:t xml:space="preserve"> by </w:t>
      </w:r>
      <w:r w:rsidR="00FB4F25" w:rsidRPr="000F1D16">
        <w:t>Li</w:t>
      </w:r>
      <w:r w:rsidR="00FB4F25">
        <w:t xml:space="preserve"> and colleagues</w:t>
      </w:r>
      <w:r w:rsidR="00FB4F25" w:rsidRPr="000F1D16">
        <w:t xml:space="preserve"> </w:t>
      </w:r>
      <w:r w:rsidR="00FB4F25">
        <w:t>(</w:t>
      </w:r>
      <w:r w:rsidR="00FB4F25" w:rsidRPr="000F1D16">
        <w:t>2019)</w:t>
      </w:r>
      <w:r w:rsidR="00AA2420">
        <w:t xml:space="preserve"> </w:t>
      </w:r>
      <w:r w:rsidR="000F1D16">
        <w:t xml:space="preserve">found that </w:t>
      </w:r>
      <w:r w:rsidR="00891725" w:rsidRPr="00C078AA">
        <w:t>loot box</w:t>
      </w:r>
      <w:r w:rsidR="0097203D">
        <w:t xml:space="preserve"> purchasing</w:t>
      </w:r>
      <w:r w:rsidR="00891725" w:rsidRPr="00C078AA">
        <w:t xml:space="preserve"> </w:t>
      </w:r>
      <w:r w:rsidR="00AC6C46">
        <w:t>was directly associa</w:t>
      </w:r>
      <w:r w:rsidR="008916A6">
        <w:t>ted with greater</w:t>
      </w:r>
      <w:r w:rsidR="006B00D2">
        <w:t xml:space="preserve"> risk of</w:t>
      </w:r>
      <w:r w:rsidR="008916A6">
        <w:t xml:space="preserve"> </w:t>
      </w:r>
      <w:r w:rsidR="00891725" w:rsidRPr="00C078AA">
        <w:t>internet gaming disorder</w:t>
      </w:r>
      <w:r w:rsidR="00952D1F">
        <w:t>, even</w:t>
      </w:r>
      <w:r w:rsidR="00891725" w:rsidRPr="00C078AA">
        <w:t xml:space="preserve"> after controlling for</w:t>
      </w:r>
      <w:r w:rsidR="00F755C5">
        <w:t>:</w:t>
      </w:r>
    </w:p>
    <w:p w14:paraId="15D09273" w14:textId="2D511572" w:rsidR="00FB4F25" w:rsidRDefault="00891725" w:rsidP="000B2101">
      <w:pPr>
        <w:pStyle w:val="ListBullet"/>
      </w:pPr>
      <w:r w:rsidRPr="00C078AA">
        <w:t>video gaming frequency</w:t>
      </w:r>
    </w:p>
    <w:p w14:paraId="701543A7" w14:textId="0025FC98" w:rsidR="00FB4F25" w:rsidRDefault="00891725" w:rsidP="000B2101">
      <w:pPr>
        <w:pStyle w:val="ListBullet"/>
      </w:pPr>
      <w:r w:rsidRPr="00C078AA">
        <w:t>extended video gaming sessions</w:t>
      </w:r>
    </w:p>
    <w:p w14:paraId="02D8A49C" w14:textId="61A41B90" w:rsidR="00FB4F25" w:rsidRDefault="00891725" w:rsidP="000B2101">
      <w:pPr>
        <w:pStyle w:val="ListBullet"/>
      </w:pPr>
      <w:r w:rsidRPr="00C078AA">
        <w:t xml:space="preserve">online gambling frequency </w:t>
      </w:r>
    </w:p>
    <w:p w14:paraId="24D80AC8" w14:textId="2D9EDCDC" w:rsidR="00FB4F25" w:rsidRDefault="00891725" w:rsidP="000B2101">
      <w:pPr>
        <w:pStyle w:val="ListBullet"/>
      </w:pPr>
      <w:r w:rsidRPr="00C078AA">
        <w:t>extended online gamb</w:t>
      </w:r>
      <w:r w:rsidRPr="000F1D16">
        <w:t xml:space="preserve">ling sessions. </w:t>
      </w:r>
    </w:p>
    <w:p w14:paraId="4F2580C8" w14:textId="44EDA09A" w:rsidR="00FB4F25" w:rsidRDefault="00891725" w:rsidP="00897FF2">
      <w:pPr>
        <w:pStyle w:val="BodyText"/>
      </w:pPr>
      <w:r w:rsidRPr="000F1D16">
        <w:lastRenderedPageBreak/>
        <w:t>Furthe</w:t>
      </w:r>
      <w:r w:rsidR="00141836">
        <w:t>r</w:t>
      </w:r>
      <w:r w:rsidRPr="000F1D16">
        <w:t xml:space="preserve">, </w:t>
      </w:r>
      <w:r w:rsidR="00732DAB">
        <w:t xml:space="preserve">findings </w:t>
      </w:r>
      <w:r w:rsidR="006D6445">
        <w:t xml:space="preserve">from this study </w:t>
      </w:r>
      <w:r w:rsidR="00732DAB">
        <w:t xml:space="preserve">suggest that </w:t>
      </w:r>
      <w:r w:rsidRPr="000F1D16">
        <w:t xml:space="preserve">loot box purchasing </w:t>
      </w:r>
      <w:r w:rsidR="00F63097">
        <w:t xml:space="preserve">may </w:t>
      </w:r>
      <w:r w:rsidR="00622EBF">
        <w:t xml:space="preserve">be </w:t>
      </w:r>
      <w:r w:rsidRPr="000F1D16">
        <w:t xml:space="preserve">indirectly associated with mental </w:t>
      </w:r>
      <w:r w:rsidR="003C6DA9">
        <w:t>di</w:t>
      </w:r>
      <w:r w:rsidRPr="000F1D16">
        <w:t xml:space="preserve">stress </w:t>
      </w:r>
      <w:r w:rsidR="00622EBF">
        <w:t>due to its association with</w:t>
      </w:r>
      <w:r w:rsidRPr="000F1D16">
        <w:t xml:space="preserve"> </w:t>
      </w:r>
      <w:r w:rsidR="00F63097">
        <w:t>problem video gaming and problem gambling behaviour (Li et al., 20</w:t>
      </w:r>
      <w:r w:rsidR="00EC6B48">
        <w:t>19).</w:t>
      </w:r>
      <w:r w:rsidR="00F2314C" w:rsidRPr="000F1D16">
        <w:t xml:space="preserve"> </w:t>
      </w:r>
      <w:r w:rsidR="00795F36" w:rsidRPr="0015526B">
        <w:t xml:space="preserve">In a representative sample of adults from the </w:t>
      </w:r>
      <w:r w:rsidR="00910103" w:rsidRPr="0015526B">
        <w:t>UK</w:t>
      </w:r>
      <w:r w:rsidR="00FB4F25">
        <w:t xml:space="preserve"> </w:t>
      </w:r>
      <w:r w:rsidR="00FB4F25" w:rsidRPr="0015526B">
        <w:t>(</w:t>
      </w:r>
      <w:proofErr w:type="spellStart"/>
      <w:r w:rsidR="00FB4F25" w:rsidRPr="0015526B">
        <w:t>Zendle</w:t>
      </w:r>
      <w:proofErr w:type="spellEnd"/>
      <w:r w:rsidR="00FB4F25" w:rsidRPr="0097203D">
        <w:t xml:space="preserve"> et al., 2020)</w:t>
      </w:r>
      <w:r w:rsidR="00795F36" w:rsidRPr="0015526B">
        <w:t xml:space="preserve">, </w:t>
      </w:r>
      <w:r w:rsidR="001C1D37">
        <w:t xml:space="preserve">engagement in all forms of gaming-related practices (including </w:t>
      </w:r>
      <w:r w:rsidR="00F42119">
        <w:t xml:space="preserve">spending on </w:t>
      </w:r>
      <w:r w:rsidR="001C1D37">
        <w:t>loot box</w:t>
      </w:r>
      <w:r w:rsidR="00F42119">
        <w:t xml:space="preserve">es and </w:t>
      </w:r>
      <w:r w:rsidR="003F2829">
        <w:t>simulated gambling</w:t>
      </w:r>
      <w:r w:rsidR="00F42119">
        <w:t>)</w:t>
      </w:r>
      <w:r w:rsidR="001C1D37">
        <w:t xml:space="preserve"> </w:t>
      </w:r>
      <w:r w:rsidR="00951102">
        <w:t xml:space="preserve">was </w:t>
      </w:r>
      <w:r w:rsidR="001C1D37">
        <w:t>significantly associated with both disordered gaming</w:t>
      </w:r>
      <w:r w:rsidR="00983AB4">
        <w:t xml:space="preserve"> </w:t>
      </w:r>
      <w:r w:rsidR="0040298E">
        <w:t xml:space="preserve">(internet gaming disorder) and </w:t>
      </w:r>
      <w:r w:rsidR="0040298E" w:rsidRPr="0040298E">
        <w:t>at-risk/problem gambling (PGSI)</w:t>
      </w:r>
      <w:r w:rsidR="006727A8">
        <w:t xml:space="preserve">, </w:t>
      </w:r>
      <w:r w:rsidR="00795F36" w:rsidRPr="0015526B">
        <w:t>after controlling for</w:t>
      </w:r>
      <w:r w:rsidR="00FB4F25">
        <w:t>:</w:t>
      </w:r>
    </w:p>
    <w:p w14:paraId="2C2C6055" w14:textId="7E7993A8" w:rsidR="00FB4F25" w:rsidRDefault="00795F36" w:rsidP="000B2101">
      <w:pPr>
        <w:pStyle w:val="ListBullet"/>
      </w:pPr>
      <w:r w:rsidRPr="0015526B">
        <w:t>other video gaming-related gambling behaviours</w:t>
      </w:r>
    </w:p>
    <w:p w14:paraId="4A6F0E6D" w14:textId="6CBE5513" w:rsidR="00FB4F25" w:rsidRDefault="00795F36" w:rsidP="000B2101">
      <w:pPr>
        <w:pStyle w:val="ListBullet"/>
      </w:pPr>
      <w:r w:rsidRPr="0015526B">
        <w:t xml:space="preserve">age </w:t>
      </w:r>
    </w:p>
    <w:p w14:paraId="3B8BDDE5" w14:textId="4D7EFF5F" w:rsidR="00B70748" w:rsidRDefault="00795F36" w:rsidP="000B2101">
      <w:pPr>
        <w:pStyle w:val="ListBullet"/>
      </w:pPr>
      <w:r w:rsidRPr="0015526B">
        <w:t>gender</w:t>
      </w:r>
      <w:r w:rsidR="00FB4F25">
        <w:t>.</w:t>
      </w:r>
    </w:p>
    <w:p w14:paraId="633042C9" w14:textId="2960D987" w:rsidR="006727A8" w:rsidRPr="00B70748" w:rsidRDefault="00B70748" w:rsidP="00B70748">
      <w:pPr>
        <w:suppressAutoHyphens w:val="0"/>
        <w:spacing w:before="0" w:line="240" w:lineRule="auto"/>
        <w:jc w:val="left"/>
        <w:rPr>
          <w:rFonts w:eastAsia="Times New Roman"/>
          <w:lang w:bidi="en-US"/>
        </w:rPr>
      </w:pPr>
      <w:r>
        <w:br w:type="page"/>
      </w:r>
    </w:p>
    <w:p w14:paraId="04C65F93" w14:textId="75BEAAA8" w:rsidR="00E54AE7" w:rsidRDefault="00E54AE7" w:rsidP="00393D22">
      <w:pPr>
        <w:pStyle w:val="Heading1"/>
      </w:pPr>
      <w:bookmarkStart w:id="41" w:name="_Toc97649959"/>
      <w:bookmarkStart w:id="42" w:name="_Toc106359514"/>
      <w:r>
        <w:lastRenderedPageBreak/>
        <w:t>Simulated gambling</w:t>
      </w:r>
      <w:bookmarkEnd w:id="41"/>
      <w:r>
        <w:t>: what does the evidence tell us?</w:t>
      </w:r>
      <w:bookmarkEnd w:id="42"/>
    </w:p>
    <w:p w14:paraId="2BDB04F2" w14:textId="77777777" w:rsidR="006E41C6" w:rsidRPr="00837A46" w:rsidRDefault="006E41C6" w:rsidP="006E41C6">
      <w:pPr>
        <w:pStyle w:val="BoxHeading1"/>
        <w:spacing w:before="120"/>
      </w:pPr>
      <w:r w:rsidRPr="00837A46">
        <w:t>Definition: simulated gambling</w:t>
      </w:r>
    </w:p>
    <w:p w14:paraId="0C5987F1" w14:textId="2D863CF3" w:rsidR="006E41C6" w:rsidRPr="00837A46" w:rsidRDefault="006E41C6" w:rsidP="006E41C6">
      <w:pPr>
        <w:pStyle w:val="BoxText"/>
      </w:pPr>
      <w:r w:rsidRPr="00837A46">
        <w:t>Games with features that resemble or function like commercial gambling activities (King, 2018). This includes social casino games, free demo (demonstration) games, and other games with gambling-like components. Some, but not all, simulated gambling activities have in-game purchases; however, these in-game purchases operate in a closed-loop economy where they cannot be redeemed for money or traded among players.</w:t>
      </w:r>
    </w:p>
    <w:p w14:paraId="61C0DBBA" w14:textId="77777777" w:rsidR="006E41C6" w:rsidRPr="00837A46" w:rsidRDefault="006E41C6" w:rsidP="006E41C6">
      <w:pPr>
        <w:pStyle w:val="BoxHeading2"/>
      </w:pPr>
      <w:r w:rsidRPr="00837A46">
        <w:t>Key findings</w:t>
      </w:r>
    </w:p>
    <w:p w14:paraId="3EBA4ABC" w14:textId="77777777" w:rsidR="006E41C6" w:rsidRPr="00837A46" w:rsidRDefault="006E41C6" w:rsidP="006E41C6">
      <w:pPr>
        <w:pStyle w:val="BoxBulletList"/>
      </w:pPr>
      <w:r w:rsidRPr="00837A46">
        <w:t xml:space="preserve">There was medium-strength and value evidence that simulated gambling was associated with gambling problems. The evidence for the relationship between problem gambling and social casino gaming was slightly stronger (medium-high) than for other simulated gambling activities (medium). </w:t>
      </w:r>
    </w:p>
    <w:p w14:paraId="0BD1D1D0" w14:textId="77777777" w:rsidR="006E41C6" w:rsidRPr="00837A46" w:rsidRDefault="006E41C6" w:rsidP="006E41C6">
      <w:pPr>
        <w:pStyle w:val="BoxBulletList"/>
      </w:pPr>
      <w:r w:rsidRPr="00837A46">
        <w:t xml:space="preserve">Greater involvement in simulated gambling was associated with higher problem gambling even when accounting for demographic characteristics, </w:t>
      </w:r>
      <w:proofErr w:type="gramStart"/>
      <w:r w:rsidRPr="00837A46">
        <w:t>impulsivity</w:t>
      </w:r>
      <w:proofErr w:type="gramEnd"/>
      <w:r w:rsidRPr="00837A46">
        <w:t xml:space="preserve"> and monetary gambling.</w:t>
      </w:r>
    </w:p>
    <w:p w14:paraId="0B6ABEEE" w14:textId="77777777" w:rsidR="006E41C6" w:rsidRPr="00837A46" w:rsidRDefault="006E41C6" w:rsidP="006E41C6">
      <w:pPr>
        <w:pStyle w:val="BoxBulletList"/>
      </w:pPr>
      <w:r w:rsidRPr="00837A46">
        <w:t>Australian researchers found people already at risk of gambling problems were more likely to report problems due to simulated gambling. There was insufficient evidence to identify which groups were at greater risk of problems related to simulated gambling.</w:t>
      </w:r>
    </w:p>
    <w:p w14:paraId="192B63F0" w14:textId="77777777" w:rsidR="006E41C6" w:rsidRPr="00837A46" w:rsidRDefault="006E41C6" w:rsidP="006E41C6">
      <w:pPr>
        <w:pStyle w:val="BoxBulletList"/>
      </w:pPr>
      <w:r w:rsidRPr="00837A46">
        <w:t xml:space="preserve">There was limited evidence that any simulated gambling products were associated with internet gaming disorder, with only one article reporting a low-medium strength relationship. </w:t>
      </w:r>
    </w:p>
    <w:p w14:paraId="30A5BFDC" w14:textId="77777777" w:rsidR="006E41C6" w:rsidRPr="00837A46" w:rsidRDefault="006E41C6" w:rsidP="006E41C6">
      <w:pPr>
        <w:pStyle w:val="BoxBulletList"/>
      </w:pPr>
      <w:r w:rsidRPr="00837A46">
        <w:t>There was limited research on other types of harms associated with simulated gambling. There was some evidence that making in-game purchases in social casino games was associated with higher psychological distress and other negative consequences among adolescents. Strength of evidence of a relationship between simulated gambling and other hams was low-medium.</w:t>
      </w:r>
    </w:p>
    <w:p w14:paraId="64B5AE2E" w14:textId="77777777" w:rsidR="001561D4" w:rsidRDefault="001561D4">
      <w:pPr>
        <w:suppressAutoHyphens w:val="0"/>
        <w:spacing w:before="0" w:line="240" w:lineRule="auto"/>
        <w:jc w:val="left"/>
        <w:rPr>
          <w:rFonts w:cs="Arial"/>
          <w:color w:val="62136D"/>
          <w:kern w:val="32"/>
          <w:sz w:val="38"/>
          <w:szCs w:val="38"/>
        </w:rPr>
      </w:pPr>
      <w:bookmarkStart w:id="43" w:name="_Toc90385517"/>
      <w:r>
        <w:br w:type="page"/>
      </w:r>
    </w:p>
    <w:p w14:paraId="006D9625" w14:textId="68DC40FA" w:rsidR="00E92D87" w:rsidRPr="00393D22" w:rsidRDefault="001F4A34" w:rsidP="00393D22">
      <w:pPr>
        <w:pStyle w:val="Heading2"/>
      </w:pPr>
      <w:bookmarkStart w:id="44" w:name="_Toc106359515"/>
      <w:r w:rsidRPr="00393D22">
        <w:lastRenderedPageBreak/>
        <w:t>What types of harm</w:t>
      </w:r>
      <w:r w:rsidR="0040556D" w:rsidRPr="00393D22">
        <w:t>,</w:t>
      </w:r>
      <w:r w:rsidRPr="00393D22">
        <w:t xml:space="preserve"> if any</w:t>
      </w:r>
      <w:r w:rsidR="0040556D" w:rsidRPr="00393D22">
        <w:t>,</w:t>
      </w:r>
      <w:r w:rsidRPr="00393D22">
        <w:t xml:space="preserve"> are associated with </w:t>
      </w:r>
      <w:r w:rsidR="00AA5C32" w:rsidRPr="00393D22">
        <w:t>simulated gambling</w:t>
      </w:r>
      <w:r w:rsidRPr="00393D22">
        <w:t>?</w:t>
      </w:r>
      <w:bookmarkEnd w:id="44"/>
    </w:p>
    <w:p w14:paraId="0725B1E8" w14:textId="30DA5B49" w:rsidR="00E54AE7" w:rsidRPr="00E54AE7" w:rsidRDefault="00E54AE7" w:rsidP="00FF2FE2">
      <w:pPr>
        <w:pStyle w:val="TableCaption"/>
        <w:numPr>
          <w:ilvl w:val="0"/>
          <w:numId w:val="0"/>
        </w:numPr>
        <w:ind w:left="992" w:hanging="992"/>
      </w:pPr>
      <w:r>
        <w:t xml:space="preserve">Table </w:t>
      </w:r>
      <w:r w:rsidR="009904C8">
        <w:t>4</w:t>
      </w:r>
      <w:r>
        <w:t xml:space="preserve">: </w:t>
      </w:r>
      <w:r w:rsidR="005A113D">
        <w:t xml:space="preserve">Assessment of </w:t>
      </w:r>
      <w:r w:rsidR="00142B05">
        <w:t>relationship</w:t>
      </w:r>
      <w:r w:rsidR="005A113D">
        <w:t xml:space="preserve"> between simulated gambling and harm</w:t>
      </w:r>
    </w:p>
    <w:tbl>
      <w:tblPr>
        <w:tblW w:w="8505" w:type="dxa"/>
        <w:tblLook w:val="04A0" w:firstRow="1" w:lastRow="0" w:firstColumn="1" w:lastColumn="0" w:noHBand="0" w:noVBand="1"/>
      </w:tblPr>
      <w:tblGrid>
        <w:gridCol w:w="2835"/>
        <w:gridCol w:w="2835"/>
        <w:gridCol w:w="2835"/>
      </w:tblGrid>
      <w:tr w:rsidR="00CC2F1D" w:rsidRPr="009A3331" w14:paraId="10E17A98" w14:textId="77777777" w:rsidTr="00B60EFD">
        <w:trPr>
          <w:trHeight w:val="676"/>
        </w:trPr>
        <w:tc>
          <w:tcPr>
            <w:tcW w:w="2835" w:type="dxa"/>
            <w:tcBorders>
              <w:top w:val="nil"/>
              <w:left w:val="nil"/>
              <w:bottom w:val="nil"/>
              <w:right w:val="nil"/>
            </w:tcBorders>
            <w:shd w:val="clear" w:color="000000" w:fill="62136D"/>
            <w:noWrap/>
            <w:vAlign w:val="center"/>
            <w:hideMark/>
          </w:tcPr>
          <w:p w14:paraId="4C26C80E" w14:textId="77777777" w:rsidR="00CC2F1D" w:rsidRPr="009A3331" w:rsidRDefault="00CC2F1D" w:rsidP="00CC2F1D">
            <w:pPr>
              <w:suppressAutoHyphens w:val="0"/>
              <w:spacing w:before="0" w:line="240" w:lineRule="auto"/>
              <w:jc w:val="left"/>
              <w:rPr>
                <w:rFonts w:eastAsia="Times New Roman" w:cs="Arial"/>
                <w:b/>
                <w:bCs/>
                <w:color w:val="FFFFFF"/>
                <w:sz w:val="18"/>
                <w:szCs w:val="18"/>
                <w:lang w:eastAsia="en-AU"/>
              </w:rPr>
            </w:pPr>
          </w:p>
        </w:tc>
        <w:tc>
          <w:tcPr>
            <w:tcW w:w="2835" w:type="dxa"/>
            <w:tcBorders>
              <w:top w:val="single" w:sz="8" w:space="0" w:color="FFFFFF"/>
              <w:left w:val="single" w:sz="8" w:space="0" w:color="FFFFFF"/>
              <w:bottom w:val="single" w:sz="8" w:space="0" w:color="FFFFFF"/>
              <w:right w:val="nil"/>
            </w:tcBorders>
            <w:shd w:val="clear" w:color="000000" w:fill="62136D"/>
            <w:vAlign w:val="center"/>
            <w:hideMark/>
          </w:tcPr>
          <w:p w14:paraId="06D59DF7" w14:textId="2C73A22B" w:rsidR="00CC2F1D" w:rsidRPr="009A3331" w:rsidRDefault="00CC2F1D" w:rsidP="00CC2F1D">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and </w:t>
            </w:r>
            <w:r w:rsidR="004B5840">
              <w:rPr>
                <w:rFonts w:eastAsia="Times New Roman" w:cs="Arial"/>
                <w:b/>
                <w:bCs/>
                <w:color w:val="FFFFFF"/>
                <w:sz w:val="18"/>
                <w:szCs w:val="18"/>
                <w:lang w:eastAsia="en-AU"/>
              </w:rPr>
              <w:t>value</w:t>
            </w:r>
            <w:r w:rsidRPr="009A3331">
              <w:rPr>
                <w:rFonts w:eastAsia="Times New Roman" w:cs="Arial"/>
                <w:b/>
                <w:bCs/>
                <w:color w:val="FFFFFF"/>
                <w:sz w:val="18"/>
                <w:szCs w:val="18"/>
                <w:lang w:eastAsia="en-AU"/>
              </w:rPr>
              <w:t xml:space="preserve"> of evidence</w:t>
            </w:r>
          </w:p>
        </w:tc>
        <w:tc>
          <w:tcPr>
            <w:tcW w:w="2835" w:type="dxa"/>
            <w:tcBorders>
              <w:top w:val="single" w:sz="8" w:space="0" w:color="FFFFFF"/>
              <w:left w:val="single" w:sz="4" w:space="0" w:color="FFFFFF"/>
              <w:bottom w:val="single" w:sz="8" w:space="0" w:color="FFFFFF"/>
              <w:right w:val="single" w:sz="8" w:space="0" w:color="FFFFFF"/>
            </w:tcBorders>
            <w:shd w:val="clear" w:color="000000" w:fill="62136D"/>
            <w:vAlign w:val="center"/>
            <w:hideMark/>
          </w:tcPr>
          <w:p w14:paraId="4C19B27E" w14:textId="2A5435E8" w:rsidR="00CC2F1D" w:rsidRPr="009A3331" w:rsidRDefault="00CC2F1D" w:rsidP="00CC2F1D">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of </w:t>
            </w:r>
            <w:r w:rsidR="00142B05">
              <w:rPr>
                <w:rFonts w:eastAsia="Times New Roman" w:cs="Arial"/>
                <w:b/>
                <w:bCs/>
                <w:color w:val="FFFFFF"/>
                <w:sz w:val="18"/>
                <w:szCs w:val="18"/>
                <w:lang w:eastAsia="en-AU"/>
              </w:rPr>
              <w:t>relationship</w:t>
            </w:r>
          </w:p>
        </w:tc>
      </w:tr>
      <w:tr w:rsidR="00481F12" w:rsidRPr="009A3331" w14:paraId="1245FE32" w14:textId="77777777" w:rsidTr="00B60EFD">
        <w:trPr>
          <w:trHeight w:val="582"/>
        </w:trPr>
        <w:tc>
          <w:tcPr>
            <w:tcW w:w="2835" w:type="dxa"/>
            <w:tcBorders>
              <w:top w:val="nil"/>
              <w:left w:val="single" w:sz="8" w:space="0" w:color="FFFFFF"/>
              <w:bottom w:val="single" w:sz="8" w:space="0" w:color="FFFFFF"/>
              <w:right w:val="single" w:sz="4" w:space="0" w:color="FFFFFF"/>
            </w:tcBorders>
            <w:shd w:val="clear" w:color="000000" w:fill="F2F2F2"/>
            <w:vAlign w:val="center"/>
            <w:hideMark/>
          </w:tcPr>
          <w:p w14:paraId="3528E57F" w14:textId="77777777" w:rsidR="00481F12" w:rsidRPr="009A3331" w:rsidRDefault="00481F12" w:rsidP="00481F12">
            <w:pPr>
              <w:suppressAutoHyphens w:val="0"/>
              <w:spacing w:before="0" w:line="240" w:lineRule="auto"/>
              <w:jc w:val="left"/>
              <w:rPr>
                <w:rFonts w:eastAsia="Times New Roman" w:cs="Arial"/>
                <w:b/>
                <w:bCs/>
                <w:i/>
                <w:iCs/>
                <w:color w:val="000000"/>
                <w:sz w:val="16"/>
                <w:szCs w:val="16"/>
                <w:lang w:eastAsia="en-AU"/>
              </w:rPr>
            </w:pPr>
            <w:r w:rsidRPr="009A3331">
              <w:rPr>
                <w:rFonts w:eastAsia="Times New Roman" w:cs="Arial"/>
                <w:b/>
                <w:bCs/>
                <w:i/>
                <w:iCs/>
                <w:color w:val="000000"/>
                <w:sz w:val="16"/>
                <w:szCs w:val="16"/>
                <w:lang w:eastAsia="en-AU"/>
              </w:rPr>
              <w:t>Description</w:t>
            </w:r>
          </w:p>
        </w:tc>
        <w:tc>
          <w:tcPr>
            <w:tcW w:w="2835" w:type="dxa"/>
            <w:tcBorders>
              <w:top w:val="nil"/>
              <w:left w:val="single" w:sz="8" w:space="0" w:color="FFFFFF"/>
              <w:bottom w:val="single" w:sz="8" w:space="0" w:color="FFFFFF"/>
              <w:right w:val="single" w:sz="4" w:space="0" w:color="FFFFFF"/>
            </w:tcBorders>
            <w:shd w:val="clear" w:color="000000" w:fill="F2F2F2"/>
            <w:vAlign w:val="center"/>
            <w:hideMark/>
          </w:tcPr>
          <w:p w14:paraId="7CF90F87" w14:textId="7BA4BFA6" w:rsidR="00481F12" w:rsidRPr="009A3331" w:rsidRDefault="004B3D8E" w:rsidP="00481F12">
            <w:pPr>
              <w:suppressAutoHyphens w:val="0"/>
              <w:spacing w:before="0" w:line="240" w:lineRule="auto"/>
              <w:jc w:val="center"/>
              <w:rPr>
                <w:rFonts w:eastAsia="Times New Roman" w:cs="Arial"/>
                <w:i/>
                <w:iCs/>
                <w:color w:val="000000"/>
                <w:sz w:val="16"/>
                <w:szCs w:val="16"/>
                <w:lang w:eastAsia="en-AU"/>
              </w:rPr>
            </w:pPr>
            <w:r>
              <w:rPr>
                <w:rFonts w:eastAsia="Times New Roman" w:cs="Arial"/>
                <w:i/>
                <w:iCs/>
                <w:color w:val="000000"/>
                <w:sz w:val="16"/>
                <w:szCs w:val="16"/>
                <w:lang w:eastAsia="en-AU"/>
              </w:rPr>
              <w:t xml:space="preserve">Strength and </w:t>
            </w:r>
            <w:r w:rsidR="004B5840">
              <w:rPr>
                <w:rFonts w:eastAsia="Times New Roman" w:cs="Arial"/>
                <w:i/>
                <w:iCs/>
                <w:color w:val="000000"/>
                <w:sz w:val="16"/>
                <w:szCs w:val="16"/>
                <w:lang w:eastAsia="en-AU"/>
              </w:rPr>
              <w:t xml:space="preserve">value </w:t>
            </w:r>
            <w:r>
              <w:rPr>
                <w:rFonts w:eastAsia="Times New Roman" w:cs="Arial"/>
                <w:i/>
                <w:iCs/>
                <w:color w:val="000000"/>
                <w:sz w:val="16"/>
                <w:szCs w:val="16"/>
                <w:lang w:eastAsia="en-AU"/>
              </w:rPr>
              <w:t>of evidence of an association</w:t>
            </w:r>
            <w:r w:rsidR="00481F12" w:rsidRPr="009A3331">
              <w:rPr>
                <w:rFonts w:eastAsia="Times New Roman" w:cs="Arial"/>
                <w:i/>
                <w:iCs/>
                <w:color w:val="000000"/>
                <w:sz w:val="16"/>
                <w:szCs w:val="16"/>
                <w:lang w:eastAsia="en-AU"/>
              </w:rPr>
              <w:t xml:space="preserve"> </w:t>
            </w:r>
            <w:r w:rsidR="00481F12">
              <w:rPr>
                <w:rFonts w:eastAsia="Times New Roman" w:cs="Arial"/>
                <w:i/>
                <w:iCs/>
                <w:color w:val="000000"/>
                <w:sz w:val="16"/>
                <w:szCs w:val="16"/>
                <w:lang w:eastAsia="en-AU"/>
              </w:rPr>
              <w:t>simulated gambling</w:t>
            </w:r>
            <w:r w:rsidR="00481F12" w:rsidRPr="009A3331">
              <w:rPr>
                <w:rFonts w:eastAsia="Times New Roman" w:cs="Arial"/>
                <w:i/>
                <w:iCs/>
                <w:color w:val="000000"/>
                <w:sz w:val="16"/>
                <w:szCs w:val="16"/>
                <w:lang w:eastAsia="en-AU"/>
              </w:rPr>
              <w:t xml:space="preserve"> and </w:t>
            </w:r>
            <w:r w:rsidR="00481F12" w:rsidRPr="00537D51">
              <w:rPr>
                <w:rFonts w:eastAsia="Times New Roman" w:cs="Arial"/>
                <w:i/>
                <w:iCs/>
                <w:color w:val="000000"/>
                <w:sz w:val="16"/>
                <w:szCs w:val="16"/>
                <w:lang w:eastAsia="en-AU"/>
              </w:rPr>
              <w:t>harm</w:t>
            </w:r>
          </w:p>
        </w:tc>
        <w:tc>
          <w:tcPr>
            <w:tcW w:w="2835" w:type="dxa"/>
            <w:tcBorders>
              <w:top w:val="nil"/>
              <w:left w:val="nil"/>
              <w:bottom w:val="single" w:sz="8" w:space="0" w:color="FFFFFF"/>
              <w:right w:val="single" w:sz="8" w:space="0" w:color="FFFFFF"/>
            </w:tcBorders>
            <w:shd w:val="clear" w:color="000000" w:fill="F2F2F2"/>
            <w:vAlign w:val="center"/>
            <w:hideMark/>
          </w:tcPr>
          <w:p w14:paraId="79D59870" w14:textId="0014F9DD" w:rsidR="00481F12" w:rsidRPr="009A3331" w:rsidRDefault="004B3D8E" w:rsidP="00481F12">
            <w:pPr>
              <w:suppressAutoHyphens w:val="0"/>
              <w:spacing w:before="0" w:line="240" w:lineRule="auto"/>
              <w:jc w:val="center"/>
              <w:rPr>
                <w:rFonts w:eastAsia="Times New Roman" w:cs="Arial"/>
                <w:i/>
                <w:iCs/>
                <w:color w:val="000000"/>
                <w:sz w:val="16"/>
                <w:szCs w:val="16"/>
                <w:lang w:eastAsia="en-AU"/>
              </w:rPr>
            </w:pPr>
            <w:r>
              <w:rPr>
                <w:rFonts w:eastAsia="Times New Roman" w:cs="Arial"/>
                <w:i/>
                <w:iCs/>
                <w:color w:val="000000"/>
                <w:sz w:val="16"/>
                <w:szCs w:val="16"/>
                <w:lang w:eastAsia="en-AU"/>
              </w:rPr>
              <w:t xml:space="preserve">Strength of </w:t>
            </w:r>
            <w:r w:rsidR="00481F12" w:rsidRPr="009A3331">
              <w:rPr>
                <w:rFonts w:eastAsia="Times New Roman" w:cs="Arial"/>
                <w:i/>
                <w:iCs/>
                <w:color w:val="000000"/>
                <w:sz w:val="16"/>
                <w:szCs w:val="16"/>
                <w:lang w:eastAsia="en-AU"/>
              </w:rPr>
              <w:t xml:space="preserve">the </w:t>
            </w:r>
            <w:r w:rsidR="00142B05">
              <w:rPr>
                <w:rFonts w:eastAsia="Times New Roman" w:cs="Arial"/>
                <w:i/>
                <w:iCs/>
                <w:color w:val="000000"/>
                <w:sz w:val="16"/>
                <w:szCs w:val="16"/>
                <w:lang w:eastAsia="en-AU"/>
              </w:rPr>
              <w:t>relationship</w:t>
            </w:r>
            <w:r>
              <w:rPr>
                <w:rFonts w:eastAsia="Times New Roman" w:cs="Arial"/>
                <w:i/>
                <w:iCs/>
                <w:color w:val="000000"/>
                <w:sz w:val="16"/>
                <w:szCs w:val="16"/>
                <w:lang w:eastAsia="en-AU"/>
              </w:rPr>
              <w:t xml:space="preserve"> </w:t>
            </w:r>
            <w:r w:rsidR="00481F12" w:rsidRPr="009A3331">
              <w:rPr>
                <w:rFonts w:eastAsia="Times New Roman" w:cs="Arial"/>
                <w:i/>
                <w:iCs/>
                <w:color w:val="000000"/>
                <w:sz w:val="16"/>
                <w:szCs w:val="16"/>
                <w:lang w:eastAsia="en-AU"/>
              </w:rPr>
              <w:t xml:space="preserve">between </w:t>
            </w:r>
            <w:r w:rsidR="00481F12">
              <w:rPr>
                <w:rFonts w:eastAsia="Times New Roman" w:cs="Arial"/>
                <w:i/>
                <w:iCs/>
                <w:color w:val="000000"/>
                <w:sz w:val="16"/>
                <w:szCs w:val="16"/>
                <w:lang w:eastAsia="en-AU"/>
              </w:rPr>
              <w:t>simulated gambling</w:t>
            </w:r>
            <w:r w:rsidR="00481F12" w:rsidRPr="009A3331">
              <w:rPr>
                <w:rFonts w:eastAsia="Times New Roman" w:cs="Arial"/>
                <w:i/>
                <w:iCs/>
                <w:color w:val="000000"/>
                <w:sz w:val="16"/>
                <w:szCs w:val="16"/>
                <w:lang w:eastAsia="en-AU"/>
              </w:rPr>
              <w:t xml:space="preserve"> and harm</w:t>
            </w:r>
          </w:p>
        </w:tc>
      </w:tr>
      <w:tr w:rsidR="002D3B47" w:rsidRPr="009A3331" w14:paraId="3904CBD5" w14:textId="77777777" w:rsidTr="000405C2">
        <w:trPr>
          <w:trHeight w:val="600"/>
        </w:trPr>
        <w:tc>
          <w:tcPr>
            <w:tcW w:w="2835" w:type="dxa"/>
            <w:tcBorders>
              <w:top w:val="nil"/>
              <w:left w:val="single" w:sz="4" w:space="0" w:color="FFFFFF"/>
              <w:bottom w:val="single" w:sz="4" w:space="0" w:color="FFFFFF"/>
              <w:right w:val="single" w:sz="4" w:space="0" w:color="FFFFFF"/>
            </w:tcBorders>
            <w:shd w:val="clear" w:color="000000" w:fill="F2F2F2"/>
            <w:noWrap/>
            <w:vAlign w:val="center"/>
            <w:hideMark/>
          </w:tcPr>
          <w:p w14:paraId="2235813C" w14:textId="77777777" w:rsidR="002D3B47" w:rsidRPr="009A3331" w:rsidRDefault="002D3B47" w:rsidP="002D3B47">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Problem gambling</w:t>
            </w:r>
          </w:p>
        </w:tc>
        <w:tc>
          <w:tcPr>
            <w:tcW w:w="2835" w:type="dxa"/>
            <w:tcBorders>
              <w:top w:val="nil"/>
              <w:left w:val="nil"/>
              <w:bottom w:val="single" w:sz="4" w:space="0" w:color="FFFFFF"/>
              <w:right w:val="single" w:sz="4" w:space="0" w:color="FFFFFF"/>
            </w:tcBorders>
            <w:shd w:val="clear" w:color="000000" w:fill="F4B084"/>
            <w:vAlign w:val="center"/>
            <w:hideMark/>
          </w:tcPr>
          <w:p w14:paraId="79AB8FB1" w14:textId="77777777" w:rsidR="002D3B47" w:rsidRPr="002D3B47" w:rsidRDefault="003D6215"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tcBorders>
              <w:top w:val="nil"/>
              <w:left w:val="nil"/>
              <w:bottom w:val="single" w:sz="4" w:space="0" w:color="FFFFFF"/>
              <w:right w:val="single" w:sz="8" w:space="0" w:color="FFFFFF"/>
            </w:tcBorders>
            <w:shd w:val="clear" w:color="000000" w:fill="E2EFDA"/>
            <w:vAlign w:val="center"/>
            <w:hideMark/>
          </w:tcPr>
          <w:p w14:paraId="45B482A5" w14:textId="77777777" w:rsidR="002D3B47" w:rsidRPr="002D3B47" w:rsidRDefault="003D6215"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r w:rsidR="002D3B47" w:rsidRPr="002D3B47">
              <w:rPr>
                <w:rFonts w:eastAsia="Times New Roman" w:cs="Arial"/>
                <w:b/>
                <w:color w:val="000000"/>
                <w:sz w:val="16"/>
                <w:szCs w:val="16"/>
                <w:lang w:eastAsia="en-AU"/>
              </w:rPr>
              <w:t>-</w:t>
            </w:r>
            <w:r w:rsidR="00920FCD">
              <w:rPr>
                <w:rFonts w:eastAsia="Times New Roman" w:cs="Arial"/>
                <w:b/>
                <w:color w:val="000000"/>
                <w:sz w:val="16"/>
                <w:szCs w:val="16"/>
                <w:lang w:eastAsia="en-AU"/>
              </w:rPr>
              <w:t>h</w:t>
            </w:r>
            <w:r w:rsidR="003B765B">
              <w:rPr>
                <w:rFonts w:eastAsia="Times New Roman" w:cs="Arial"/>
                <w:b/>
                <w:color w:val="000000"/>
                <w:sz w:val="16"/>
                <w:szCs w:val="16"/>
                <w:lang w:eastAsia="en-AU"/>
              </w:rPr>
              <w:t>igh</w:t>
            </w:r>
          </w:p>
        </w:tc>
      </w:tr>
      <w:tr w:rsidR="0000210E" w:rsidRPr="009A3331" w14:paraId="4CB5E762" w14:textId="77777777" w:rsidTr="00E56507">
        <w:trPr>
          <w:trHeight w:val="600"/>
        </w:trPr>
        <w:tc>
          <w:tcPr>
            <w:tcW w:w="2835" w:type="dxa"/>
            <w:tcBorders>
              <w:top w:val="nil"/>
              <w:left w:val="single" w:sz="4" w:space="0" w:color="FFFFFF"/>
              <w:bottom w:val="single" w:sz="4" w:space="0" w:color="FFFFFF"/>
              <w:right w:val="single" w:sz="4" w:space="0" w:color="FFFFFF"/>
            </w:tcBorders>
            <w:shd w:val="clear" w:color="000000" w:fill="F2F2F2"/>
            <w:noWrap/>
            <w:vAlign w:val="center"/>
            <w:hideMark/>
          </w:tcPr>
          <w:p w14:paraId="080C86B2" w14:textId="77777777" w:rsidR="0000210E" w:rsidRPr="009A3331" w:rsidRDefault="0000210E" w:rsidP="0000210E">
            <w:pPr>
              <w:suppressAutoHyphens w:val="0"/>
              <w:spacing w:before="0" w:line="240" w:lineRule="auto"/>
              <w:jc w:val="left"/>
              <w:rPr>
                <w:rFonts w:eastAsia="Times New Roman" w:cs="Arial"/>
                <w:b/>
                <w:bCs/>
                <w:color w:val="auto"/>
                <w:sz w:val="16"/>
                <w:szCs w:val="16"/>
                <w:lang w:eastAsia="en-AU"/>
              </w:rPr>
            </w:pPr>
            <w:r>
              <w:rPr>
                <w:rFonts w:eastAsia="Times New Roman" w:cs="Arial"/>
                <w:b/>
                <w:bCs/>
                <w:color w:val="auto"/>
                <w:sz w:val="16"/>
                <w:szCs w:val="16"/>
                <w:lang w:eastAsia="en-AU"/>
              </w:rPr>
              <w:t>Internet gaming disorder</w:t>
            </w:r>
          </w:p>
        </w:tc>
        <w:tc>
          <w:tcPr>
            <w:tcW w:w="2835" w:type="dxa"/>
            <w:tcBorders>
              <w:top w:val="nil"/>
              <w:left w:val="nil"/>
              <w:bottom w:val="single" w:sz="4" w:space="0" w:color="FFFFFF"/>
              <w:right w:val="single" w:sz="4" w:space="0" w:color="FFFFFF"/>
            </w:tcBorders>
            <w:shd w:val="clear" w:color="000000" w:fill="F4B084"/>
            <w:vAlign w:val="center"/>
            <w:hideMark/>
          </w:tcPr>
          <w:p w14:paraId="639805BF" w14:textId="77777777" w:rsidR="0000210E" w:rsidRPr="002D3B47" w:rsidRDefault="0000210E" w:rsidP="0000210E">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tcBorders>
              <w:top w:val="nil"/>
              <w:left w:val="nil"/>
              <w:bottom w:val="single" w:sz="4" w:space="0" w:color="FFFFFF"/>
              <w:right w:val="single" w:sz="8" w:space="0" w:color="FFFFFF"/>
            </w:tcBorders>
            <w:shd w:val="clear" w:color="000000" w:fill="FFB3B3"/>
            <w:vAlign w:val="center"/>
            <w:hideMark/>
          </w:tcPr>
          <w:p w14:paraId="5A215B3C" w14:textId="77777777" w:rsidR="0000210E" w:rsidRPr="002D3B47" w:rsidRDefault="0000210E" w:rsidP="0000210E">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r>
      <w:tr w:rsidR="00AC50B9" w:rsidRPr="009A3331" w14:paraId="20CC7869" w14:textId="77777777" w:rsidTr="00E56507">
        <w:trPr>
          <w:trHeight w:val="600"/>
        </w:trPr>
        <w:tc>
          <w:tcPr>
            <w:tcW w:w="2835" w:type="dxa"/>
            <w:tcBorders>
              <w:top w:val="nil"/>
              <w:left w:val="single" w:sz="4" w:space="0" w:color="FFFFFF"/>
              <w:bottom w:val="single" w:sz="4" w:space="0" w:color="FFFFFF"/>
              <w:right w:val="single" w:sz="4" w:space="0" w:color="FFFFFF"/>
            </w:tcBorders>
            <w:shd w:val="clear" w:color="000000" w:fill="F2F2F2"/>
            <w:noWrap/>
            <w:vAlign w:val="center"/>
            <w:hideMark/>
          </w:tcPr>
          <w:p w14:paraId="797A8B97" w14:textId="77777777" w:rsidR="00AC50B9" w:rsidRPr="009A3331" w:rsidRDefault="00AC50B9" w:rsidP="00AC50B9">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Other types of harm</w:t>
            </w:r>
          </w:p>
        </w:tc>
        <w:tc>
          <w:tcPr>
            <w:tcW w:w="2835" w:type="dxa"/>
            <w:tcBorders>
              <w:top w:val="nil"/>
              <w:left w:val="nil"/>
              <w:bottom w:val="single" w:sz="4" w:space="0" w:color="FFFFFF"/>
              <w:right w:val="single" w:sz="4" w:space="0" w:color="FFFFFF"/>
            </w:tcBorders>
            <w:shd w:val="clear" w:color="000000" w:fill="FFB3B3"/>
            <w:vAlign w:val="center"/>
            <w:hideMark/>
          </w:tcPr>
          <w:p w14:paraId="6D4A1CC2" w14:textId="77777777" w:rsidR="00AC50B9" w:rsidRPr="002D3B47" w:rsidRDefault="00AC50B9" w:rsidP="00AC50B9">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35" w:type="dxa"/>
            <w:tcBorders>
              <w:top w:val="nil"/>
              <w:left w:val="nil"/>
              <w:bottom w:val="single" w:sz="4" w:space="0" w:color="FFFFFF"/>
              <w:right w:val="single" w:sz="8" w:space="0" w:color="FFFFFF"/>
            </w:tcBorders>
            <w:shd w:val="clear" w:color="auto" w:fill="D9D9D9" w:themeFill="background1" w:themeFillShade="D9"/>
            <w:vAlign w:val="center"/>
          </w:tcPr>
          <w:p w14:paraId="4F3E36E3" w14:textId="77777777" w:rsidR="00AC50B9" w:rsidRPr="002D3B47" w:rsidRDefault="00AC50B9" w:rsidP="00AC50B9">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bl>
    <w:p w14:paraId="5F3414BB" w14:textId="77777777" w:rsidR="00B36E62" w:rsidRPr="00393D22" w:rsidRDefault="002D3B47" w:rsidP="00393D22">
      <w:pPr>
        <w:pStyle w:val="Heading3"/>
      </w:pPr>
      <w:r w:rsidRPr="00393D22">
        <w:t>Problem gambling</w:t>
      </w:r>
    </w:p>
    <w:p w14:paraId="2C124E95" w14:textId="0DADF3B1" w:rsidR="00EF5426" w:rsidRPr="00393D22" w:rsidRDefault="009523C8" w:rsidP="00DB70DD">
      <w:pPr>
        <w:pStyle w:val="BodyText"/>
      </w:pPr>
      <w:r>
        <w:t xml:space="preserve">A total of </w:t>
      </w:r>
      <w:r w:rsidR="00E379F5">
        <w:t>20</w:t>
      </w:r>
      <w:r w:rsidR="00CF5F60">
        <w:t xml:space="preserve"> </w:t>
      </w:r>
      <w:r>
        <w:t xml:space="preserve">Australian and international studies found an association between </w:t>
      </w:r>
      <w:r w:rsidR="0031199B">
        <w:t>simulated gambling</w:t>
      </w:r>
      <w:r>
        <w:t xml:space="preserve"> and gambling problems</w:t>
      </w:r>
      <w:r w:rsidR="0002169F">
        <w:t xml:space="preserve">, with more evidence specifically for social casino games than </w:t>
      </w:r>
      <w:r w:rsidR="00580772">
        <w:t>other types of simulated gambling.</w:t>
      </w:r>
      <w:r w:rsidR="00676C6D">
        <w:t xml:space="preserve"> </w:t>
      </w:r>
      <w:r w:rsidR="00A06B60">
        <w:t xml:space="preserve">An overall </w:t>
      </w:r>
      <w:r w:rsidR="00F71C73">
        <w:t xml:space="preserve">rating of </w:t>
      </w:r>
      <w:r w:rsidR="00F71C73" w:rsidRPr="00393D22">
        <w:rPr>
          <w:b/>
        </w:rPr>
        <w:t>medium</w:t>
      </w:r>
      <w:r w:rsidR="00A06B60" w:rsidRPr="00681BBB">
        <w:rPr>
          <w:b/>
          <w:i/>
        </w:rPr>
        <w:t xml:space="preserve"> </w:t>
      </w:r>
      <w:r w:rsidR="00676C6D">
        <w:t xml:space="preserve">strength </w:t>
      </w:r>
      <w:r w:rsidR="00A06B60">
        <w:t xml:space="preserve">and </w:t>
      </w:r>
      <w:r w:rsidR="004B5840">
        <w:t>value</w:t>
      </w:r>
      <w:r w:rsidR="00A06B60">
        <w:t xml:space="preserve"> </w:t>
      </w:r>
      <w:r w:rsidR="00676C6D">
        <w:t>of evidence</w:t>
      </w:r>
      <w:r w:rsidR="00A06B60">
        <w:t xml:space="preserve"> for this research question</w:t>
      </w:r>
      <w:r w:rsidR="00FE53FC">
        <w:t xml:space="preserve"> was given</w:t>
      </w:r>
      <w:r w:rsidR="00205AD2">
        <w:t>.</w:t>
      </w:r>
      <w:r w:rsidR="00FE53FC">
        <w:t xml:space="preserve"> </w:t>
      </w:r>
      <w:r w:rsidR="00EF47FF">
        <w:t xml:space="preserve">The average strength of </w:t>
      </w:r>
      <w:r w:rsidR="00142B05">
        <w:t>relationship</w:t>
      </w:r>
      <w:r w:rsidR="00FA669A">
        <w:t xml:space="preserve"> between </w:t>
      </w:r>
      <w:r w:rsidR="00EB5F0B">
        <w:t>simulated gambling</w:t>
      </w:r>
      <w:r w:rsidR="00FA669A">
        <w:t xml:space="preserve"> and gambling problems</w:t>
      </w:r>
      <w:r w:rsidR="00EF47FF">
        <w:t xml:space="preserve"> is </w:t>
      </w:r>
      <w:r w:rsidR="00EF47FF" w:rsidRPr="00393D22">
        <w:rPr>
          <w:b/>
        </w:rPr>
        <w:t>medium-high</w:t>
      </w:r>
      <w:r w:rsidR="00EF47FF">
        <w:rPr>
          <w:i/>
          <w:iCs/>
        </w:rPr>
        <w:t xml:space="preserve">, </w:t>
      </w:r>
      <w:r w:rsidR="00EF47FF">
        <w:t xml:space="preserve">depending on </w:t>
      </w:r>
      <w:r w:rsidR="00A1649F">
        <w:t xml:space="preserve">the </w:t>
      </w:r>
      <w:r w:rsidR="00EF47FF">
        <w:t>product, engagement type and sample cohort.</w:t>
      </w:r>
      <w:r w:rsidR="00CA30A9">
        <w:t xml:space="preserve"> </w:t>
      </w:r>
    </w:p>
    <w:p w14:paraId="555D6D30" w14:textId="171D8D96" w:rsidR="005B0A69" w:rsidRDefault="00B1012E" w:rsidP="00897FF2">
      <w:pPr>
        <w:pStyle w:val="BodyText"/>
      </w:pPr>
      <w:r>
        <w:t>Two medium</w:t>
      </w:r>
      <w:r w:rsidR="00EC34BC">
        <w:t>-</w:t>
      </w:r>
      <w:r w:rsidR="00CF16F1">
        <w:t xml:space="preserve"> and two low</w:t>
      </w:r>
      <w:r w:rsidR="00A03904">
        <w:t>-</w:t>
      </w:r>
      <w:r w:rsidR="004B5840">
        <w:t>value</w:t>
      </w:r>
      <w:r>
        <w:t xml:space="preserve"> narrative literature reviews</w:t>
      </w:r>
      <w:r w:rsidR="00A71BCA">
        <w:t xml:space="preserve"> </w:t>
      </w:r>
      <w:r w:rsidR="00BD6BD0" w:rsidRPr="00AE598B">
        <w:t xml:space="preserve">concluded that </w:t>
      </w:r>
      <w:r w:rsidR="00A749F5">
        <w:t>simulated gambling</w:t>
      </w:r>
      <w:r w:rsidR="00DD63B0">
        <w:t xml:space="preserve"> engagement</w:t>
      </w:r>
      <w:r w:rsidR="00A749F5">
        <w:t xml:space="preserve">, including </w:t>
      </w:r>
      <w:r w:rsidR="00BD6BD0" w:rsidRPr="00AE598B">
        <w:t>social casino games</w:t>
      </w:r>
      <w:r w:rsidR="00A749F5">
        <w:t xml:space="preserve">, </w:t>
      </w:r>
      <w:r w:rsidR="00E76773">
        <w:t xml:space="preserve">is </w:t>
      </w:r>
      <w:r w:rsidR="00BD6BD0" w:rsidRPr="00AE598B">
        <w:t>associated with gambling problems (</w:t>
      </w:r>
      <w:r w:rsidR="00CF16F1">
        <w:t xml:space="preserve">Armstrong et al., 2018; </w:t>
      </w:r>
      <w:r w:rsidR="00731630">
        <w:t>Dickins &amp; Thomas, 201</w:t>
      </w:r>
      <w:r w:rsidR="00093E9A">
        <w:t>6</w:t>
      </w:r>
      <w:r w:rsidR="00731630">
        <w:t xml:space="preserve">; </w:t>
      </w:r>
      <w:proofErr w:type="spellStart"/>
      <w:r w:rsidR="0081253C">
        <w:t>Gainsbury</w:t>
      </w:r>
      <w:proofErr w:type="spellEnd"/>
      <w:r w:rsidR="000B5856">
        <w:t>, King, Ab</w:t>
      </w:r>
      <w:r w:rsidR="004602FB">
        <w:t>arbanel</w:t>
      </w:r>
      <w:r w:rsidR="0081253C">
        <w:t xml:space="preserve"> et al., 2015; </w:t>
      </w:r>
      <w:proofErr w:type="spellStart"/>
      <w:r w:rsidR="00BD6BD0" w:rsidRPr="00AE598B">
        <w:t>Kolandai-Matchett</w:t>
      </w:r>
      <w:proofErr w:type="spellEnd"/>
      <w:r w:rsidR="00BD6BD0" w:rsidRPr="00AE598B">
        <w:t xml:space="preserve"> &amp; Abbott, 2021).</w:t>
      </w:r>
      <w:r w:rsidR="00AA56E8">
        <w:t xml:space="preserve"> </w:t>
      </w:r>
      <w:r w:rsidR="00A24FFA">
        <w:t>Similar to the findings o</w:t>
      </w:r>
      <w:r w:rsidR="003831E9">
        <w:t xml:space="preserve">n </w:t>
      </w:r>
      <w:r w:rsidR="00A24FFA">
        <w:t xml:space="preserve">loot boxes, the reviews found that </w:t>
      </w:r>
      <w:r w:rsidR="00A24FFA" w:rsidRPr="00A24FFA">
        <w:t>directionality of th</w:t>
      </w:r>
      <w:r w:rsidR="003831E9">
        <w:t>e</w:t>
      </w:r>
      <w:r w:rsidR="00A24FFA" w:rsidRPr="00A24FFA">
        <w:t xml:space="preserve"> relationship remains unclear</w:t>
      </w:r>
      <w:r w:rsidR="00A24FFA">
        <w:t>.</w:t>
      </w:r>
      <w:r w:rsidR="00A24FFA" w:rsidRPr="00A24FFA">
        <w:t xml:space="preserve"> </w:t>
      </w:r>
      <w:r w:rsidR="00DF19D7">
        <w:t>A number of</w:t>
      </w:r>
      <w:r w:rsidR="00381472">
        <w:t xml:space="preserve"> literature reviews</w:t>
      </w:r>
      <w:r w:rsidR="00403F6E" w:rsidDel="00381472">
        <w:t xml:space="preserve"> </w:t>
      </w:r>
      <w:r w:rsidR="00E92999">
        <w:t>note</w:t>
      </w:r>
      <w:r w:rsidR="00381472">
        <w:t>d</w:t>
      </w:r>
      <w:r w:rsidR="00E92999">
        <w:t xml:space="preserve"> </w:t>
      </w:r>
      <w:r w:rsidR="00E92113">
        <w:t xml:space="preserve">that simulated gambling </w:t>
      </w:r>
      <w:r w:rsidR="00215CF6">
        <w:t>may</w:t>
      </w:r>
      <w:r w:rsidR="0005540C">
        <w:t xml:space="preserve"> </w:t>
      </w:r>
      <w:r w:rsidR="00E92113">
        <w:t>normalise gambling</w:t>
      </w:r>
      <w:r w:rsidR="00215CF6">
        <w:t xml:space="preserve"> behaviours</w:t>
      </w:r>
      <w:r w:rsidR="00E92113">
        <w:t xml:space="preserve"> and </w:t>
      </w:r>
      <w:r w:rsidR="00215CF6">
        <w:t>increase the</w:t>
      </w:r>
      <w:r w:rsidR="00E40949">
        <w:t xml:space="preserve"> likelihood of participation in </w:t>
      </w:r>
      <w:r w:rsidR="00262E35">
        <w:t>monetary</w:t>
      </w:r>
      <w:r w:rsidR="008A3CFF">
        <w:t xml:space="preserve"> </w:t>
      </w:r>
      <w:r w:rsidR="00E40949">
        <w:t xml:space="preserve">gambling and </w:t>
      </w:r>
      <w:r w:rsidR="009D3D96">
        <w:t xml:space="preserve">development of a </w:t>
      </w:r>
      <w:r w:rsidR="00E40949">
        <w:t>gambling disorder</w:t>
      </w:r>
      <w:r w:rsidR="00215CF6">
        <w:t>. This</w:t>
      </w:r>
      <w:r w:rsidR="00E208EF">
        <w:t xml:space="preserve"> </w:t>
      </w:r>
      <w:r w:rsidR="00BE7865">
        <w:t>suggest</w:t>
      </w:r>
      <w:r w:rsidR="00215CF6">
        <w:t>s</w:t>
      </w:r>
      <w:r w:rsidR="00BE7865">
        <w:t xml:space="preserve"> </w:t>
      </w:r>
      <w:r w:rsidR="009A2C43">
        <w:t>an indirect</w:t>
      </w:r>
      <w:r w:rsidR="00215CF6">
        <w:t xml:space="preserve"> – or mediated –</w:t>
      </w:r>
      <w:r w:rsidR="007968EF">
        <w:t xml:space="preserve"> relationship to </w:t>
      </w:r>
      <w:r w:rsidR="001C25C5">
        <w:t>problems</w:t>
      </w:r>
      <w:r w:rsidR="007968EF">
        <w:t xml:space="preserve"> via </w:t>
      </w:r>
      <w:r w:rsidR="00D031EE">
        <w:t>monetary gambling</w:t>
      </w:r>
      <w:r w:rsidR="00381472">
        <w:t xml:space="preserve"> (</w:t>
      </w:r>
      <w:r w:rsidR="00686EAA">
        <w:t>Armstrong et al., 2018; Dickins &amp; Thomas, 201</w:t>
      </w:r>
      <w:r w:rsidR="00093E9A">
        <w:t>6</w:t>
      </w:r>
      <w:r w:rsidR="00686EAA">
        <w:t xml:space="preserve">; </w:t>
      </w:r>
      <w:proofErr w:type="spellStart"/>
      <w:r w:rsidR="00686EAA" w:rsidRPr="00AE598B">
        <w:t>Kolandai-Matchett</w:t>
      </w:r>
      <w:proofErr w:type="spellEnd"/>
      <w:r w:rsidR="00686EAA" w:rsidRPr="00AE598B">
        <w:t xml:space="preserve"> &amp; Abbott, 2021</w:t>
      </w:r>
      <w:r w:rsidR="00686EAA">
        <w:t>)</w:t>
      </w:r>
      <w:r w:rsidR="00D031EE">
        <w:t xml:space="preserve">. </w:t>
      </w:r>
    </w:p>
    <w:p w14:paraId="7C32BA14" w14:textId="77777777" w:rsidR="00976674" w:rsidRDefault="00A253BE" w:rsidP="00897FF2">
      <w:pPr>
        <w:pStyle w:val="BodyText"/>
      </w:pPr>
      <w:r>
        <w:t>Armstrong and colleagues (2018</w:t>
      </w:r>
      <w:r w:rsidR="00173FCB">
        <w:t xml:space="preserve">) identified several features of simulated gambling games </w:t>
      </w:r>
      <w:r w:rsidR="009D3D96">
        <w:t xml:space="preserve">that </w:t>
      </w:r>
      <w:r w:rsidR="005363E9">
        <w:t xml:space="preserve">increase the risk of </w:t>
      </w:r>
      <w:r w:rsidR="00EB4B2D">
        <w:t>problematic gambling</w:t>
      </w:r>
      <w:r w:rsidR="005363E9">
        <w:t xml:space="preserve"> for youth</w:t>
      </w:r>
      <w:r w:rsidR="005B5A1F">
        <w:t xml:space="preserve">. The authors </w:t>
      </w:r>
      <w:r w:rsidR="003B6F4D">
        <w:t>found</w:t>
      </w:r>
      <w:r w:rsidR="005B5A1F">
        <w:t xml:space="preserve"> </w:t>
      </w:r>
      <w:r w:rsidR="00976674">
        <w:t>that simulated gambling:</w:t>
      </w:r>
    </w:p>
    <w:p w14:paraId="411983D5" w14:textId="6B133C32" w:rsidR="00976674" w:rsidRDefault="000E1C0B" w:rsidP="00393D22">
      <w:pPr>
        <w:pStyle w:val="ListBullet"/>
      </w:pPr>
      <w:r w:rsidRPr="000E1C0B">
        <w:t>provide</w:t>
      </w:r>
      <w:r>
        <w:t>s</w:t>
      </w:r>
      <w:r w:rsidRPr="000E1C0B">
        <w:t xml:space="preserve"> consumers </w:t>
      </w:r>
      <w:r w:rsidR="00A1649F">
        <w:t xml:space="preserve">with an </w:t>
      </w:r>
      <w:r w:rsidRPr="000E1C0B">
        <w:t>opportunity to practice and experiment with gambling</w:t>
      </w:r>
    </w:p>
    <w:p w14:paraId="0AE351E2" w14:textId="77777777" w:rsidR="00976674" w:rsidRDefault="000E1C0B" w:rsidP="00393D22">
      <w:pPr>
        <w:pStyle w:val="ListBullet"/>
      </w:pPr>
      <w:r w:rsidRPr="000E1C0B">
        <w:t>increases exposure to gambling themes and advertising</w:t>
      </w:r>
    </w:p>
    <w:p w14:paraId="4DC8F3DD" w14:textId="77777777" w:rsidR="00976674" w:rsidRDefault="000E1C0B" w:rsidP="00393D22">
      <w:pPr>
        <w:pStyle w:val="ListBullet"/>
      </w:pPr>
      <w:r w:rsidRPr="000E1C0B">
        <w:t>misrepresents real gambl</w:t>
      </w:r>
      <w:r w:rsidR="00976674">
        <w:t>i</w:t>
      </w:r>
      <w:r w:rsidRPr="000E1C0B">
        <w:t xml:space="preserve">ng </w:t>
      </w:r>
      <w:r w:rsidR="005B0A69" w:rsidRPr="000E1C0B">
        <w:t>experience</w:t>
      </w:r>
      <w:r w:rsidR="005B0A69">
        <w:t>s</w:t>
      </w:r>
    </w:p>
    <w:p w14:paraId="314037EF" w14:textId="77777777" w:rsidR="005B0A69" w:rsidRDefault="000E1C0B" w:rsidP="00393D22">
      <w:pPr>
        <w:pStyle w:val="ListBullet"/>
      </w:pPr>
      <w:r w:rsidRPr="000E1C0B">
        <w:t>provides early big win</w:t>
      </w:r>
      <w:r w:rsidR="005B0A69">
        <w:t>s</w:t>
      </w:r>
      <w:r w:rsidRPr="000E1C0B">
        <w:t xml:space="preserve"> </w:t>
      </w:r>
    </w:p>
    <w:p w14:paraId="07AE8CB7" w14:textId="77777777" w:rsidR="005B0A69" w:rsidRDefault="00CB5067" w:rsidP="00393D22">
      <w:pPr>
        <w:pStyle w:val="ListBullet"/>
      </w:pPr>
      <w:r>
        <w:t xml:space="preserve">may lead to </w:t>
      </w:r>
      <w:r w:rsidR="000E1C0B" w:rsidRPr="000E1C0B">
        <w:t>dissociation with/insensitivity to money</w:t>
      </w:r>
    </w:p>
    <w:p w14:paraId="4E59077F" w14:textId="77777777" w:rsidR="005B0A69" w:rsidRDefault="000E1C0B" w:rsidP="00393D22">
      <w:pPr>
        <w:pStyle w:val="ListBullet"/>
      </w:pPr>
      <w:r w:rsidRPr="000E1C0B">
        <w:t>encourage</w:t>
      </w:r>
      <w:r w:rsidR="005B0A69">
        <w:t>s</w:t>
      </w:r>
      <w:r w:rsidRPr="000E1C0B">
        <w:t xml:space="preserve"> real and excessive expenditure</w:t>
      </w:r>
    </w:p>
    <w:p w14:paraId="488163C2" w14:textId="77777777" w:rsidR="00EF5426" w:rsidRDefault="00F8581D" w:rsidP="00393D22">
      <w:pPr>
        <w:pStyle w:val="ListBullet"/>
      </w:pPr>
      <w:r>
        <w:t xml:space="preserve">engagement among children may be influenced by </w:t>
      </w:r>
      <w:r w:rsidR="000E1C0B" w:rsidRPr="000E1C0B">
        <w:t>parental factors (gambling participation, beliefs, attitudes.</w:t>
      </w:r>
    </w:p>
    <w:p w14:paraId="26DCF467" w14:textId="4156F56A" w:rsidR="00D22FE2" w:rsidRDefault="005F2C8F" w:rsidP="00897FF2">
      <w:pPr>
        <w:pStyle w:val="BodyText"/>
      </w:pPr>
      <w:r>
        <w:t>Another</w:t>
      </w:r>
      <w:r w:rsidR="003C753E">
        <w:t xml:space="preserve"> </w:t>
      </w:r>
      <w:r w:rsidR="00B96DA6">
        <w:t>medium</w:t>
      </w:r>
      <w:r w:rsidR="00F8581D">
        <w:t>-</w:t>
      </w:r>
      <w:r w:rsidR="00744589">
        <w:t xml:space="preserve">value </w:t>
      </w:r>
      <w:r w:rsidR="00D22FE2">
        <w:t xml:space="preserve">narrative </w:t>
      </w:r>
      <w:r w:rsidR="00B96DA6">
        <w:t xml:space="preserve">literature review </w:t>
      </w:r>
      <w:r w:rsidR="00EB11D9">
        <w:t xml:space="preserve">by King (2018) </w:t>
      </w:r>
      <w:r w:rsidR="00B96DA6">
        <w:t xml:space="preserve">focused on </w:t>
      </w:r>
      <w:r w:rsidR="00395E9A">
        <w:t xml:space="preserve">the impact of </w:t>
      </w:r>
      <w:r w:rsidR="00B74A40">
        <w:t>gambling-like activities in gam</w:t>
      </w:r>
      <w:r>
        <w:t>es</w:t>
      </w:r>
      <w:r w:rsidR="00B74A40">
        <w:t xml:space="preserve"> </w:t>
      </w:r>
      <w:r w:rsidR="00395E9A">
        <w:t>on y</w:t>
      </w:r>
      <w:r w:rsidR="00A1649F">
        <w:t>oung people</w:t>
      </w:r>
      <w:r w:rsidR="00EB11D9">
        <w:t xml:space="preserve">. While </w:t>
      </w:r>
      <w:r w:rsidR="00E42903">
        <w:t xml:space="preserve">they concluded that </w:t>
      </w:r>
      <w:r w:rsidR="00E42903" w:rsidRPr="008E701A">
        <w:t xml:space="preserve">problematic </w:t>
      </w:r>
      <w:r w:rsidR="00E42903" w:rsidRPr="008E701A">
        <w:lastRenderedPageBreak/>
        <w:t>simulated gambling may involve harmful levels of spending on microtransactions</w:t>
      </w:r>
      <w:r w:rsidR="00E42903">
        <w:t xml:space="preserve">, they pointed to the </w:t>
      </w:r>
      <w:r w:rsidR="00A4691F" w:rsidRPr="008E701A">
        <w:t xml:space="preserve">limited Australian evidence of </w:t>
      </w:r>
      <w:r w:rsidR="00D22FE2">
        <w:t xml:space="preserve">an association between </w:t>
      </w:r>
      <w:r w:rsidR="00A4691F" w:rsidRPr="008E701A">
        <w:t xml:space="preserve">youth </w:t>
      </w:r>
      <w:r w:rsidR="000579C1" w:rsidRPr="008E701A">
        <w:t>simulated</w:t>
      </w:r>
      <w:r w:rsidR="000579C1">
        <w:t xml:space="preserve"> gambling</w:t>
      </w:r>
      <w:r w:rsidR="00A4691F" w:rsidRPr="008E701A">
        <w:t xml:space="preserve"> and problem gambling, with mixed findings and no longitudinal research</w:t>
      </w:r>
      <w:r w:rsidR="00D22FE2">
        <w:t xml:space="preserve">. </w:t>
      </w:r>
    </w:p>
    <w:p w14:paraId="523B238B" w14:textId="77777777" w:rsidR="00A71BCA" w:rsidRDefault="00E92999" w:rsidP="00897FF2">
      <w:pPr>
        <w:pStyle w:val="BodyText"/>
      </w:pPr>
      <w:r>
        <w:t xml:space="preserve">Key </w:t>
      </w:r>
      <w:r w:rsidR="00CF097A">
        <w:t xml:space="preserve">findings from the </w:t>
      </w:r>
      <w:r w:rsidR="00D248C7">
        <w:t xml:space="preserve">cross-sectional </w:t>
      </w:r>
      <w:r w:rsidR="00CF097A">
        <w:t xml:space="preserve">quantitative and qualitative </w:t>
      </w:r>
      <w:r w:rsidR="00A614B1">
        <w:t>research</w:t>
      </w:r>
      <w:r w:rsidR="00FF4DFA">
        <w:t xml:space="preserve"> </w:t>
      </w:r>
      <w:r w:rsidR="00F568DF">
        <w:t>studies</w:t>
      </w:r>
      <w:r w:rsidR="00A614B1">
        <w:t xml:space="preserve"> are</w:t>
      </w:r>
      <w:r w:rsidR="00FF4DFA">
        <w:t xml:space="preserve"> summarised separately below for </w:t>
      </w:r>
      <w:r w:rsidR="00CF097A">
        <w:t>social casino games</w:t>
      </w:r>
      <w:r w:rsidR="00FF4DFA">
        <w:t xml:space="preserve"> and other simulated gambling</w:t>
      </w:r>
      <w:r w:rsidR="00A614B1">
        <w:t xml:space="preserve"> studies.</w:t>
      </w:r>
    </w:p>
    <w:p w14:paraId="41CF626A" w14:textId="77777777" w:rsidR="00866829" w:rsidRPr="00D73FAA" w:rsidRDefault="00866829" w:rsidP="000B2101">
      <w:pPr>
        <w:pStyle w:val="Heading4"/>
      </w:pPr>
      <w:r w:rsidRPr="00D73FAA">
        <w:t>Social casino games</w:t>
      </w:r>
    </w:p>
    <w:p w14:paraId="4BFF4AF5" w14:textId="14A135A5" w:rsidR="00C62CDE" w:rsidRDefault="00F568DF" w:rsidP="00897FF2">
      <w:pPr>
        <w:pStyle w:val="BodyText"/>
      </w:pPr>
      <w:r>
        <w:t>M</w:t>
      </w:r>
      <w:r w:rsidR="00B0242C">
        <w:t>edium-</w:t>
      </w:r>
      <w:r w:rsidR="00744589">
        <w:t>value</w:t>
      </w:r>
      <w:r w:rsidR="002446B8">
        <w:t xml:space="preserve"> </w:t>
      </w:r>
      <w:r w:rsidR="00DC4A36">
        <w:t xml:space="preserve">evidence from </w:t>
      </w:r>
      <w:r w:rsidR="00534E5A">
        <w:t xml:space="preserve">12 </w:t>
      </w:r>
      <w:r w:rsidR="00145A5D">
        <w:t>cross-section</w:t>
      </w:r>
      <w:r w:rsidR="00534E5A">
        <w:t xml:space="preserve">al </w:t>
      </w:r>
      <w:r w:rsidR="00415332">
        <w:t xml:space="preserve">studies </w:t>
      </w:r>
      <w:r w:rsidR="00E605E2">
        <w:t xml:space="preserve">and </w:t>
      </w:r>
      <w:r w:rsidR="00AD3D40">
        <w:t>one</w:t>
      </w:r>
      <w:r w:rsidR="00534E5A">
        <w:t xml:space="preserve"> </w:t>
      </w:r>
      <w:r w:rsidR="00B0242C">
        <w:t xml:space="preserve">qualitative </w:t>
      </w:r>
      <w:r w:rsidR="00776A12">
        <w:t xml:space="preserve">study </w:t>
      </w:r>
      <w:r w:rsidR="00534E5A">
        <w:t>(</w:t>
      </w:r>
      <w:r w:rsidR="004B489B">
        <w:t>nine</w:t>
      </w:r>
      <w:r w:rsidR="00534E5A">
        <w:t xml:space="preserve"> of th</w:t>
      </w:r>
      <w:r w:rsidR="004B489B">
        <w:t>e</w:t>
      </w:r>
      <w:r w:rsidR="00534E5A">
        <w:t>se Australian)</w:t>
      </w:r>
      <w:r w:rsidR="00DC4A36">
        <w:t xml:space="preserve"> </w:t>
      </w:r>
      <w:r w:rsidR="00776A12">
        <w:t xml:space="preserve">suggests </w:t>
      </w:r>
      <w:r w:rsidR="00415332">
        <w:t xml:space="preserve">that </w:t>
      </w:r>
      <w:r w:rsidR="002446B8">
        <w:t>social casino gam</w:t>
      </w:r>
      <w:r w:rsidR="00A53D8E">
        <w:t>e engagement</w:t>
      </w:r>
      <w:r w:rsidR="002446B8">
        <w:t xml:space="preserve"> is associated with problem gambling. </w:t>
      </w:r>
    </w:p>
    <w:p w14:paraId="1BEB79AA" w14:textId="77777777" w:rsidR="003D312B" w:rsidRDefault="00BD6BD0" w:rsidP="00897FF2">
      <w:pPr>
        <w:pStyle w:val="BodyText"/>
      </w:pPr>
      <w:r w:rsidRPr="00AE598B">
        <w:t xml:space="preserve">Cross-sectional studies </w:t>
      </w:r>
      <w:r w:rsidR="00270E6A">
        <w:t>with</w:t>
      </w:r>
      <w:r w:rsidRPr="00AE598B">
        <w:t xml:space="preserve"> both adolescents and adults</w:t>
      </w:r>
      <w:r w:rsidR="001E0C3A">
        <w:t xml:space="preserve"> </w:t>
      </w:r>
      <w:r w:rsidRPr="00AE598B">
        <w:t xml:space="preserve">found </w:t>
      </w:r>
      <w:r w:rsidR="000959F9">
        <w:t xml:space="preserve">that participants </w:t>
      </w:r>
      <w:r w:rsidR="001E0C3A">
        <w:t>we</w:t>
      </w:r>
      <w:r w:rsidR="00EF0FC2">
        <w:t>re</w:t>
      </w:r>
      <w:r w:rsidRPr="00AE598B">
        <w:t xml:space="preserve"> more likely </w:t>
      </w:r>
      <w:r w:rsidR="00EF0FC2">
        <w:t>to</w:t>
      </w:r>
      <w:r w:rsidRPr="00AE598B">
        <w:t xml:space="preserve"> be at</w:t>
      </w:r>
      <w:r w:rsidR="001B1027">
        <w:t xml:space="preserve"> </w:t>
      </w:r>
      <w:r w:rsidRPr="00AE598B">
        <w:t xml:space="preserve">risk </w:t>
      </w:r>
      <w:r w:rsidR="00EF0FC2">
        <w:t>for problem gambling</w:t>
      </w:r>
      <w:r w:rsidR="00F12733">
        <w:t xml:space="preserve"> and/or have higher levels of problem gambling if they</w:t>
      </w:r>
      <w:r w:rsidR="003D312B">
        <w:t>:</w:t>
      </w:r>
    </w:p>
    <w:p w14:paraId="33A72E5F" w14:textId="77777777" w:rsidR="003D312B" w:rsidRDefault="00A376CF" w:rsidP="0003458C">
      <w:pPr>
        <w:pStyle w:val="ListBullet"/>
      </w:pPr>
      <w:r w:rsidRPr="00F12733">
        <w:rPr>
          <w:i/>
          <w:iCs/>
        </w:rPr>
        <w:t>play</w:t>
      </w:r>
      <w:r w:rsidR="00F12733" w:rsidRPr="00F12733">
        <w:rPr>
          <w:i/>
          <w:iCs/>
        </w:rPr>
        <w:t>ed</w:t>
      </w:r>
      <w:r w:rsidRPr="00F12733">
        <w:rPr>
          <w:i/>
          <w:iCs/>
        </w:rPr>
        <w:t xml:space="preserve"> social casino games</w:t>
      </w:r>
      <w:r w:rsidR="00F12733" w:rsidRPr="00AE598B">
        <w:t xml:space="preserve"> (</w:t>
      </w:r>
      <w:proofErr w:type="spellStart"/>
      <w:r w:rsidR="00F12733" w:rsidRPr="00AE598B">
        <w:t>Gainsbury</w:t>
      </w:r>
      <w:proofErr w:type="spellEnd"/>
      <w:r w:rsidR="00BD6BD0" w:rsidRPr="00AE598B">
        <w:t xml:space="preserve">, Russell, &amp; Hing, 2014; </w:t>
      </w:r>
      <w:proofErr w:type="spellStart"/>
      <w:r w:rsidR="00F12733">
        <w:t>Gainsbury</w:t>
      </w:r>
      <w:proofErr w:type="spellEnd"/>
      <w:r w:rsidR="001E48AE">
        <w:t xml:space="preserve">, </w:t>
      </w:r>
      <w:r w:rsidR="003B6D5B">
        <w:t xml:space="preserve">King, </w:t>
      </w:r>
      <w:proofErr w:type="spellStart"/>
      <w:r w:rsidR="003B6D5B">
        <w:t>Delfabbro</w:t>
      </w:r>
      <w:proofErr w:type="spellEnd"/>
      <w:r w:rsidR="00F12733">
        <w:t xml:space="preserve"> et al., 2015; </w:t>
      </w:r>
      <w:r w:rsidR="00BD6BD0" w:rsidRPr="00AE598B">
        <w:t xml:space="preserve">Hing et al., 2020; Hing et al., 2021; </w:t>
      </w:r>
      <w:r w:rsidR="00F12733" w:rsidRPr="00AE598B">
        <w:t>King et al., 2014</w:t>
      </w:r>
      <w:r w:rsidR="00F12733">
        <w:t xml:space="preserve">; </w:t>
      </w:r>
      <w:proofErr w:type="spellStart"/>
      <w:r w:rsidR="00BD6BD0" w:rsidRPr="00AE598B">
        <w:t>Rockloff</w:t>
      </w:r>
      <w:proofErr w:type="spellEnd"/>
      <w:r w:rsidR="001E66E4">
        <w:t>,</w:t>
      </w:r>
      <w:r w:rsidR="00BD6BD0" w:rsidRPr="00AE598B">
        <w:t xml:space="preserve"> </w:t>
      </w:r>
      <w:r w:rsidR="001E66E4">
        <w:t>Browne, Greer, Armstrong, &amp; Thorne</w:t>
      </w:r>
      <w:r w:rsidR="00BD6BD0" w:rsidRPr="00AE598B">
        <w:t xml:space="preserve">, 2019; </w:t>
      </w:r>
      <w:r w:rsidR="00C62CDE">
        <w:t xml:space="preserve">Russell et al., 2020; </w:t>
      </w:r>
      <w:r w:rsidR="00BD6BD0" w:rsidRPr="00AE598B">
        <w:t xml:space="preserve">Stark, Reynolds, &amp; Wiebe, 2020; </w:t>
      </w:r>
      <w:proofErr w:type="spellStart"/>
      <w:r w:rsidR="00BD6BD0" w:rsidRPr="00AE598B">
        <w:t>Veselka</w:t>
      </w:r>
      <w:proofErr w:type="spellEnd"/>
      <w:r w:rsidR="00DE3B42">
        <w:t xml:space="preserve">, </w:t>
      </w:r>
      <w:proofErr w:type="spellStart"/>
      <w:r w:rsidR="00DE3B42">
        <w:t>Wijesingha</w:t>
      </w:r>
      <w:proofErr w:type="spellEnd"/>
      <w:r w:rsidR="00DE3B42">
        <w:t>, Leatherdale, Turner, &amp; Elton-Marshall,</w:t>
      </w:r>
      <w:r w:rsidR="00DE3B42" w:rsidRPr="00AE598B">
        <w:t xml:space="preserve"> </w:t>
      </w:r>
      <w:r w:rsidR="00BD6BD0" w:rsidRPr="00AE598B">
        <w:t>2018</w:t>
      </w:r>
      <w:r w:rsidR="00F12733" w:rsidRPr="00AE598B">
        <w:t>)</w:t>
      </w:r>
      <w:r w:rsidR="00DE3B42">
        <w:t>.</w:t>
      </w:r>
    </w:p>
    <w:p w14:paraId="34B275E8" w14:textId="77777777" w:rsidR="00EB76F3" w:rsidRDefault="00EB76F3" w:rsidP="00EB76F3">
      <w:pPr>
        <w:pStyle w:val="ListBullet"/>
      </w:pPr>
      <w:r w:rsidRPr="00AB33CA">
        <w:rPr>
          <w:i/>
          <w:iCs/>
        </w:rPr>
        <w:t xml:space="preserve">played </w:t>
      </w:r>
      <w:r>
        <w:rPr>
          <w:i/>
          <w:iCs/>
        </w:rPr>
        <w:t xml:space="preserve">social casino games </w:t>
      </w:r>
      <w:r w:rsidRPr="00AB33CA">
        <w:rPr>
          <w:i/>
          <w:iCs/>
        </w:rPr>
        <w:t>more frequently</w:t>
      </w:r>
      <w:r w:rsidRPr="00AE598B">
        <w:t xml:space="preserve"> (Hing et al</w:t>
      </w:r>
      <w:r>
        <w:t>.</w:t>
      </w:r>
      <w:r w:rsidRPr="00AE598B">
        <w:t>, 2021; Russell et al., 2020</w:t>
      </w:r>
      <w:r>
        <w:t>)</w:t>
      </w:r>
    </w:p>
    <w:p w14:paraId="2FAAD485" w14:textId="77777777" w:rsidR="003D312B" w:rsidRDefault="00115316" w:rsidP="0003458C">
      <w:pPr>
        <w:pStyle w:val="ListBullet"/>
      </w:pPr>
      <w:r w:rsidRPr="00A075ED">
        <w:rPr>
          <w:i/>
          <w:iCs/>
        </w:rPr>
        <w:t>made in-</w:t>
      </w:r>
      <w:r w:rsidR="008163A1">
        <w:rPr>
          <w:i/>
          <w:iCs/>
        </w:rPr>
        <w:t>game</w:t>
      </w:r>
      <w:r w:rsidRPr="00A075ED">
        <w:rPr>
          <w:i/>
          <w:iCs/>
        </w:rPr>
        <w:t xml:space="preserve"> purchases in social casino games</w:t>
      </w:r>
      <w:r>
        <w:t xml:space="preserve"> (</w:t>
      </w:r>
      <w:proofErr w:type="spellStart"/>
      <w:r w:rsidR="005721C6">
        <w:t>Gainsbury</w:t>
      </w:r>
      <w:proofErr w:type="spellEnd"/>
      <w:r w:rsidR="00157EFE">
        <w:t xml:space="preserve">, King, </w:t>
      </w:r>
      <w:proofErr w:type="spellStart"/>
      <w:r w:rsidR="00157EFE">
        <w:t>Delfabbro</w:t>
      </w:r>
      <w:proofErr w:type="spellEnd"/>
      <w:r w:rsidR="005721C6">
        <w:t xml:space="preserve"> et al., 2015; </w:t>
      </w:r>
      <w:r w:rsidR="00BD6BD0" w:rsidRPr="00AE598B">
        <w:t>Kim, Hollingshead, &amp; Wohl, 2016; King et al., 2016</w:t>
      </w:r>
      <w:r w:rsidR="00EE3917">
        <w:t>)</w:t>
      </w:r>
    </w:p>
    <w:p w14:paraId="08EE87A0" w14:textId="77777777" w:rsidR="00E903C5" w:rsidRDefault="00AB33CA" w:rsidP="0003458C">
      <w:pPr>
        <w:pStyle w:val="ListBullet"/>
      </w:pPr>
      <w:r w:rsidRPr="003F4E77">
        <w:rPr>
          <w:i/>
          <w:iCs/>
        </w:rPr>
        <w:t>made in-</w:t>
      </w:r>
      <w:r w:rsidR="008163A1">
        <w:rPr>
          <w:i/>
          <w:iCs/>
        </w:rPr>
        <w:t>game</w:t>
      </w:r>
      <w:r w:rsidRPr="003F4E77">
        <w:rPr>
          <w:i/>
          <w:iCs/>
        </w:rPr>
        <w:t xml:space="preserve"> purchases </w:t>
      </w:r>
      <w:r w:rsidR="004F42C1">
        <w:rPr>
          <w:i/>
          <w:iCs/>
        </w:rPr>
        <w:t xml:space="preserve">in social casino games </w:t>
      </w:r>
      <w:r w:rsidR="003F4E77" w:rsidRPr="003F4E77">
        <w:rPr>
          <w:i/>
          <w:iCs/>
        </w:rPr>
        <w:t>more frequently</w:t>
      </w:r>
      <w:r w:rsidR="003F4E77">
        <w:t xml:space="preserve"> </w:t>
      </w:r>
      <w:r>
        <w:t>(Russell et al., 2020</w:t>
      </w:r>
      <w:r w:rsidRPr="00AE598B">
        <w:t xml:space="preserve">; </w:t>
      </w:r>
      <w:proofErr w:type="spellStart"/>
      <w:r w:rsidRPr="00AE598B">
        <w:t>Zendle</w:t>
      </w:r>
      <w:proofErr w:type="spellEnd"/>
      <w:r w:rsidRPr="00AE598B">
        <w:t>,</w:t>
      </w:r>
      <w:r w:rsidR="007B75DA">
        <w:t xml:space="preserve"> </w:t>
      </w:r>
      <w:r>
        <w:t>2020)</w:t>
      </w:r>
    </w:p>
    <w:p w14:paraId="41D5AF76" w14:textId="77777777" w:rsidR="00BD6BD0" w:rsidRDefault="00485D96" w:rsidP="0003458C">
      <w:pPr>
        <w:pStyle w:val="ListBullet"/>
      </w:pPr>
      <w:r>
        <w:rPr>
          <w:i/>
          <w:iCs/>
        </w:rPr>
        <w:t>had a</w:t>
      </w:r>
      <w:r w:rsidR="003F4E77">
        <w:rPr>
          <w:i/>
        </w:rPr>
        <w:t xml:space="preserve"> </w:t>
      </w:r>
      <w:r w:rsidR="003F4E77" w:rsidRPr="003F4E77">
        <w:rPr>
          <w:i/>
          <w:iCs/>
        </w:rPr>
        <w:t>higher number or duration of social casino gaming sessions</w:t>
      </w:r>
      <w:r w:rsidR="003F4E77">
        <w:t xml:space="preserve"> (</w:t>
      </w:r>
      <w:proofErr w:type="spellStart"/>
      <w:r w:rsidR="003F4E77">
        <w:t>Gainsbury</w:t>
      </w:r>
      <w:proofErr w:type="spellEnd"/>
      <w:r w:rsidR="007B75DA">
        <w:t xml:space="preserve">, King, </w:t>
      </w:r>
      <w:proofErr w:type="spellStart"/>
      <w:r w:rsidR="007B75DA">
        <w:t>Delfabbro</w:t>
      </w:r>
      <w:proofErr w:type="spellEnd"/>
      <w:r w:rsidR="003F4E77">
        <w:t xml:space="preserve"> et al., 2015).</w:t>
      </w:r>
      <w:r w:rsidR="003A5C94">
        <w:t xml:space="preserve"> </w:t>
      </w:r>
    </w:p>
    <w:p w14:paraId="3DB90D65" w14:textId="77777777" w:rsidR="00C26E6D" w:rsidRPr="00D73FAA" w:rsidRDefault="00C26E6D" w:rsidP="000B2101">
      <w:pPr>
        <w:pStyle w:val="Heading4"/>
      </w:pPr>
      <w:r w:rsidRPr="00D73FAA">
        <w:t>Other simulated gambling research</w:t>
      </w:r>
    </w:p>
    <w:p w14:paraId="7F43B920" w14:textId="7346FDA8" w:rsidR="000920C5" w:rsidRDefault="0051263E" w:rsidP="00897FF2">
      <w:pPr>
        <w:pStyle w:val="BodyText"/>
      </w:pPr>
      <w:r>
        <w:t xml:space="preserve">Research on </w:t>
      </w:r>
      <w:r w:rsidR="00EE5DDA">
        <w:t xml:space="preserve">other </w:t>
      </w:r>
      <w:r w:rsidR="005919CA">
        <w:t>simulated gambling</w:t>
      </w:r>
      <w:r w:rsidR="00485D96">
        <w:t xml:space="preserve">, </w:t>
      </w:r>
      <w:r w:rsidR="00EE5DDA">
        <w:t>separate to social casino games</w:t>
      </w:r>
      <w:r w:rsidR="00EB76F3">
        <w:t xml:space="preserve"> is more limited</w:t>
      </w:r>
      <w:r w:rsidR="00485D96">
        <w:t xml:space="preserve">, </w:t>
      </w:r>
      <w:r w:rsidR="00EB76F3">
        <w:t xml:space="preserve">but </w:t>
      </w:r>
      <w:r w:rsidR="00F362B4">
        <w:t>provides some</w:t>
      </w:r>
      <w:r w:rsidR="00EE5DDA">
        <w:t xml:space="preserve"> </w:t>
      </w:r>
      <w:r w:rsidR="00B80E24">
        <w:t>evidence that</w:t>
      </w:r>
      <w:r w:rsidR="006B7930">
        <w:t xml:space="preserve"> adolescent and adult</w:t>
      </w:r>
      <w:r w:rsidR="00B80E24">
        <w:t xml:space="preserve"> simulated gambling is</w:t>
      </w:r>
      <w:r w:rsidR="00EE5DDA">
        <w:t xml:space="preserve"> associat</w:t>
      </w:r>
      <w:r w:rsidR="00B80E24">
        <w:t>ed</w:t>
      </w:r>
      <w:r w:rsidR="00EE5DDA">
        <w:t xml:space="preserve"> with problem gambling</w:t>
      </w:r>
      <w:r w:rsidR="00E34FBF">
        <w:t>.</w:t>
      </w:r>
      <w:r w:rsidR="00F362B4">
        <w:t xml:space="preserve"> </w:t>
      </w:r>
    </w:p>
    <w:p w14:paraId="6421EDDE" w14:textId="4011C943" w:rsidR="000C6B3D" w:rsidRDefault="00BA0164" w:rsidP="00897FF2">
      <w:pPr>
        <w:pStyle w:val="BodyText"/>
      </w:pPr>
      <w:r>
        <w:t xml:space="preserve">Two </w:t>
      </w:r>
      <w:r w:rsidR="00B94B29">
        <w:t xml:space="preserve">recent </w:t>
      </w:r>
      <w:r>
        <w:t xml:space="preserve">Australian </w:t>
      </w:r>
      <w:r w:rsidR="00F16DC1">
        <w:t xml:space="preserve">cross-sectional </w:t>
      </w:r>
      <w:r>
        <w:t xml:space="preserve">studies </w:t>
      </w:r>
      <w:r w:rsidR="002775AC">
        <w:t>found</w:t>
      </w:r>
      <w:r w:rsidR="00E56985">
        <w:t xml:space="preserve"> that </w:t>
      </w:r>
      <w:r>
        <w:t>playing video games with gambling components</w:t>
      </w:r>
      <w:r w:rsidR="002775AC">
        <w:t xml:space="preserve"> </w:t>
      </w:r>
      <w:r w:rsidR="00620453">
        <w:t>was associated with at-risk/problem gambling</w:t>
      </w:r>
      <w:r w:rsidR="00BD306A">
        <w:t xml:space="preserve"> among </w:t>
      </w:r>
      <w:r w:rsidR="00C365D1">
        <w:t>children/</w:t>
      </w:r>
      <w:r w:rsidR="00BD306A">
        <w:t>a</w:t>
      </w:r>
      <w:r w:rsidR="009E794A">
        <w:t>dolescents aged 12</w:t>
      </w:r>
      <w:r w:rsidR="00402D69">
        <w:t>–</w:t>
      </w:r>
      <w:r w:rsidR="009E794A">
        <w:t>17 years</w:t>
      </w:r>
      <w:r>
        <w:t xml:space="preserve"> </w:t>
      </w:r>
      <w:r w:rsidR="00B94B29">
        <w:t>(Hing et al., 2020</w:t>
      </w:r>
      <w:r w:rsidR="009E794A">
        <w:t>)</w:t>
      </w:r>
      <w:r w:rsidR="002C2953">
        <w:t>,</w:t>
      </w:r>
      <w:r w:rsidR="009E794A">
        <w:t xml:space="preserve"> and adults aged 18</w:t>
      </w:r>
      <w:r w:rsidR="00402D69">
        <w:t>–</w:t>
      </w:r>
      <w:r w:rsidR="009E794A">
        <w:t>29 years</w:t>
      </w:r>
      <w:r w:rsidR="00B94B29">
        <w:t xml:space="preserve"> </w:t>
      </w:r>
      <w:r w:rsidR="00A06898">
        <w:t>(</w:t>
      </w:r>
      <w:r w:rsidR="00B94B29">
        <w:t>Russell</w:t>
      </w:r>
      <w:r w:rsidR="00402D69">
        <w:t xml:space="preserve"> et al</w:t>
      </w:r>
      <w:r w:rsidR="00B94B29">
        <w:t>., 2020).</w:t>
      </w:r>
      <w:r w:rsidR="00E56985">
        <w:t xml:space="preserve"> </w:t>
      </w:r>
      <w:r w:rsidR="00185DD0">
        <w:t xml:space="preserve">Other international studies have reported similar </w:t>
      </w:r>
      <w:r w:rsidR="004710B6">
        <w:t>associations</w:t>
      </w:r>
      <w:r w:rsidR="00641CAD">
        <w:t>.</w:t>
      </w:r>
      <w:r w:rsidR="002278B3">
        <w:t xml:space="preserve"> </w:t>
      </w:r>
      <w:r w:rsidR="00641CAD">
        <w:t>A</w:t>
      </w:r>
      <w:r w:rsidR="002278B3">
        <w:t xml:space="preserve"> study of Danish </w:t>
      </w:r>
      <w:r w:rsidR="007D6922">
        <w:t xml:space="preserve">adolescents found that </w:t>
      </w:r>
      <w:r w:rsidR="00EA0F6B">
        <w:t xml:space="preserve">those </w:t>
      </w:r>
      <w:r w:rsidR="007D6922" w:rsidRPr="007D6922">
        <w:t xml:space="preserve">more involved </w:t>
      </w:r>
      <w:r w:rsidR="00EA0F6B">
        <w:t xml:space="preserve">in </w:t>
      </w:r>
      <w:r w:rsidR="007D6922" w:rsidRPr="007D6922">
        <w:t xml:space="preserve">simulated </w:t>
      </w:r>
      <w:r w:rsidR="00EA0F6B" w:rsidRPr="007D6922">
        <w:t>gambl</w:t>
      </w:r>
      <w:r w:rsidR="00EA0F6B">
        <w:t>ing</w:t>
      </w:r>
      <w:r w:rsidR="00EA0F6B" w:rsidRPr="007D6922">
        <w:t xml:space="preserve"> </w:t>
      </w:r>
      <w:r w:rsidR="007D6922" w:rsidRPr="007D6922">
        <w:t>had a higher likelihood of being classified as an at-risk or problem gambler (Kristiansen &amp; Severin, 2020a</w:t>
      </w:r>
      <w:r w:rsidR="00EA0F6B" w:rsidRPr="007D6922">
        <w:t>)</w:t>
      </w:r>
      <w:r w:rsidR="00EA0F6B">
        <w:t>. A</w:t>
      </w:r>
      <w:r w:rsidR="000C6B3D" w:rsidRPr="00AE598B">
        <w:t xml:space="preserve"> longitudinal study </w:t>
      </w:r>
      <w:r w:rsidR="002336F9">
        <w:t>of</w:t>
      </w:r>
      <w:r w:rsidR="000C6B3D" w:rsidRPr="00AE598B">
        <w:t xml:space="preserve"> German adolescents found simulated gambling in video games predicted problem gambling one</w:t>
      </w:r>
      <w:r w:rsidR="00EA0F6B">
        <w:t xml:space="preserve"> </w:t>
      </w:r>
      <w:r w:rsidR="000C6B3D" w:rsidRPr="00AE598B">
        <w:t>year later</w:t>
      </w:r>
      <w:r w:rsidR="00097F0D">
        <w:t xml:space="preserve"> </w:t>
      </w:r>
      <w:r w:rsidR="00097F0D" w:rsidRPr="00097F0D">
        <w:t>(</w:t>
      </w:r>
      <w:proofErr w:type="spellStart"/>
      <w:r w:rsidR="00097F0D" w:rsidRPr="00097F0D">
        <w:t>Brosowski</w:t>
      </w:r>
      <w:proofErr w:type="spellEnd"/>
      <w:r w:rsidR="00097F0D" w:rsidRPr="00097F0D">
        <w:t xml:space="preserve"> et al., 2020).</w:t>
      </w:r>
    </w:p>
    <w:p w14:paraId="04AF5790" w14:textId="77777777" w:rsidR="00B36E62" w:rsidRPr="00DE7335" w:rsidRDefault="00B36E62" w:rsidP="00BB7A25">
      <w:pPr>
        <w:pStyle w:val="Heading3"/>
      </w:pPr>
      <w:r w:rsidRPr="00DE7335">
        <w:t>Internet gaming disorder</w:t>
      </w:r>
    </w:p>
    <w:p w14:paraId="55BED0BB" w14:textId="7A86D211" w:rsidR="0058078B" w:rsidRDefault="00C06115" w:rsidP="00897FF2">
      <w:pPr>
        <w:pStyle w:val="BodyText"/>
      </w:pPr>
      <w:r>
        <w:t xml:space="preserve">Only </w:t>
      </w:r>
      <w:r w:rsidR="00BB3175">
        <w:t>four</w:t>
      </w:r>
      <w:r>
        <w:t xml:space="preserve"> studies </w:t>
      </w:r>
      <w:r w:rsidR="00A26B1A">
        <w:t xml:space="preserve">of </w:t>
      </w:r>
      <w:r w:rsidR="00171BF5" w:rsidRPr="00DE7335">
        <w:rPr>
          <w:b/>
        </w:rPr>
        <w:t>medium</w:t>
      </w:r>
      <w:r w:rsidR="00171BF5">
        <w:t xml:space="preserve"> </w:t>
      </w:r>
      <w:r w:rsidR="00744589">
        <w:t>value</w:t>
      </w:r>
      <w:r w:rsidR="0058078B">
        <w:t xml:space="preserve"> found an association between simulated gambling and </w:t>
      </w:r>
      <w:r w:rsidR="00AE598B" w:rsidRPr="0067703B">
        <w:t>internet gaming disorder</w:t>
      </w:r>
      <w:r w:rsidR="002D034C">
        <w:t>:</w:t>
      </w:r>
      <w:r w:rsidR="003D5C96">
        <w:t xml:space="preserve"> </w:t>
      </w:r>
      <w:r w:rsidR="00BA0884">
        <w:t xml:space="preserve">two cross-sectional </w:t>
      </w:r>
      <w:r w:rsidR="00F20ABC">
        <w:t xml:space="preserve">studies and </w:t>
      </w:r>
      <w:r w:rsidR="00402599">
        <w:t>two</w:t>
      </w:r>
      <w:r w:rsidR="00F20ABC">
        <w:t xml:space="preserve"> narrative literature review</w:t>
      </w:r>
      <w:r w:rsidR="00402599">
        <w:t>s</w:t>
      </w:r>
      <w:r w:rsidR="00F20ABC">
        <w:t xml:space="preserve">. </w:t>
      </w:r>
      <w:r w:rsidR="00272D63">
        <w:t>Overa</w:t>
      </w:r>
      <w:r w:rsidR="00B97569">
        <w:t>l</w:t>
      </w:r>
      <w:r w:rsidR="00272D63">
        <w:t>l</w:t>
      </w:r>
      <w:r w:rsidR="007332BE">
        <w:t>,</w:t>
      </w:r>
      <w:r w:rsidR="00272D63">
        <w:t xml:space="preserve"> s</w:t>
      </w:r>
      <w:r w:rsidR="002C5890">
        <w:t xml:space="preserve">imulated </w:t>
      </w:r>
      <w:r w:rsidR="00B97569">
        <w:t xml:space="preserve">gambling </w:t>
      </w:r>
      <w:r w:rsidR="00272D63">
        <w:t>was</w:t>
      </w:r>
      <w:r w:rsidR="002C5890">
        <w:t xml:space="preserve"> </w:t>
      </w:r>
      <w:r w:rsidR="002C5890" w:rsidRPr="00AE598B">
        <w:t>associated with greater gaming disorder symptomology</w:t>
      </w:r>
      <w:r w:rsidR="002C5890">
        <w:t xml:space="preserve">, though only one article reported </w:t>
      </w:r>
      <w:r w:rsidR="00CE567C">
        <w:t>the strength of the association (</w:t>
      </w:r>
      <w:r w:rsidR="00272D63" w:rsidRPr="0003458C">
        <w:rPr>
          <w:b/>
        </w:rPr>
        <w:t>low-medium</w:t>
      </w:r>
      <w:r w:rsidR="00B97569">
        <w:t>)</w:t>
      </w:r>
      <w:r w:rsidR="002C5890" w:rsidRPr="00AE598B">
        <w:t xml:space="preserve">. </w:t>
      </w:r>
    </w:p>
    <w:p w14:paraId="145A703A" w14:textId="216D826E" w:rsidR="00555E70" w:rsidRDefault="00BB5D03" w:rsidP="00897FF2">
      <w:pPr>
        <w:pStyle w:val="BodyText"/>
      </w:pPr>
      <w:proofErr w:type="spellStart"/>
      <w:r w:rsidRPr="00BB5D03">
        <w:t>Kolandai-Matchett</w:t>
      </w:r>
      <w:proofErr w:type="spellEnd"/>
      <w:r w:rsidRPr="00BB5D03">
        <w:t xml:space="preserve"> </w:t>
      </w:r>
      <w:r>
        <w:t xml:space="preserve">and </w:t>
      </w:r>
      <w:r w:rsidRPr="00BB5D03">
        <w:t>Abbott</w:t>
      </w:r>
      <w:r>
        <w:t>’s</w:t>
      </w:r>
      <w:r w:rsidRPr="00BB5D03">
        <w:t xml:space="preserve"> </w:t>
      </w:r>
      <w:r w:rsidR="000E0223">
        <w:t>(</w:t>
      </w:r>
      <w:r w:rsidRPr="00BB5D03">
        <w:t>2021</w:t>
      </w:r>
      <w:r w:rsidR="000E0223">
        <w:t>)</w:t>
      </w:r>
      <w:r>
        <w:t xml:space="preserve"> </w:t>
      </w:r>
      <w:r w:rsidR="00402599">
        <w:t xml:space="preserve">literature </w:t>
      </w:r>
      <w:r>
        <w:t>review</w:t>
      </w:r>
      <w:r w:rsidRPr="00BB5D03">
        <w:t xml:space="preserve"> </w:t>
      </w:r>
      <w:r w:rsidR="006E21FB">
        <w:t xml:space="preserve">reported </w:t>
      </w:r>
      <w:r w:rsidR="00492ED1">
        <w:t xml:space="preserve">that engagement </w:t>
      </w:r>
      <w:r w:rsidR="001200B3">
        <w:t xml:space="preserve">in simulated gambling </w:t>
      </w:r>
      <w:r w:rsidR="004B3A39">
        <w:t>was significantly associated with gaming disorder</w:t>
      </w:r>
      <w:r w:rsidR="001200B3">
        <w:t xml:space="preserve"> (and </w:t>
      </w:r>
      <w:r w:rsidR="001200B3" w:rsidRPr="001200B3">
        <w:t>problem gambling</w:t>
      </w:r>
      <w:r w:rsidR="001200B3">
        <w:t>)</w:t>
      </w:r>
      <w:r w:rsidR="002B1B7F">
        <w:t>.</w:t>
      </w:r>
      <w:r w:rsidR="00BF3F1B">
        <w:t xml:space="preserve"> </w:t>
      </w:r>
      <w:r w:rsidR="00675178">
        <w:t>A discussion paper on simulated gambling</w:t>
      </w:r>
      <w:r w:rsidR="00073871">
        <w:t xml:space="preserve"> </w:t>
      </w:r>
      <w:r w:rsidR="00114FE1">
        <w:t>by Dickins and Thomas (2016) suggested</w:t>
      </w:r>
      <w:r w:rsidR="00073871">
        <w:t xml:space="preserve"> that excessive use </w:t>
      </w:r>
      <w:r w:rsidR="00AE5845">
        <w:t>of these games constitutes gaming addiction</w:t>
      </w:r>
      <w:r w:rsidR="00391299">
        <w:t xml:space="preserve"> with symptomology such as the </w:t>
      </w:r>
      <w:r w:rsidR="00391299">
        <w:lastRenderedPageBreak/>
        <w:t>inability to limit time</w:t>
      </w:r>
      <w:r w:rsidR="00555E70">
        <w:t xml:space="preserve">. Further, </w:t>
      </w:r>
      <w:r w:rsidR="005F2C8F">
        <w:t>people</w:t>
      </w:r>
      <w:r w:rsidR="00555E70">
        <w:t xml:space="preserve"> may be more at risk for gaming addiction from simulated gambling if they are motivated to play to escape from their problems or to relieve negative emotions, are lonely, bored or lack self-control.</w:t>
      </w:r>
    </w:p>
    <w:p w14:paraId="6C900FD3" w14:textId="5FC65DEF" w:rsidR="003161AE" w:rsidRDefault="002B1B7F" w:rsidP="00897FF2">
      <w:pPr>
        <w:pStyle w:val="BodyText"/>
      </w:pPr>
      <w:r>
        <w:t xml:space="preserve">Survey data from a study of </w:t>
      </w:r>
      <w:r w:rsidR="00FE5B55">
        <w:t xml:space="preserve">Australian </w:t>
      </w:r>
      <w:r w:rsidR="009F5464">
        <w:t>children/</w:t>
      </w:r>
      <w:r w:rsidR="00FE5B55">
        <w:t>adolescents (12</w:t>
      </w:r>
      <w:r w:rsidR="007332BE">
        <w:t>–</w:t>
      </w:r>
      <w:r w:rsidR="00FE5B55">
        <w:t xml:space="preserve">17 years) found that </w:t>
      </w:r>
      <w:r w:rsidR="00781E82">
        <w:t xml:space="preserve">playing </w:t>
      </w:r>
      <w:r w:rsidR="00241377">
        <w:t xml:space="preserve">three </w:t>
      </w:r>
      <w:r w:rsidR="00C920E8">
        <w:t xml:space="preserve">types of simulated gambling activities </w:t>
      </w:r>
      <w:r w:rsidR="00467E90">
        <w:t xml:space="preserve">in the </w:t>
      </w:r>
      <w:r w:rsidR="00114FE1">
        <w:t>p</w:t>
      </w:r>
      <w:r w:rsidR="00467E90">
        <w:t xml:space="preserve">ast 12 months </w:t>
      </w:r>
      <w:r w:rsidR="001D1A24">
        <w:t>(</w:t>
      </w:r>
      <w:r w:rsidR="001D1A24" w:rsidRPr="001D1A24">
        <w:t>social casino games, demo or practice games, and gambling-themed apps</w:t>
      </w:r>
      <w:r w:rsidR="001D1A24">
        <w:t>)</w:t>
      </w:r>
      <w:r w:rsidR="001D1A24" w:rsidRPr="001D1A24">
        <w:t xml:space="preserve"> </w:t>
      </w:r>
      <w:r w:rsidR="00EF7DEE">
        <w:t>was</w:t>
      </w:r>
      <w:r w:rsidR="00EF7DEE" w:rsidRPr="0067703B">
        <w:t xml:space="preserve"> </w:t>
      </w:r>
      <w:r w:rsidR="00AE598B" w:rsidRPr="0067703B">
        <w:t xml:space="preserve">associated with </w:t>
      </w:r>
      <w:r w:rsidR="007623A4">
        <w:t xml:space="preserve">meeting criteria for problematic gaming </w:t>
      </w:r>
      <w:r w:rsidR="008523FC">
        <w:t xml:space="preserve">as measured by </w:t>
      </w:r>
      <w:r w:rsidR="007623A4">
        <w:t>the IGD</w:t>
      </w:r>
      <w:r w:rsidR="006E2BEC">
        <w:t xml:space="preserve"> </w:t>
      </w:r>
      <w:r w:rsidR="001D2F40">
        <w:t>(</w:t>
      </w:r>
      <w:r w:rsidR="00AE598B" w:rsidRPr="0067703B">
        <w:t>Hing et al., 2020</w:t>
      </w:r>
      <w:r w:rsidR="001D2F40">
        <w:t>)</w:t>
      </w:r>
      <w:r w:rsidR="006E2BEC">
        <w:t xml:space="preserve">. </w:t>
      </w:r>
      <w:r w:rsidR="00025D03">
        <w:t xml:space="preserve">The same report found that playing games with gambling content was associated with </w:t>
      </w:r>
      <w:r w:rsidR="002D1D24">
        <w:t>higher risk of</w:t>
      </w:r>
      <w:r w:rsidR="00025D03">
        <w:t xml:space="preserve"> gaming disorder. </w:t>
      </w:r>
      <w:r w:rsidR="006E2BEC">
        <w:t xml:space="preserve">Another survey </w:t>
      </w:r>
      <w:r w:rsidR="00333CB8">
        <w:t xml:space="preserve">with </w:t>
      </w:r>
      <w:r w:rsidR="003004C3">
        <w:t xml:space="preserve">a representative sample of UK adults found more frequent </w:t>
      </w:r>
      <w:r w:rsidR="00414F98">
        <w:t xml:space="preserve">spending on </w:t>
      </w:r>
      <w:r w:rsidR="003004C3">
        <w:t>social casino gam</w:t>
      </w:r>
      <w:r w:rsidR="00414F98">
        <w:t xml:space="preserve">es </w:t>
      </w:r>
      <w:r w:rsidR="003004C3">
        <w:t xml:space="preserve">was associated with </w:t>
      </w:r>
      <w:r w:rsidR="00A80705">
        <w:t xml:space="preserve">higher levels of disordered </w:t>
      </w:r>
      <w:r w:rsidR="003004C3">
        <w:t>gaming</w:t>
      </w:r>
      <w:r w:rsidR="00AE598B" w:rsidRPr="0067703B">
        <w:t xml:space="preserve"> (</w:t>
      </w:r>
      <w:proofErr w:type="spellStart"/>
      <w:r w:rsidR="00AE598B" w:rsidRPr="0067703B">
        <w:t>Zendle</w:t>
      </w:r>
      <w:proofErr w:type="spellEnd"/>
      <w:r w:rsidR="00AE598B" w:rsidRPr="0067703B">
        <w:t xml:space="preserve">, 2020). </w:t>
      </w:r>
    </w:p>
    <w:p w14:paraId="6DBBF8AD" w14:textId="77777777" w:rsidR="00B36E62" w:rsidRPr="0003458C" w:rsidRDefault="00B36E62" w:rsidP="0003458C">
      <w:pPr>
        <w:pStyle w:val="Heading3"/>
      </w:pPr>
      <w:r w:rsidRPr="0003458C">
        <w:t>Other harms</w:t>
      </w:r>
    </w:p>
    <w:p w14:paraId="5F3FFBC2" w14:textId="38386AC7" w:rsidR="00046B47" w:rsidRDefault="00046B47" w:rsidP="00897FF2">
      <w:pPr>
        <w:pStyle w:val="BodyText"/>
      </w:pPr>
      <w:r>
        <w:t xml:space="preserve">A total of </w:t>
      </w:r>
      <w:r w:rsidR="00160F0B">
        <w:t xml:space="preserve">nine </w:t>
      </w:r>
      <w:r w:rsidRPr="0003458C">
        <w:rPr>
          <w:b/>
        </w:rPr>
        <w:t>low-medium</w:t>
      </w:r>
      <w:r w:rsidRPr="00F26AAB">
        <w:t xml:space="preserve"> </w:t>
      </w:r>
      <w:r w:rsidR="00744589">
        <w:t>value</w:t>
      </w:r>
      <w:r w:rsidRPr="00F26AAB">
        <w:t xml:space="preserve"> Australian</w:t>
      </w:r>
      <w:r>
        <w:t xml:space="preserve"> and international studies found an association between simu</w:t>
      </w:r>
      <w:r w:rsidR="00BE395C">
        <w:t>lated gambling</w:t>
      </w:r>
      <w:r>
        <w:t xml:space="preserve"> and other types of harm</w:t>
      </w:r>
      <w:r w:rsidR="00091A4E">
        <w:t>.</w:t>
      </w:r>
      <w:r w:rsidR="000F004A">
        <w:t xml:space="preserve"> There was limited information about the strength of these relationships when accounting for other factors, such as demographic</w:t>
      </w:r>
      <w:r w:rsidR="00114FE1">
        <w:t xml:space="preserve"> characteristics</w:t>
      </w:r>
      <w:r w:rsidR="000F004A">
        <w:t xml:space="preserve"> or </w:t>
      </w:r>
      <w:r w:rsidR="00E40A7B">
        <w:t>monetary gambling.</w:t>
      </w:r>
      <w:r w:rsidR="007479A3">
        <w:t xml:space="preserve"> </w:t>
      </w:r>
      <w:r w:rsidR="001068E2">
        <w:t>The s</w:t>
      </w:r>
      <w:r w:rsidR="007479A3">
        <w:t xml:space="preserve">trength of </w:t>
      </w:r>
      <w:r w:rsidR="00142B05">
        <w:t>relationship</w:t>
      </w:r>
      <w:r w:rsidR="007479A3">
        <w:t xml:space="preserve"> between in-game purchases and other harms varied depending on the type of harm.</w:t>
      </w:r>
    </w:p>
    <w:p w14:paraId="34AA2582" w14:textId="77777777" w:rsidR="008E6CC5" w:rsidRPr="000E3888" w:rsidRDefault="008E6CC5" w:rsidP="000B2101">
      <w:pPr>
        <w:pStyle w:val="Heading4"/>
      </w:pPr>
      <w:r w:rsidRPr="000E3888">
        <w:t>Problematic social casino game use</w:t>
      </w:r>
      <w:r w:rsidR="007479A3" w:rsidRPr="000E3888">
        <w:t xml:space="preserve"> </w:t>
      </w:r>
    </w:p>
    <w:p w14:paraId="7E6DB281" w14:textId="5B59086B" w:rsidR="008E6CC5" w:rsidRPr="008E6CC5" w:rsidRDefault="008E6CC5" w:rsidP="00897FF2">
      <w:pPr>
        <w:pStyle w:val="BodyText"/>
      </w:pPr>
      <w:r w:rsidRPr="008E6CC5">
        <w:t xml:space="preserve">A few studies have examined harm associated with social casino gaming using the Problematic Social Casino Game Use Scale (PSCGS: </w:t>
      </w:r>
      <w:proofErr w:type="spellStart"/>
      <w:r w:rsidRPr="008E6CC5">
        <w:t>Gainsbury</w:t>
      </w:r>
      <w:proofErr w:type="spellEnd"/>
      <w:r w:rsidR="00236B2C">
        <w:t>,</w:t>
      </w:r>
      <w:r w:rsidR="00236B2C" w:rsidRPr="00236B2C">
        <w:t xml:space="preserve"> </w:t>
      </w:r>
      <w:r w:rsidR="00236B2C">
        <w:t xml:space="preserve">King, Russell, </w:t>
      </w:r>
      <w:proofErr w:type="spellStart"/>
      <w:r w:rsidR="00236B2C">
        <w:t>Delfabbro</w:t>
      </w:r>
      <w:proofErr w:type="spellEnd"/>
      <w:r w:rsidR="00236B2C">
        <w:t xml:space="preserve">, &amp; Hing, </w:t>
      </w:r>
      <w:r w:rsidRPr="008E6CC5">
        <w:t>2017)</w:t>
      </w:r>
      <w:r w:rsidR="000E3888">
        <w:t xml:space="preserve">; </w:t>
      </w:r>
      <w:r w:rsidRPr="008E6CC5">
        <w:t xml:space="preserve">a </w:t>
      </w:r>
      <w:r w:rsidR="00236B2C">
        <w:t>five</w:t>
      </w:r>
      <w:r w:rsidRPr="008E6CC5">
        <w:t xml:space="preserve">-item </w:t>
      </w:r>
      <w:r w:rsidR="001B3A30">
        <w:t xml:space="preserve">unvalidated </w:t>
      </w:r>
      <w:r w:rsidRPr="008E6CC5">
        <w:t>measure derived from the DSM-</w:t>
      </w:r>
      <w:r w:rsidR="00BB73FD">
        <w:t>V</w:t>
      </w:r>
      <w:r w:rsidR="00BB73FD" w:rsidRPr="008E6CC5">
        <w:t xml:space="preserve"> </w:t>
      </w:r>
      <w:r w:rsidRPr="008E6CC5">
        <w:t xml:space="preserve">Internet Gaming Disorder criteria. The items </w:t>
      </w:r>
      <w:r w:rsidR="005F2C8F">
        <w:t>capture</w:t>
      </w:r>
      <w:r w:rsidRPr="008E6CC5">
        <w:t xml:space="preserve"> components of problematic gaming including preoccupation, withdrawal, loss of control, escape and negative consequences</w:t>
      </w:r>
      <w:r w:rsidR="00236B2C">
        <w:t>,</w:t>
      </w:r>
      <w:r w:rsidRPr="008E6CC5">
        <w:t xml:space="preserve"> and higher scores indicate greater problematic social casino game use. In a sample of Australian adult </w:t>
      </w:r>
      <w:r w:rsidR="00AD532E">
        <w:t>social</w:t>
      </w:r>
      <w:r w:rsidRPr="008E6CC5">
        <w:t xml:space="preserve"> casino gamers, </w:t>
      </w:r>
      <w:proofErr w:type="spellStart"/>
      <w:r w:rsidRPr="008E6CC5">
        <w:t>Gainsbury</w:t>
      </w:r>
      <w:proofErr w:type="spellEnd"/>
      <w:r w:rsidRPr="008E6CC5">
        <w:t xml:space="preserve"> and colleagues (2017) found </w:t>
      </w:r>
      <w:r w:rsidR="00F06210">
        <w:t xml:space="preserve">that </w:t>
      </w:r>
      <w:r w:rsidRPr="008E6CC5">
        <w:t xml:space="preserve">problematic social casino gaming </w:t>
      </w:r>
      <w:r w:rsidR="00575E8A">
        <w:t>increased</w:t>
      </w:r>
      <w:r w:rsidRPr="008E6CC5">
        <w:t xml:space="preserve"> with more frequent gaming, higher spending and playing more games. </w:t>
      </w:r>
      <w:r w:rsidR="006C5B5D">
        <w:t>More frequent</w:t>
      </w:r>
      <w:r w:rsidR="00855DD2">
        <w:t xml:space="preserve"> </w:t>
      </w:r>
      <w:r w:rsidR="0092702F">
        <w:t>expenditure</w:t>
      </w:r>
      <w:r w:rsidR="009E764A">
        <w:t xml:space="preserve"> on </w:t>
      </w:r>
      <w:r w:rsidR="00AD532E">
        <w:t>social casino games</w:t>
      </w:r>
      <w:r w:rsidR="009E764A">
        <w:t xml:space="preserve"> was </w:t>
      </w:r>
      <w:r w:rsidR="00A21B47">
        <w:t xml:space="preserve">the </w:t>
      </w:r>
      <w:r w:rsidR="00E0575C">
        <w:t>strongest behavioural predictor of</w:t>
      </w:r>
      <w:r w:rsidR="00A21B47">
        <w:t xml:space="preserve"> </w:t>
      </w:r>
      <w:r w:rsidR="0005366B">
        <w:t>PSCGS</w:t>
      </w:r>
      <w:r w:rsidR="0092702F">
        <w:t>.</w:t>
      </w:r>
      <w:r w:rsidRPr="008E6CC5">
        <w:t xml:space="preserve"> A</w:t>
      </w:r>
      <w:r w:rsidR="00B26665">
        <w:t>nother</w:t>
      </w:r>
      <w:r w:rsidRPr="008E6CC5">
        <w:t xml:space="preserve"> study </w:t>
      </w:r>
      <w:r w:rsidR="00184B7E">
        <w:t>of</w:t>
      </w:r>
      <w:r w:rsidRPr="008E6CC5">
        <w:t xml:space="preserve"> Danish adolescents found higher PSCGS scores </w:t>
      </w:r>
      <w:r w:rsidR="00B26665">
        <w:t>among</w:t>
      </w:r>
      <w:r w:rsidRPr="008E6CC5">
        <w:t xml:space="preserve"> those </w:t>
      </w:r>
      <w:r w:rsidR="00B26665">
        <w:t xml:space="preserve">who </w:t>
      </w:r>
      <w:r w:rsidRPr="008E6CC5">
        <w:t>engaged in simulated gambling more frequently, spen</w:t>
      </w:r>
      <w:r w:rsidR="00B26665">
        <w:t>t</w:t>
      </w:r>
      <w:r w:rsidRPr="008E6CC5">
        <w:t xml:space="preserve"> more money and engaged in more types of simulated gambling activities (Kristiansen &amp; Severin, 2020a). </w:t>
      </w:r>
    </w:p>
    <w:p w14:paraId="51660D9A" w14:textId="77777777" w:rsidR="00EF67DA" w:rsidRPr="000E3888" w:rsidRDefault="00EF67DA" w:rsidP="000B2101">
      <w:pPr>
        <w:pStyle w:val="Heading4"/>
      </w:pPr>
      <w:r w:rsidRPr="000E3888">
        <w:t>Psychological and mental distress</w:t>
      </w:r>
    </w:p>
    <w:p w14:paraId="5324A7D5" w14:textId="70B202FF" w:rsidR="00EC4A67" w:rsidRDefault="00EF67DA" w:rsidP="00897FF2">
      <w:pPr>
        <w:pStyle w:val="BodyText"/>
      </w:pPr>
      <w:r>
        <w:t xml:space="preserve">Links between social casino game consumption and psychological and mental distress </w:t>
      </w:r>
      <w:r w:rsidR="00091A4E">
        <w:t>have</w:t>
      </w:r>
      <w:r>
        <w:t xml:space="preserve"> been examined</w:t>
      </w:r>
      <w:r w:rsidR="00F65891">
        <w:t xml:space="preserve"> in samples of Australian </w:t>
      </w:r>
      <w:r w:rsidR="00D87FF3">
        <w:t xml:space="preserve">adult </w:t>
      </w:r>
      <w:r w:rsidR="00F65891">
        <w:t>gamblers (</w:t>
      </w:r>
      <w:proofErr w:type="spellStart"/>
      <w:r w:rsidR="00F65891">
        <w:t>Gainsbury</w:t>
      </w:r>
      <w:proofErr w:type="spellEnd"/>
      <w:r w:rsidR="00F65891">
        <w:t xml:space="preserve"> et al., 2014</w:t>
      </w:r>
      <w:r w:rsidR="002158B4">
        <w:t>)</w:t>
      </w:r>
      <w:r w:rsidR="00782FAE">
        <w:t xml:space="preserve"> and </w:t>
      </w:r>
      <w:r w:rsidR="002158B4">
        <w:t>adolescents (</w:t>
      </w:r>
      <w:r>
        <w:t>King et al., 2014</w:t>
      </w:r>
      <w:r w:rsidR="00491BD7">
        <w:t xml:space="preserve">, </w:t>
      </w:r>
      <w:r>
        <w:t xml:space="preserve">2016). </w:t>
      </w:r>
      <w:r w:rsidR="00FF4448">
        <w:t xml:space="preserve">Australian adolescents making in-game purchases in social casino games (versus </w:t>
      </w:r>
      <w:r w:rsidR="00DD105D">
        <w:t>non-purchase</w:t>
      </w:r>
      <w:r w:rsidR="00F740B9">
        <w:t>r</w:t>
      </w:r>
      <w:r w:rsidR="00DD105D">
        <w:t xml:space="preserve">s) were more likely to report </w:t>
      </w:r>
      <w:r w:rsidR="00491BD7">
        <w:t>‘</w:t>
      </w:r>
      <w:r w:rsidR="00DD105D">
        <w:t>at least mild distress</w:t>
      </w:r>
      <w:r w:rsidR="00491BD7">
        <w:t>’</w:t>
      </w:r>
      <w:r w:rsidR="00DD105D">
        <w:t xml:space="preserve"> on the K6 measure of psychological distress</w:t>
      </w:r>
      <w:r w:rsidR="00F740B9">
        <w:t xml:space="preserve"> (King et al.</w:t>
      </w:r>
      <w:r w:rsidR="00491BD7">
        <w:t>,</w:t>
      </w:r>
      <w:r w:rsidR="00F740B9">
        <w:t xml:space="preserve"> 2016).</w:t>
      </w:r>
      <w:r w:rsidR="00DE69E3">
        <w:t xml:space="preserve"> Higher </w:t>
      </w:r>
      <w:r w:rsidR="00785632">
        <w:t xml:space="preserve">psychological distress scores were </w:t>
      </w:r>
      <w:r w:rsidR="00322B9E">
        <w:t xml:space="preserve">also </w:t>
      </w:r>
      <w:r w:rsidR="00785632">
        <w:t>found for Australian adult</w:t>
      </w:r>
      <w:r w:rsidR="00322B9E">
        <w:t xml:space="preserve">s who gambled and </w:t>
      </w:r>
      <w:r w:rsidR="00785632">
        <w:t>who had played social casino games</w:t>
      </w:r>
      <w:r w:rsidR="00322B9E">
        <w:t>, compared</w:t>
      </w:r>
      <w:r w:rsidR="00785632">
        <w:t xml:space="preserve"> </w:t>
      </w:r>
      <w:r w:rsidR="00322B9E">
        <w:t xml:space="preserve">to </w:t>
      </w:r>
      <w:r w:rsidR="00785632">
        <w:t>those who had not (</w:t>
      </w:r>
      <w:proofErr w:type="spellStart"/>
      <w:r w:rsidR="00785632">
        <w:t>Gainsbury</w:t>
      </w:r>
      <w:proofErr w:type="spellEnd"/>
      <w:r w:rsidR="00785632">
        <w:t xml:space="preserve"> et al., 2014). </w:t>
      </w:r>
    </w:p>
    <w:p w14:paraId="40477CE2" w14:textId="32F9E1A1" w:rsidR="00EF67DA" w:rsidRDefault="00A042FD" w:rsidP="00897FF2">
      <w:pPr>
        <w:pStyle w:val="BodyText"/>
      </w:pPr>
      <w:r>
        <w:t xml:space="preserve">Other Australian research found </w:t>
      </w:r>
      <w:r w:rsidR="00E04455">
        <w:t xml:space="preserve">no difference in </w:t>
      </w:r>
      <w:r w:rsidR="00450EDC">
        <w:t xml:space="preserve">anxiety and depression scores </w:t>
      </w:r>
      <w:r w:rsidR="00E04455">
        <w:t xml:space="preserve">among </w:t>
      </w:r>
      <w:r w:rsidR="00450EDC">
        <w:t xml:space="preserve">adolescents who </w:t>
      </w:r>
      <w:r w:rsidR="00604AFD">
        <w:t xml:space="preserve">participated in simulated gambling in the </w:t>
      </w:r>
      <w:r w:rsidR="004132FD">
        <w:t>p</w:t>
      </w:r>
      <w:r w:rsidR="00604AFD">
        <w:t>ast 12 months</w:t>
      </w:r>
      <w:r w:rsidR="00E04455">
        <w:t>,</w:t>
      </w:r>
      <w:r w:rsidR="00604AFD">
        <w:t xml:space="preserve"> </w:t>
      </w:r>
      <w:r w:rsidR="00EC4A67">
        <w:t xml:space="preserve">compared to </w:t>
      </w:r>
      <w:r w:rsidR="00604AFD">
        <w:t xml:space="preserve">those who </w:t>
      </w:r>
      <w:r w:rsidR="004132FD">
        <w:t xml:space="preserve">did </w:t>
      </w:r>
      <w:r w:rsidR="00604AFD">
        <w:t>not (King et al., 20</w:t>
      </w:r>
      <w:r w:rsidR="00E7771B">
        <w:t xml:space="preserve">14). </w:t>
      </w:r>
    </w:p>
    <w:p w14:paraId="32C71EF6" w14:textId="77777777" w:rsidR="003F6554" w:rsidRPr="004132FD" w:rsidRDefault="003F6554" w:rsidP="000B2101">
      <w:pPr>
        <w:pStyle w:val="Heading4"/>
      </w:pPr>
      <w:r w:rsidRPr="004132FD">
        <w:t xml:space="preserve">Self-reported </w:t>
      </w:r>
      <w:r w:rsidRPr="000B2101">
        <w:t>negative</w:t>
      </w:r>
      <w:r w:rsidRPr="004132FD">
        <w:t xml:space="preserve"> consequences/problems</w:t>
      </w:r>
    </w:p>
    <w:p w14:paraId="1BFBA1C8" w14:textId="77777777" w:rsidR="003D2678" w:rsidRDefault="007D7CD3" w:rsidP="00897FF2">
      <w:pPr>
        <w:pStyle w:val="BodyText"/>
      </w:pPr>
      <w:r>
        <w:t>An A</w:t>
      </w:r>
      <w:r w:rsidR="00F27B12">
        <w:t xml:space="preserve">ustralian </w:t>
      </w:r>
      <w:r>
        <w:t xml:space="preserve">study </w:t>
      </w:r>
      <w:r w:rsidR="00D461BF">
        <w:t xml:space="preserve">of adolescent and </w:t>
      </w:r>
      <w:r>
        <w:t>a</w:t>
      </w:r>
      <w:r w:rsidR="00F27B12">
        <w:t xml:space="preserve">dult </w:t>
      </w:r>
      <w:r>
        <w:t xml:space="preserve">internet users </w:t>
      </w:r>
      <w:r w:rsidR="00BD610D">
        <w:t>as</w:t>
      </w:r>
      <w:r w:rsidR="00F23266">
        <w:t xml:space="preserve">ked participants </w:t>
      </w:r>
      <w:r>
        <w:t xml:space="preserve">about social casino gaming, including whether </w:t>
      </w:r>
      <w:r w:rsidR="002B0557">
        <w:t xml:space="preserve">they had experienced any negative consequences from their </w:t>
      </w:r>
      <w:r w:rsidR="002B0557">
        <w:lastRenderedPageBreak/>
        <w:t>social casino game use (</w:t>
      </w:r>
      <w:r w:rsidR="002B0557" w:rsidRPr="002B0557">
        <w:t>e.g. relationship problems, poor school or work performance, worse physical health)</w:t>
      </w:r>
      <w:r w:rsidR="002B0557">
        <w:t xml:space="preserve"> or </w:t>
      </w:r>
      <w:r w:rsidR="009205C1">
        <w:t>had a problem with their social casino gaming (</w:t>
      </w:r>
      <w:proofErr w:type="spellStart"/>
      <w:r w:rsidR="009205C1">
        <w:t>Gainsbury</w:t>
      </w:r>
      <w:proofErr w:type="spellEnd"/>
      <w:r w:rsidR="00E63503">
        <w:t xml:space="preserve">, King, </w:t>
      </w:r>
      <w:proofErr w:type="spellStart"/>
      <w:r w:rsidR="00E63503">
        <w:t>Delfabbro</w:t>
      </w:r>
      <w:proofErr w:type="spellEnd"/>
      <w:r w:rsidR="009205C1">
        <w:t xml:space="preserve"> et al., 2015). </w:t>
      </w:r>
      <w:r w:rsidR="003D2678">
        <w:t>Younger adults were significantly more likely to endorse having</w:t>
      </w:r>
      <w:r w:rsidR="00E63503">
        <w:t xml:space="preserve"> had</w:t>
      </w:r>
      <w:r w:rsidR="003D2678">
        <w:t xml:space="preserve"> frequent thoughts or strong urges about social casino games,</w:t>
      </w:r>
      <w:r w:rsidR="00962CDE">
        <w:t xml:space="preserve"> </w:t>
      </w:r>
      <w:r w:rsidR="003D2678">
        <w:t>having experienced negative consequences due to social casino games</w:t>
      </w:r>
      <w:r w:rsidR="00962CDE">
        <w:t>,</w:t>
      </w:r>
      <w:r w:rsidR="003D2678">
        <w:t xml:space="preserve"> and </w:t>
      </w:r>
      <w:r w:rsidR="005F2C8F">
        <w:t>believe</w:t>
      </w:r>
      <w:r w:rsidR="003D2678">
        <w:t xml:space="preserve"> that they had a problem with social casino games.</w:t>
      </w:r>
      <w:r w:rsidR="00962CDE">
        <w:t xml:space="preserve"> Participants </w:t>
      </w:r>
      <w:r w:rsidR="003D2678">
        <w:t xml:space="preserve">with higher levels of problem gambling were significantly more likely to </w:t>
      </w:r>
      <w:r w:rsidR="004A2DAA">
        <w:t>report experiencing negative consequences</w:t>
      </w:r>
      <w:r w:rsidR="00F91B25">
        <w:t xml:space="preserve"> </w:t>
      </w:r>
      <w:r w:rsidR="007101EA">
        <w:t>associated with</w:t>
      </w:r>
      <w:r w:rsidR="00F91B25">
        <w:t xml:space="preserve"> social casino gaming</w:t>
      </w:r>
      <w:r w:rsidR="004A2DAA">
        <w:t>.</w:t>
      </w:r>
    </w:p>
    <w:p w14:paraId="1F7A240A" w14:textId="77777777" w:rsidR="002E5E4B" w:rsidRPr="0003458C" w:rsidRDefault="002E5E4B" w:rsidP="0003458C">
      <w:pPr>
        <w:pStyle w:val="Heading2"/>
      </w:pPr>
      <w:bookmarkStart w:id="45" w:name="_Toc106359516"/>
      <w:r w:rsidRPr="0003458C">
        <w:t>Which groups are most at</w:t>
      </w:r>
      <w:r w:rsidR="00E6281D">
        <w:t xml:space="preserve"> </w:t>
      </w:r>
      <w:r w:rsidRPr="0003458C">
        <w:t>risk or vulnerable to harm</w:t>
      </w:r>
      <w:r w:rsidR="00FB10AA" w:rsidRPr="0003458C">
        <w:t xml:space="preserve"> from </w:t>
      </w:r>
      <w:r w:rsidR="000C5473" w:rsidRPr="0003458C">
        <w:t>simulated gambling</w:t>
      </w:r>
      <w:r w:rsidRPr="0003458C">
        <w:t>?</w:t>
      </w:r>
      <w:bookmarkEnd w:id="45"/>
    </w:p>
    <w:tbl>
      <w:tblPr>
        <w:tblStyle w:val="TableGrid"/>
        <w:tblW w:w="84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95"/>
      </w:tblGrid>
      <w:tr w:rsidR="003D5437" w14:paraId="4CC6D201" w14:textId="77777777" w:rsidTr="00261641">
        <w:trPr>
          <w:cnfStyle w:val="100000000000" w:firstRow="1" w:lastRow="0" w:firstColumn="0" w:lastColumn="0" w:oddVBand="0" w:evenVBand="0" w:oddHBand="0" w:evenHBand="0" w:firstRowFirstColumn="0" w:firstRowLastColumn="0" w:lastRowFirstColumn="0" w:lastRowLastColumn="0"/>
        </w:trPr>
        <w:tc>
          <w:tcPr>
            <w:tcW w:w="8495" w:type="dxa"/>
          </w:tcPr>
          <w:p w14:paraId="2BC557D2" w14:textId="62CD46B1" w:rsidR="003D5437" w:rsidRPr="00AA29D5" w:rsidRDefault="003D5437" w:rsidP="00261641">
            <w:pPr>
              <w:pStyle w:val="BodyText"/>
              <w:spacing w:line="360" w:lineRule="auto"/>
              <w:rPr>
                <w:b/>
                <w:bCs/>
                <w:color w:val="FFFFFF" w:themeColor="background1"/>
              </w:rPr>
            </w:pPr>
            <w:r>
              <w:rPr>
                <w:b/>
                <w:bCs/>
                <w:color w:val="FFFFFF" w:themeColor="background1"/>
              </w:rPr>
              <w:t xml:space="preserve">Assessment of strength and </w:t>
            </w:r>
            <w:r w:rsidR="002B21D7">
              <w:rPr>
                <w:b/>
                <w:bCs/>
                <w:color w:val="FFFFFF" w:themeColor="background1"/>
              </w:rPr>
              <w:t>value</w:t>
            </w:r>
            <w:r>
              <w:rPr>
                <w:b/>
                <w:bCs/>
                <w:color w:val="FFFFFF" w:themeColor="background1"/>
              </w:rPr>
              <w:t xml:space="preserve"> of evidence for </w:t>
            </w:r>
            <w:r w:rsidR="00CD7814" w:rsidRPr="00CD7814">
              <w:rPr>
                <w:b/>
                <w:bCs/>
                <w:color w:val="FFFFFF" w:themeColor="background1"/>
              </w:rPr>
              <w:t xml:space="preserve">which groups are most at risk of harm related to </w:t>
            </w:r>
            <w:r w:rsidR="00CD7814">
              <w:rPr>
                <w:b/>
                <w:bCs/>
                <w:color w:val="FFFFFF" w:themeColor="background1"/>
              </w:rPr>
              <w:t>simulated gambling</w:t>
            </w:r>
            <w:r w:rsidR="00CD7814" w:rsidRPr="00CD7814">
              <w:rPr>
                <w:b/>
                <w:bCs/>
                <w:color w:val="FFFFFF" w:themeColor="background1"/>
              </w:rPr>
              <w:t xml:space="preserve"> engagement</w:t>
            </w:r>
          </w:p>
        </w:tc>
      </w:tr>
      <w:tr w:rsidR="00C73441" w14:paraId="1C235C5E" w14:textId="77777777" w:rsidTr="00BA6ACF">
        <w:tc>
          <w:tcPr>
            <w:tcW w:w="8495" w:type="dxa"/>
            <w:shd w:val="clear" w:color="auto" w:fill="FFB3B3"/>
          </w:tcPr>
          <w:p w14:paraId="02734B7B" w14:textId="267B91F6" w:rsidR="00C73441" w:rsidRDefault="00C73441" w:rsidP="00C73441">
            <w:pPr>
              <w:pStyle w:val="BodyText"/>
              <w:spacing w:line="360" w:lineRule="auto"/>
            </w:pPr>
            <w:bookmarkStart w:id="46" w:name="_Hlk95309557"/>
            <w:r>
              <w:rPr>
                <w:b/>
                <w:bCs/>
              </w:rPr>
              <w:t>Low-medium</w:t>
            </w:r>
            <w:r>
              <w:t xml:space="preserve"> – </w:t>
            </w:r>
            <w:r w:rsidR="00B42EFD">
              <w:t>Some</w:t>
            </w:r>
            <w:r w:rsidR="004A0621">
              <w:t xml:space="preserve"> </w:t>
            </w:r>
            <w:r w:rsidR="00B42EFD">
              <w:t>medium</w:t>
            </w:r>
            <w:r w:rsidR="00540C00">
              <w:t xml:space="preserve"> strength and</w:t>
            </w:r>
            <w:r w:rsidR="00086FEE">
              <w:t xml:space="preserve"> </w:t>
            </w:r>
            <w:r w:rsidR="00744589">
              <w:t>value</w:t>
            </w:r>
            <w:r w:rsidR="004A0621">
              <w:t xml:space="preserve"> evidence</w:t>
            </w:r>
            <w:r w:rsidR="00B42EFD">
              <w:t xml:space="preserve"> of demographic differences </w:t>
            </w:r>
            <w:r w:rsidR="005A5857">
              <w:t xml:space="preserve">(e.g. age) and behaviours </w:t>
            </w:r>
            <w:r w:rsidR="00B42EFD">
              <w:t>on problem gambling risk</w:t>
            </w:r>
            <w:r w:rsidR="005A5857">
              <w:t xml:space="preserve">. Limited information </w:t>
            </w:r>
            <w:r w:rsidR="00CD46C5">
              <w:t>about other harms.</w:t>
            </w:r>
          </w:p>
        </w:tc>
      </w:tr>
    </w:tbl>
    <w:bookmarkEnd w:id="46"/>
    <w:p w14:paraId="139B3BD9" w14:textId="18E21F90" w:rsidR="00C34BA1" w:rsidRPr="001A5358" w:rsidRDefault="00B04610" w:rsidP="00897FF2">
      <w:pPr>
        <w:pStyle w:val="BodyText"/>
      </w:pPr>
      <w:r>
        <w:t>Australian</w:t>
      </w:r>
      <w:r w:rsidR="00C34BA1">
        <w:t xml:space="preserve"> research suggests that individuals who </w:t>
      </w:r>
      <w:r>
        <w:t>are already experiencing gambling problems may be</w:t>
      </w:r>
      <w:r w:rsidR="00C34BA1">
        <w:t xml:space="preserve"> at greater risk of harm from</w:t>
      </w:r>
      <w:r>
        <w:t xml:space="preserve"> simulated gambling products</w:t>
      </w:r>
      <w:r w:rsidR="00C34BA1">
        <w:t xml:space="preserve"> (</w:t>
      </w:r>
      <w:proofErr w:type="spellStart"/>
      <w:r w:rsidR="00C34BA1" w:rsidRPr="00AE598B">
        <w:t>Gainsbury</w:t>
      </w:r>
      <w:proofErr w:type="spellEnd"/>
      <w:r w:rsidR="00E6281D">
        <w:t xml:space="preserve">, King, </w:t>
      </w:r>
      <w:proofErr w:type="spellStart"/>
      <w:r w:rsidR="00E6281D">
        <w:t>Delfabbro</w:t>
      </w:r>
      <w:proofErr w:type="spellEnd"/>
      <w:r w:rsidR="00C34BA1" w:rsidRPr="00AE598B">
        <w:t xml:space="preserve"> et al., 2015</w:t>
      </w:r>
      <w:r w:rsidR="00CC22DA">
        <w:t>;</w:t>
      </w:r>
      <w:r w:rsidR="00C34BA1" w:rsidRPr="00AE598B">
        <w:t xml:space="preserve"> </w:t>
      </w:r>
      <w:proofErr w:type="spellStart"/>
      <w:r w:rsidR="00233714">
        <w:t>Gainsbury</w:t>
      </w:r>
      <w:proofErr w:type="spellEnd"/>
      <w:r w:rsidR="00233714">
        <w:t xml:space="preserve"> et al., 2017</w:t>
      </w:r>
      <w:r w:rsidR="000C60D5">
        <w:t>)</w:t>
      </w:r>
      <w:r w:rsidR="00C34BA1">
        <w:t>.</w:t>
      </w:r>
      <w:r>
        <w:t xml:space="preserve"> </w:t>
      </w:r>
      <w:proofErr w:type="spellStart"/>
      <w:r w:rsidR="00776B00">
        <w:t>Gainsbur</w:t>
      </w:r>
      <w:r w:rsidR="000C60D5">
        <w:t>y</w:t>
      </w:r>
      <w:proofErr w:type="spellEnd"/>
      <w:r w:rsidR="00CC22DA">
        <w:t xml:space="preserve"> </w:t>
      </w:r>
      <w:r w:rsidR="00776B00">
        <w:t xml:space="preserve">and colleagues (2015) found that </w:t>
      </w:r>
      <w:r w:rsidR="002C3981">
        <w:t xml:space="preserve">the risk of </w:t>
      </w:r>
      <w:r w:rsidR="000938F7">
        <w:t xml:space="preserve">problem gambling </w:t>
      </w:r>
      <w:r w:rsidR="002C3981">
        <w:t>symptoms</w:t>
      </w:r>
      <w:r w:rsidR="000938F7">
        <w:t xml:space="preserve"> </w:t>
      </w:r>
      <w:r w:rsidR="00BC4537" w:rsidRPr="0003458C">
        <w:rPr>
          <w:i/>
        </w:rPr>
        <w:t>de</w:t>
      </w:r>
      <w:r w:rsidR="000938F7" w:rsidRPr="0003458C">
        <w:rPr>
          <w:i/>
        </w:rPr>
        <w:t>creased</w:t>
      </w:r>
      <w:r w:rsidR="000938F7">
        <w:rPr>
          <w:i/>
          <w:iCs/>
        </w:rPr>
        <w:t xml:space="preserve"> </w:t>
      </w:r>
      <w:r w:rsidR="000938F7">
        <w:t>with age</w:t>
      </w:r>
      <w:r w:rsidR="007A6C42">
        <w:t>;</w:t>
      </w:r>
      <w:r w:rsidR="00DD235B">
        <w:t xml:space="preserve"> </w:t>
      </w:r>
      <w:r w:rsidR="004219F7">
        <w:t>that is</w:t>
      </w:r>
      <w:r w:rsidR="005E38D0">
        <w:t>,</w:t>
      </w:r>
      <w:r w:rsidR="004219F7">
        <w:t xml:space="preserve"> </w:t>
      </w:r>
      <w:r w:rsidR="00DD235B">
        <w:t>younger</w:t>
      </w:r>
      <w:r w:rsidR="007A6C42">
        <w:t xml:space="preserve"> social casino gamers</w:t>
      </w:r>
      <w:r w:rsidR="00DD235B">
        <w:t xml:space="preserve"> were typically at higher risk</w:t>
      </w:r>
      <w:r w:rsidR="007A6C42">
        <w:t xml:space="preserve"> than older players</w:t>
      </w:r>
      <w:r w:rsidR="000938F7">
        <w:t xml:space="preserve">. </w:t>
      </w:r>
    </w:p>
    <w:p w14:paraId="37EF94B9" w14:textId="26173EDA" w:rsidR="00086FEE" w:rsidRPr="003F39CB" w:rsidRDefault="006A2D2A" w:rsidP="003F39CB">
      <w:pPr>
        <w:pStyle w:val="BodyText"/>
      </w:pPr>
      <w:r w:rsidRPr="00AE598B">
        <w:t>Other international research (e.g. Kristiansen &amp; Severin, 2020a; Steinmetz et al., 2021</w:t>
      </w:r>
      <w:r w:rsidR="00C34BA1">
        <w:t>; Wardle</w:t>
      </w:r>
      <w:r w:rsidR="002604A1">
        <w:t xml:space="preserve"> &amp; </w:t>
      </w:r>
      <w:proofErr w:type="spellStart"/>
      <w:r w:rsidR="002604A1">
        <w:t>Zendle</w:t>
      </w:r>
      <w:proofErr w:type="spellEnd"/>
      <w:r w:rsidR="00C34BA1">
        <w:t>, 2021</w:t>
      </w:r>
      <w:r w:rsidRPr="00AE598B">
        <w:t>) suggest</w:t>
      </w:r>
      <w:r w:rsidR="00CC22DA">
        <w:t>s</w:t>
      </w:r>
      <w:r w:rsidRPr="00AE598B">
        <w:t xml:space="preserve"> that high engagement and problematic behaviour in one form (e.g. online gambling) affects (over)involvement in the other (e.g. simulated gambling or ‘pay-to-win’ games). Steinmetz and colleagues (2021) suggest that once a player or gambler has developed a problematic behavioural pattern, that habit is likely to migrate to other game forms.</w:t>
      </w:r>
      <w:r w:rsidR="00B04610">
        <w:t xml:space="preserve"> </w:t>
      </w:r>
    </w:p>
    <w:p w14:paraId="7D2944FC" w14:textId="41671B5D" w:rsidR="002E5E4B" w:rsidRPr="0003458C" w:rsidRDefault="002E5E4B" w:rsidP="0003458C">
      <w:pPr>
        <w:pStyle w:val="Heading2"/>
      </w:pPr>
      <w:bookmarkStart w:id="47" w:name="_Toc106359517"/>
      <w:r w:rsidRPr="00DE7335">
        <w:t xml:space="preserve">What </w:t>
      </w:r>
      <w:r w:rsidR="002639B5">
        <w:t>other factors influence</w:t>
      </w:r>
      <w:r w:rsidR="002639B5" w:rsidRPr="00DE7335" w:rsidDel="002639B5">
        <w:t xml:space="preserve"> </w:t>
      </w:r>
      <w:r w:rsidRPr="0003458C">
        <w:t>harm</w:t>
      </w:r>
      <w:r w:rsidR="00FB10AA" w:rsidRPr="0003458C">
        <w:t xml:space="preserve"> from </w:t>
      </w:r>
      <w:r w:rsidR="00550230" w:rsidRPr="0003458C">
        <w:t>simulated gambling</w:t>
      </w:r>
      <w:r w:rsidRPr="0003458C">
        <w:t>?</w:t>
      </w:r>
      <w:bookmarkEnd w:id="47"/>
    </w:p>
    <w:tbl>
      <w:tblPr>
        <w:tblStyle w:val="TableGrid"/>
        <w:tblW w:w="84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95"/>
      </w:tblGrid>
      <w:tr w:rsidR="009945B5" w14:paraId="7E3811B8" w14:textId="77777777" w:rsidTr="00261641">
        <w:trPr>
          <w:cnfStyle w:val="100000000000" w:firstRow="1" w:lastRow="0" w:firstColumn="0" w:lastColumn="0" w:oddVBand="0" w:evenVBand="0" w:oddHBand="0" w:evenHBand="0" w:firstRowFirstColumn="0" w:firstRowLastColumn="0" w:lastRowFirstColumn="0" w:lastRowLastColumn="0"/>
        </w:trPr>
        <w:tc>
          <w:tcPr>
            <w:tcW w:w="8495" w:type="dxa"/>
          </w:tcPr>
          <w:p w14:paraId="33487833" w14:textId="452EE374" w:rsidR="009945B5" w:rsidRPr="00AA29D5" w:rsidRDefault="009945B5" w:rsidP="00261641">
            <w:pPr>
              <w:pStyle w:val="BodyText"/>
              <w:spacing w:line="360" w:lineRule="auto"/>
              <w:rPr>
                <w:b/>
                <w:bCs/>
                <w:color w:val="FFFFFF" w:themeColor="background1"/>
              </w:rPr>
            </w:pPr>
            <w:r>
              <w:rPr>
                <w:b/>
                <w:bCs/>
                <w:color w:val="FFFFFF" w:themeColor="background1"/>
              </w:rPr>
              <w:t xml:space="preserve">Assessment of strength and </w:t>
            </w:r>
            <w:r w:rsidR="00CB6EB6">
              <w:rPr>
                <w:b/>
                <w:bCs/>
                <w:color w:val="FFFFFF" w:themeColor="background1"/>
              </w:rPr>
              <w:t>value</w:t>
            </w:r>
            <w:r>
              <w:rPr>
                <w:b/>
                <w:bCs/>
                <w:color w:val="FFFFFF" w:themeColor="background1"/>
              </w:rPr>
              <w:t xml:space="preserve"> of evidence for </w:t>
            </w:r>
            <w:r w:rsidR="00CD7814" w:rsidRPr="00CD7814">
              <w:rPr>
                <w:b/>
                <w:bCs/>
                <w:color w:val="FFFFFF" w:themeColor="background1"/>
              </w:rPr>
              <w:t xml:space="preserve">key predictors, </w:t>
            </w:r>
            <w:proofErr w:type="gramStart"/>
            <w:r w:rsidR="00CD7814" w:rsidRPr="00CD7814">
              <w:rPr>
                <w:b/>
                <w:bCs/>
                <w:color w:val="FFFFFF" w:themeColor="background1"/>
              </w:rPr>
              <w:t>mediators</w:t>
            </w:r>
            <w:proofErr w:type="gramEnd"/>
            <w:r w:rsidR="00CD7814" w:rsidRPr="00CD7814">
              <w:rPr>
                <w:b/>
                <w:bCs/>
                <w:color w:val="FFFFFF" w:themeColor="background1"/>
              </w:rPr>
              <w:t xml:space="preserve"> and moderators of harm from </w:t>
            </w:r>
            <w:r w:rsidR="00CD7814">
              <w:rPr>
                <w:b/>
                <w:bCs/>
                <w:color w:val="FFFFFF" w:themeColor="background1"/>
              </w:rPr>
              <w:t>simulated gambling</w:t>
            </w:r>
          </w:p>
        </w:tc>
      </w:tr>
      <w:tr w:rsidR="009945B5" w14:paraId="2975DD76" w14:textId="77777777" w:rsidTr="009945B5">
        <w:tc>
          <w:tcPr>
            <w:tcW w:w="8495" w:type="dxa"/>
            <w:shd w:val="clear" w:color="auto" w:fill="FABF8F" w:themeFill="accent6" w:themeFillTint="99"/>
          </w:tcPr>
          <w:p w14:paraId="480CADD7" w14:textId="6BA571DB" w:rsidR="009945B5" w:rsidRDefault="009945B5" w:rsidP="009945B5">
            <w:pPr>
              <w:pStyle w:val="BodyText"/>
              <w:spacing w:line="360" w:lineRule="auto"/>
            </w:pPr>
            <w:r>
              <w:rPr>
                <w:b/>
                <w:bCs/>
              </w:rPr>
              <w:t>Medium</w:t>
            </w:r>
            <w:r>
              <w:t xml:space="preserve"> – </w:t>
            </w:r>
            <w:r w:rsidR="00B04610">
              <w:t xml:space="preserve">Some high strength and </w:t>
            </w:r>
            <w:r w:rsidR="00CB6EB6">
              <w:t>value</w:t>
            </w:r>
            <w:r w:rsidR="00B04610">
              <w:t xml:space="preserve"> evidence</w:t>
            </w:r>
            <w:r w:rsidR="007D0E86">
              <w:t xml:space="preserve"> of </w:t>
            </w:r>
            <w:r w:rsidR="00D12362">
              <w:t xml:space="preserve">predictors of </w:t>
            </w:r>
            <w:r w:rsidR="00DA5399">
              <w:t>gambling problems</w:t>
            </w:r>
            <w:r w:rsidR="00D12362">
              <w:t xml:space="preserve"> (e.g.</w:t>
            </w:r>
            <w:r w:rsidR="006C5908">
              <w:t xml:space="preserve"> depth of monetary </w:t>
            </w:r>
            <w:r w:rsidR="00C701C9">
              <w:t>gambling).</w:t>
            </w:r>
            <w:r w:rsidR="00D12362">
              <w:t xml:space="preserve"> </w:t>
            </w:r>
            <w:r w:rsidR="00A979BE">
              <w:t>Some medium</w:t>
            </w:r>
            <w:r w:rsidR="00086FEE">
              <w:t xml:space="preserve"> </w:t>
            </w:r>
            <w:r w:rsidR="00A979BE">
              <w:t>strength</w:t>
            </w:r>
            <w:r w:rsidR="00C701C9">
              <w:t xml:space="preserve"> information available about other harms</w:t>
            </w:r>
            <w:r w:rsidR="00A979BE">
              <w:t>.</w:t>
            </w:r>
            <w:r w:rsidR="00F302E3">
              <w:t xml:space="preserve"> </w:t>
            </w:r>
          </w:p>
        </w:tc>
      </w:tr>
    </w:tbl>
    <w:p w14:paraId="59FEE40B" w14:textId="77777777" w:rsidR="00B21A74" w:rsidRDefault="0003458C" w:rsidP="0003458C">
      <w:pPr>
        <w:pStyle w:val="BodyText"/>
      </w:pPr>
      <w:r>
        <w:t xml:space="preserve">King and </w:t>
      </w:r>
      <w:proofErr w:type="spellStart"/>
      <w:r>
        <w:t>Delfabbro</w:t>
      </w:r>
      <w:proofErr w:type="spellEnd"/>
      <w:r>
        <w:t xml:space="preserve"> (2016) reviewed 19 empirical studies of youth participation in simulated gambling to develop a conceptual model of problem gambling risk and protective factors. They identified four </w:t>
      </w:r>
      <w:r w:rsidRPr="008F25F9">
        <w:rPr>
          <w:i/>
        </w:rPr>
        <w:t xml:space="preserve">key </w:t>
      </w:r>
      <w:r w:rsidRPr="008F25F9">
        <w:rPr>
          <w:i/>
          <w:iCs/>
        </w:rPr>
        <w:t xml:space="preserve">risk factor </w:t>
      </w:r>
      <w:r>
        <w:t xml:space="preserve">categories: </w:t>
      </w:r>
    </w:p>
    <w:p w14:paraId="4097DC2E" w14:textId="1A1A390A" w:rsidR="0017608F" w:rsidRDefault="0003458C" w:rsidP="003F39CB">
      <w:pPr>
        <w:pStyle w:val="BodyText"/>
        <w:numPr>
          <w:ilvl w:val="0"/>
          <w:numId w:val="40"/>
        </w:numPr>
      </w:pPr>
      <w:r>
        <w:t>social (gambling subculture, peer pressure, parental modelling, covert activity)</w:t>
      </w:r>
    </w:p>
    <w:p w14:paraId="1DF678B7" w14:textId="7B28504C" w:rsidR="0017608F" w:rsidRDefault="0003458C" w:rsidP="00032EA0">
      <w:pPr>
        <w:pStyle w:val="BodyText"/>
        <w:numPr>
          <w:ilvl w:val="0"/>
          <w:numId w:val="40"/>
        </w:numPr>
      </w:pPr>
      <w:r>
        <w:t>behavioural (early big wins, migration to monetary forms, larger wagers)</w:t>
      </w:r>
    </w:p>
    <w:p w14:paraId="6BD059B3" w14:textId="64D3008B" w:rsidR="0017608F" w:rsidRDefault="0003458C" w:rsidP="00D52761">
      <w:pPr>
        <w:pStyle w:val="BodyText"/>
        <w:numPr>
          <w:ilvl w:val="0"/>
          <w:numId w:val="40"/>
        </w:numPr>
      </w:pPr>
      <w:r>
        <w:t xml:space="preserve">cognitive (greater confidence of winning, dilution of currency value, misinterpret </w:t>
      </w:r>
      <w:r w:rsidR="003F39CB">
        <w:t>profitability</w:t>
      </w:r>
      <w:r w:rsidR="00CC22DA">
        <w:t>,</w:t>
      </w:r>
      <w:r w:rsidR="003F39CB">
        <w:t xml:space="preserve"> gambling</w:t>
      </w:r>
      <w:r>
        <w:t xml:space="preserve"> as gaming)</w:t>
      </w:r>
    </w:p>
    <w:p w14:paraId="56074009" w14:textId="5D869368" w:rsidR="00B21A74" w:rsidRDefault="0003458C" w:rsidP="003F39CB">
      <w:pPr>
        <w:pStyle w:val="BodyText"/>
        <w:numPr>
          <w:ilvl w:val="0"/>
          <w:numId w:val="40"/>
        </w:numPr>
      </w:pPr>
      <w:r>
        <w:t xml:space="preserve">emotional (excitement, escape/coping, desensitisation to losses, craving and urges). </w:t>
      </w:r>
    </w:p>
    <w:p w14:paraId="57C9F1F5" w14:textId="70AF8F99" w:rsidR="00262E35" w:rsidRPr="00EC7C57" w:rsidRDefault="0003458C" w:rsidP="00897FF2">
      <w:pPr>
        <w:pStyle w:val="BodyText"/>
      </w:pPr>
      <w:r>
        <w:lastRenderedPageBreak/>
        <w:t>Man</w:t>
      </w:r>
      <w:r w:rsidRPr="0003458C">
        <w:t xml:space="preserve">y of these problem gambling risk factors identified by King and </w:t>
      </w:r>
      <w:proofErr w:type="spellStart"/>
      <w:r w:rsidRPr="0003458C">
        <w:t>Delfabbro</w:t>
      </w:r>
      <w:proofErr w:type="spellEnd"/>
      <w:r w:rsidRPr="0003458C">
        <w:t xml:space="preserve"> (2016) have not been examined by subsequent research.</w:t>
      </w:r>
    </w:p>
    <w:p w14:paraId="568A25E2" w14:textId="2023A2A4" w:rsidR="00091E24" w:rsidRDefault="00091E24" w:rsidP="00814E92">
      <w:pPr>
        <w:pStyle w:val="Heading3"/>
      </w:pPr>
      <w:r>
        <w:t>Mediators</w:t>
      </w:r>
    </w:p>
    <w:p w14:paraId="2A9AB07B" w14:textId="5C1D8B47" w:rsidR="0017608F" w:rsidRPr="0017608F" w:rsidRDefault="0017608F" w:rsidP="00897FF2">
      <w:pPr>
        <w:pStyle w:val="BodyText"/>
      </w:pPr>
      <w:r>
        <w:t>Several articles ‘controlled for’ potential mediators</w:t>
      </w:r>
      <w:r w:rsidR="00D007FB">
        <w:t>, that is,</w:t>
      </w:r>
      <w:r>
        <w:t xml:space="preserve"> factors which may have explained or ‘caused’ the observed changes in harm.</w:t>
      </w:r>
    </w:p>
    <w:p w14:paraId="0A7CF878" w14:textId="211141AF" w:rsidR="0017608F" w:rsidRDefault="006262C5" w:rsidP="00897FF2">
      <w:pPr>
        <w:pStyle w:val="BodyText"/>
      </w:pPr>
      <w:r w:rsidRPr="006262C5">
        <w:t>A longitudinal survey of German adolescents (12</w:t>
      </w:r>
      <w:r w:rsidR="0091177A">
        <w:t>–</w:t>
      </w:r>
      <w:r w:rsidRPr="006262C5">
        <w:t>17</w:t>
      </w:r>
      <w:r w:rsidR="0091177A">
        <w:t xml:space="preserve"> years</w:t>
      </w:r>
      <w:r w:rsidRPr="006262C5">
        <w:t xml:space="preserve">) found simulated gambling within video games directly predicted problem gambling behaviour one year later, </w:t>
      </w:r>
      <w:r w:rsidRPr="006262C5" w:rsidDel="0032338A">
        <w:t xml:space="preserve">independent of simulated gambling in apps, social </w:t>
      </w:r>
      <w:proofErr w:type="gramStart"/>
      <w:r w:rsidRPr="006262C5" w:rsidDel="0032338A">
        <w:t>networks</w:t>
      </w:r>
      <w:proofErr w:type="gramEnd"/>
      <w:r w:rsidRPr="006262C5" w:rsidDel="0032338A">
        <w:t xml:space="preserve"> or demo games </w:t>
      </w:r>
      <w:r w:rsidRPr="006262C5">
        <w:t>(</w:t>
      </w:r>
      <w:proofErr w:type="spellStart"/>
      <w:r w:rsidRPr="006262C5">
        <w:t>Brosowski</w:t>
      </w:r>
      <w:proofErr w:type="spellEnd"/>
      <w:r w:rsidRPr="006262C5">
        <w:t xml:space="preserve"> et al., 2020). The relationship between simulated gambling and problem gambling symptoms was mediated by</w:t>
      </w:r>
      <w:r w:rsidR="00CC18F2">
        <w:t>:</w:t>
      </w:r>
      <w:r w:rsidRPr="006262C5">
        <w:t xml:space="preserve"> </w:t>
      </w:r>
    </w:p>
    <w:p w14:paraId="7B46758F" w14:textId="6718B441" w:rsidR="0017608F" w:rsidRDefault="00935444" w:rsidP="000B2101">
      <w:pPr>
        <w:pStyle w:val="ListBullet"/>
      </w:pPr>
      <w:r>
        <w:t>monetary</w:t>
      </w:r>
      <w:r w:rsidRPr="006262C5">
        <w:t xml:space="preserve"> </w:t>
      </w:r>
      <w:r w:rsidR="006262C5" w:rsidRPr="006262C5">
        <w:t xml:space="preserve">gambling frequency </w:t>
      </w:r>
      <w:r>
        <w:t>(</w:t>
      </w:r>
      <w:r w:rsidR="006262C5" w:rsidRPr="006262C5">
        <w:t>strongly positive)</w:t>
      </w:r>
    </w:p>
    <w:p w14:paraId="725B6719" w14:textId="7045113B" w:rsidR="0017608F" w:rsidRDefault="006262C5" w:rsidP="000B2101">
      <w:pPr>
        <w:pStyle w:val="ListBullet"/>
      </w:pPr>
      <w:r w:rsidRPr="006262C5">
        <w:t>irrational cognitions about gambling/control illusion (mildly positive)</w:t>
      </w:r>
    </w:p>
    <w:p w14:paraId="70D57DD3" w14:textId="08CF1189" w:rsidR="003401D9" w:rsidRDefault="006262C5" w:rsidP="000B2101">
      <w:pPr>
        <w:pStyle w:val="ListBullet"/>
      </w:pPr>
      <w:r w:rsidRPr="006262C5">
        <w:t>compulsive internet use (negative).</w:t>
      </w:r>
    </w:p>
    <w:p w14:paraId="4BC1766D" w14:textId="730335B8" w:rsidR="0017608F" w:rsidRDefault="001F65DA" w:rsidP="006024AB">
      <w:pPr>
        <w:pStyle w:val="BodyText"/>
      </w:pPr>
      <w:r>
        <w:t>Australia</w:t>
      </w:r>
      <w:r w:rsidR="003401D9">
        <w:t>n</w:t>
      </w:r>
      <w:r>
        <w:t xml:space="preserve"> research</w:t>
      </w:r>
      <w:r w:rsidR="00713E35">
        <w:t xml:space="preserve"> with adolescents</w:t>
      </w:r>
      <w:r w:rsidR="0017608F">
        <w:t xml:space="preserve"> by </w:t>
      </w:r>
      <w:r w:rsidR="0017608F" w:rsidRPr="003401D9">
        <w:t xml:space="preserve">Hing </w:t>
      </w:r>
      <w:r w:rsidR="0017608F">
        <w:t>and colleagues (</w:t>
      </w:r>
      <w:r w:rsidR="0017608F" w:rsidRPr="003401D9">
        <w:t>2020)</w:t>
      </w:r>
      <w:r w:rsidR="003401D9">
        <w:t xml:space="preserve"> </w:t>
      </w:r>
      <w:r>
        <w:t xml:space="preserve">found </w:t>
      </w:r>
      <w:r w:rsidR="00033704" w:rsidRPr="00033704">
        <w:t xml:space="preserve">that the association between playing games with gambling components and </w:t>
      </w:r>
      <w:r w:rsidR="00CD7A7D">
        <w:t xml:space="preserve">experiencing </w:t>
      </w:r>
      <w:r w:rsidR="00033704" w:rsidRPr="00033704">
        <w:t xml:space="preserve">gambling problems </w:t>
      </w:r>
      <w:r w:rsidR="00CD7A7D">
        <w:t xml:space="preserve">or </w:t>
      </w:r>
      <w:r w:rsidR="0050264C">
        <w:t xml:space="preserve">internet </w:t>
      </w:r>
      <w:r w:rsidR="00CD7A7D">
        <w:t xml:space="preserve">gaming disorder </w:t>
      </w:r>
      <w:r w:rsidR="00033704" w:rsidRPr="00033704">
        <w:t>was no longer significant after controlling for other variables such as</w:t>
      </w:r>
      <w:r w:rsidR="008605A8">
        <w:t>:</w:t>
      </w:r>
      <w:r w:rsidR="00033704" w:rsidRPr="00033704">
        <w:t xml:space="preserve"> </w:t>
      </w:r>
    </w:p>
    <w:p w14:paraId="7CFA3D86" w14:textId="2DCD335E" w:rsidR="0017608F" w:rsidRDefault="00033704" w:rsidP="000B2101">
      <w:pPr>
        <w:pStyle w:val="ListBullet"/>
      </w:pPr>
      <w:r w:rsidRPr="00033704">
        <w:t>demographics</w:t>
      </w:r>
    </w:p>
    <w:p w14:paraId="240435CB" w14:textId="3F9400A1" w:rsidR="0017608F" w:rsidRDefault="00033704" w:rsidP="000B2101">
      <w:pPr>
        <w:pStyle w:val="ListBullet"/>
      </w:pPr>
      <w:r w:rsidRPr="00033704">
        <w:t>impulsiveness</w:t>
      </w:r>
    </w:p>
    <w:p w14:paraId="77916707" w14:textId="77777777" w:rsidR="0017608F" w:rsidRDefault="00033704" w:rsidP="000B2101">
      <w:pPr>
        <w:pStyle w:val="ListBullet"/>
      </w:pPr>
      <w:r w:rsidRPr="00033704">
        <w:t>engagement in other simulated gambling activities</w:t>
      </w:r>
      <w:r w:rsidR="00EB205A">
        <w:t xml:space="preserve"> and</w:t>
      </w:r>
    </w:p>
    <w:p w14:paraId="12A523F6" w14:textId="3C86DAD7" w:rsidR="008773E7" w:rsidRDefault="00033704" w:rsidP="000B2101">
      <w:pPr>
        <w:pStyle w:val="ListBullet"/>
      </w:pPr>
      <w:r w:rsidRPr="00033704">
        <w:t>monetary gambling</w:t>
      </w:r>
      <w:r w:rsidR="003401D9">
        <w:t>.</w:t>
      </w:r>
      <w:bookmarkStart w:id="48" w:name="_Toc97649960"/>
    </w:p>
    <w:p w14:paraId="5964F4D1" w14:textId="77777777" w:rsidR="00713E35" w:rsidRDefault="00713E35" w:rsidP="00814E92">
      <w:pPr>
        <w:pStyle w:val="Heading3"/>
      </w:pPr>
      <w:r>
        <w:t>Predictors</w:t>
      </w:r>
    </w:p>
    <w:p w14:paraId="1110ED4A" w14:textId="77777777" w:rsidR="00713E35" w:rsidRPr="00402D21" w:rsidRDefault="00713E35" w:rsidP="00713E35">
      <w:pPr>
        <w:pStyle w:val="BodyText"/>
      </w:pPr>
      <w:r>
        <w:t>Several articles identified other predictors of harm alongside simulated gambling engagement.</w:t>
      </w:r>
    </w:p>
    <w:p w14:paraId="516BF0EB" w14:textId="5D30C941" w:rsidR="00713E35" w:rsidRDefault="00713E35" w:rsidP="00713E35">
      <w:pPr>
        <w:pStyle w:val="BodyText"/>
      </w:pPr>
      <w:r>
        <w:t>While most of the reviewed studies only examined bivariate (descriptive) associations between simulated gambling and gambling problems, s</w:t>
      </w:r>
      <w:r w:rsidRPr="006262C5">
        <w:t xml:space="preserve">ome </w:t>
      </w:r>
      <w:r>
        <w:t xml:space="preserve">studies did </w:t>
      </w:r>
      <w:r w:rsidRPr="006262C5">
        <w:t>examin</w:t>
      </w:r>
      <w:r>
        <w:t>e</w:t>
      </w:r>
      <w:r w:rsidRPr="006262C5">
        <w:t xml:space="preserve"> independent predictors. </w:t>
      </w:r>
      <w:r>
        <w:t xml:space="preserve">For example, an </w:t>
      </w:r>
      <w:r w:rsidRPr="006262C5">
        <w:t>Australian survey of adolescents (12</w:t>
      </w:r>
      <w:r>
        <w:t>–</w:t>
      </w:r>
      <w:r w:rsidRPr="006262C5">
        <w:t>17</w:t>
      </w:r>
      <w:r>
        <w:t xml:space="preserve"> years</w:t>
      </w:r>
      <w:r w:rsidRPr="006262C5">
        <w:t xml:space="preserve">) found </w:t>
      </w:r>
      <w:r>
        <w:t xml:space="preserve">three </w:t>
      </w:r>
      <w:r w:rsidRPr="006262C5">
        <w:t xml:space="preserve">independent predictors of at-risk/problem gambling when controlling for age, </w:t>
      </w:r>
      <w:proofErr w:type="gramStart"/>
      <w:r w:rsidRPr="006262C5">
        <w:t>gender</w:t>
      </w:r>
      <w:proofErr w:type="gramEnd"/>
      <w:r w:rsidRPr="006262C5">
        <w:t xml:space="preserve"> </w:t>
      </w:r>
      <w:r>
        <w:t xml:space="preserve">and </w:t>
      </w:r>
      <w:r w:rsidRPr="006262C5">
        <w:t>ethnicity (King et al., 2014)</w:t>
      </w:r>
      <w:r>
        <w:t>:</w:t>
      </w:r>
    </w:p>
    <w:p w14:paraId="35065AB0" w14:textId="77777777" w:rsidR="00713E35" w:rsidRDefault="00713E35" w:rsidP="000B2101">
      <w:pPr>
        <w:pStyle w:val="ListBullet"/>
      </w:pPr>
      <w:r w:rsidRPr="006262C5">
        <w:t xml:space="preserve">past involvement in simulated gambling </w:t>
      </w:r>
    </w:p>
    <w:p w14:paraId="4FD1DA51" w14:textId="77777777" w:rsidR="00713E35" w:rsidRDefault="00713E35" w:rsidP="000B2101">
      <w:pPr>
        <w:pStyle w:val="ListBullet"/>
      </w:pPr>
      <w:r w:rsidRPr="006262C5">
        <w:t xml:space="preserve">current simulated gambling </w:t>
      </w:r>
    </w:p>
    <w:p w14:paraId="40B14119" w14:textId="77777777" w:rsidR="00713E35" w:rsidRDefault="00713E35" w:rsidP="000B2101">
      <w:pPr>
        <w:pStyle w:val="ListBullet"/>
      </w:pPr>
      <w:r w:rsidRPr="006262C5">
        <w:t>current monetary gambling</w:t>
      </w:r>
      <w:r>
        <w:t>.</w:t>
      </w:r>
    </w:p>
    <w:p w14:paraId="6B1B3698" w14:textId="77777777" w:rsidR="00713E35" w:rsidRDefault="00713E35" w:rsidP="00713E35">
      <w:pPr>
        <w:pStyle w:val="BodyText"/>
      </w:pPr>
      <w:r>
        <w:t xml:space="preserve">Other research with </w:t>
      </w:r>
      <w:r w:rsidRPr="00733EF4">
        <w:t>young adults (18</w:t>
      </w:r>
      <w:r>
        <w:t>–</w:t>
      </w:r>
      <w:r w:rsidRPr="00733EF4">
        <w:t>29 years)</w:t>
      </w:r>
      <w:r>
        <w:t xml:space="preserve"> in Australia</w:t>
      </w:r>
      <w:r w:rsidRPr="00733EF4">
        <w:t xml:space="preserve"> found </w:t>
      </w:r>
      <w:r>
        <w:t>several predictors</w:t>
      </w:r>
      <w:r w:rsidRPr="00733EF4">
        <w:t xml:space="preserve"> associated with greater problem gambling and lifetime gambling problems</w:t>
      </w:r>
      <w:r>
        <w:t xml:space="preserve">. These relationships persisted even </w:t>
      </w:r>
      <w:r w:rsidRPr="00733EF4">
        <w:t xml:space="preserve">after controlling for age, </w:t>
      </w:r>
      <w:proofErr w:type="gramStart"/>
      <w:r w:rsidRPr="00733EF4">
        <w:t>impulsivity</w:t>
      </w:r>
      <w:proofErr w:type="gramEnd"/>
      <w:r w:rsidRPr="00733EF4">
        <w:t xml:space="preserve"> and traditional gambling participation (Russel</w:t>
      </w:r>
      <w:r>
        <w:t>l</w:t>
      </w:r>
      <w:r w:rsidRPr="00733EF4">
        <w:t xml:space="preserve"> et al., 2020).</w:t>
      </w:r>
      <w:r>
        <w:t xml:space="preserve"> These included:</w:t>
      </w:r>
    </w:p>
    <w:p w14:paraId="0E0A4F3F" w14:textId="77777777" w:rsidR="00713E35" w:rsidRDefault="00713E35" w:rsidP="000B2101">
      <w:pPr>
        <w:pStyle w:val="ListBullet"/>
      </w:pPr>
      <w:r w:rsidRPr="00733EF4">
        <w:t>lifetime use</w:t>
      </w:r>
      <w:r>
        <w:t xml:space="preserve"> of social casino games</w:t>
      </w:r>
    </w:p>
    <w:p w14:paraId="3C8ED843" w14:textId="77777777" w:rsidR="00713E35" w:rsidRDefault="00713E35" w:rsidP="000B2101">
      <w:pPr>
        <w:pStyle w:val="ListBullet"/>
      </w:pPr>
      <w:r w:rsidRPr="00733EF4">
        <w:t>frequency of</w:t>
      </w:r>
      <w:r>
        <w:t xml:space="preserve"> </w:t>
      </w:r>
      <w:r w:rsidRPr="00733EF4">
        <w:t>social casino game</w:t>
      </w:r>
      <w:r>
        <w:t xml:space="preserve"> play</w:t>
      </w:r>
      <w:r w:rsidRPr="00733EF4">
        <w:t xml:space="preserve"> (free and paid) </w:t>
      </w:r>
    </w:p>
    <w:p w14:paraId="4F0B5AE8" w14:textId="77777777" w:rsidR="00713E35" w:rsidRDefault="00713E35" w:rsidP="000B2101">
      <w:pPr>
        <w:pStyle w:val="ListBullet"/>
      </w:pPr>
      <w:r w:rsidRPr="00733EF4">
        <w:t>frequency of</w:t>
      </w:r>
      <w:r>
        <w:t xml:space="preserve"> playing </w:t>
      </w:r>
      <w:r w:rsidRPr="00733EF4">
        <w:t>video game with gambling components</w:t>
      </w:r>
      <w:r>
        <w:t>.</w:t>
      </w:r>
      <w:r w:rsidRPr="00733EF4">
        <w:t xml:space="preserve"> </w:t>
      </w:r>
    </w:p>
    <w:p w14:paraId="01AB4496" w14:textId="77777777" w:rsidR="00713E35" w:rsidRDefault="00713E35" w:rsidP="00713E35">
      <w:pPr>
        <w:pStyle w:val="BodyText"/>
      </w:pPr>
      <w:proofErr w:type="spellStart"/>
      <w:r>
        <w:t>Zendle</w:t>
      </w:r>
      <w:proofErr w:type="spellEnd"/>
      <w:r>
        <w:t xml:space="preserve"> (2020) found several co-predictors of both problem gambling and internet gaming disorder, alongside social casino play, including:</w:t>
      </w:r>
    </w:p>
    <w:p w14:paraId="2272DADA" w14:textId="77777777" w:rsidR="00713E35" w:rsidRDefault="00713E35" w:rsidP="000B2101">
      <w:pPr>
        <w:pStyle w:val="ListBullet"/>
      </w:pPr>
      <w:r>
        <w:t>esports betting</w:t>
      </w:r>
    </w:p>
    <w:p w14:paraId="2B42A50E" w14:textId="77777777" w:rsidR="00713E35" w:rsidRDefault="00713E35" w:rsidP="000B2101">
      <w:pPr>
        <w:pStyle w:val="ListBullet"/>
      </w:pPr>
      <w:r>
        <w:t>token wagering</w:t>
      </w:r>
    </w:p>
    <w:p w14:paraId="36C2DBFC" w14:textId="77777777" w:rsidR="00713E35" w:rsidRDefault="00713E35" w:rsidP="000B2101">
      <w:pPr>
        <w:pStyle w:val="ListBullet"/>
      </w:pPr>
      <w:r>
        <w:t xml:space="preserve">monetary video gaming gambling </w:t>
      </w:r>
    </w:p>
    <w:p w14:paraId="6C7E1A7A" w14:textId="77777777" w:rsidR="00713E35" w:rsidRDefault="6F2835A9" w:rsidP="000B2101">
      <w:pPr>
        <w:pStyle w:val="ListBullet"/>
      </w:pPr>
      <w:r>
        <w:lastRenderedPageBreak/>
        <w:t>loot box engagement (e.g. watching, spending).</w:t>
      </w:r>
    </w:p>
    <w:p w14:paraId="3CCAA28C" w14:textId="77777777" w:rsidR="00713E35" w:rsidRDefault="00713E35" w:rsidP="00713E35">
      <w:pPr>
        <w:pStyle w:val="BodyText"/>
      </w:pPr>
      <w:r>
        <w:t>Social casino game play was a significant predictor of both harms even when accounting for the effects of age and gender.</w:t>
      </w:r>
    </w:p>
    <w:p w14:paraId="64615DF2" w14:textId="77777777" w:rsidR="008773E7" w:rsidRDefault="008773E7">
      <w:pPr>
        <w:suppressAutoHyphens w:val="0"/>
        <w:spacing w:before="0" w:line="240" w:lineRule="auto"/>
        <w:jc w:val="left"/>
        <w:rPr>
          <w:rFonts w:eastAsia="Times New Roman"/>
          <w:lang w:bidi="en-US"/>
        </w:rPr>
      </w:pPr>
      <w:r>
        <w:br w:type="page"/>
      </w:r>
    </w:p>
    <w:p w14:paraId="065DF4FE" w14:textId="7B8EFD0D" w:rsidR="00CD7A7D" w:rsidRDefault="00BB534A" w:rsidP="00832FDE">
      <w:pPr>
        <w:pStyle w:val="Heading1"/>
      </w:pPr>
      <w:bookmarkStart w:id="49" w:name="_Toc106359518"/>
      <w:r>
        <w:lastRenderedPageBreak/>
        <w:t>Other i</w:t>
      </w:r>
      <w:r w:rsidR="00846FF7">
        <w:t>n-game purchases</w:t>
      </w:r>
      <w:bookmarkEnd w:id="48"/>
      <w:r w:rsidR="00846FF7">
        <w:t>: what does the evidence tell us?</w:t>
      </w:r>
      <w:bookmarkEnd w:id="49"/>
    </w:p>
    <w:p w14:paraId="7E9AC4A3" w14:textId="77777777" w:rsidR="006E41C6" w:rsidRPr="001561D4" w:rsidRDefault="006E41C6" w:rsidP="006E41C6">
      <w:pPr>
        <w:pStyle w:val="BoxHeading1"/>
        <w:spacing w:before="120"/>
      </w:pPr>
      <w:r w:rsidRPr="001561D4">
        <w:t>Definition: in-game purchases</w:t>
      </w:r>
    </w:p>
    <w:p w14:paraId="12769CDA" w14:textId="77777777" w:rsidR="006E41C6" w:rsidRPr="001561D4" w:rsidRDefault="006E41C6" w:rsidP="006E41C6">
      <w:pPr>
        <w:pStyle w:val="BoxText"/>
      </w:pPr>
      <w:r w:rsidRPr="001561D4">
        <w:t>Financial purchases in games for digital goods or services, also referred to in the literature as ‘microtransactions’. In-game purchases may be purely aesthetic (e.g. cosmetic items or ‘skins’), confer gameplay advantages (e.g. pay-to-win), contain these items as randomised contents of uncertain value (e.g. loot boxes), or include any other in-game expenditure (</w:t>
      </w:r>
      <w:proofErr w:type="spellStart"/>
      <w:r w:rsidRPr="001561D4">
        <w:t>Zendle</w:t>
      </w:r>
      <w:proofErr w:type="spellEnd"/>
      <w:r w:rsidRPr="001561D4">
        <w:t>, Meyer, &amp; Ballou, 2020).</w:t>
      </w:r>
    </w:p>
    <w:p w14:paraId="6B6BFF94" w14:textId="77777777" w:rsidR="006E41C6" w:rsidRPr="001561D4" w:rsidRDefault="006E41C6" w:rsidP="006E41C6">
      <w:pPr>
        <w:pStyle w:val="BoxText"/>
      </w:pPr>
      <w:r w:rsidRPr="001561D4">
        <w:t xml:space="preserve">This section focuses on research related to harm associated with ‘other’ in-game purchases, separate to the evidence presented previously for purchasing loot boxes and making in-game purchases for simulated gambling. </w:t>
      </w:r>
    </w:p>
    <w:p w14:paraId="2938CD4C" w14:textId="77777777" w:rsidR="006E41C6" w:rsidRPr="001561D4" w:rsidRDefault="006E41C6" w:rsidP="006E41C6">
      <w:pPr>
        <w:pStyle w:val="BoxHeading2"/>
      </w:pPr>
      <w:r w:rsidRPr="001561D4">
        <w:t>Key findings</w:t>
      </w:r>
    </w:p>
    <w:p w14:paraId="0328B242" w14:textId="77777777" w:rsidR="006E41C6" w:rsidRPr="000B2101" w:rsidRDefault="006E41C6" w:rsidP="006E41C6">
      <w:pPr>
        <w:pStyle w:val="BoxBulletList"/>
      </w:pPr>
      <w:r w:rsidRPr="000B2101">
        <w:t xml:space="preserve">There was medium evidence of </w:t>
      </w:r>
      <w:r w:rsidRPr="000B2101" w:rsidDel="00142B05">
        <w:t>an association</w:t>
      </w:r>
      <w:r w:rsidRPr="000B2101">
        <w:t xml:space="preserve"> between other in-game purchases and problem gambling, and the strength of the relationship was low-medium.</w:t>
      </w:r>
    </w:p>
    <w:p w14:paraId="4B4B32B1" w14:textId="77777777" w:rsidR="006E41C6" w:rsidRPr="000B2101" w:rsidRDefault="006E41C6" w:rsidP="006E41C6">
      <w:pPr>
        <w:pStyle w:val="BoxBulletList"/>
      </w:pPr>
      <w:r w:rsidRPr="000B2101">
        <w:t xml:space="preserve">The evidence of </w:t>
      </w:r>
      <w:r w:rsidRPr="000B2101" w:rsidDel="00142B05">
        <w:t>an association</w:t>
      </w:r>
      <w:r w:rsidRPr="000B2101">
        <w:t xml:space="preserve"> between other in-game purchasing and problem gambling was weaker than for loot box purchasing and problem gambling.</w:t>
      </w:r>
    </w:p>
    <w:p w14:paraId="1EE48A4B" w14:textId="77777777" w:rsidR="006E41C6" w:rsidRPr="000B2101" w:rsidRDefault="006E41C6" w:rsidP="006E41C6">
      <w:pPr>
        <w:pStyle w:val="BoxBulletList"/>
      </w:pPr>
      <w:r w:rsidRPr="000B2101">
        <w:t xml:space="preserve">Research on ‘pay-to-win’ gaming found </w:t>
      </w:r>
      <w:r w:rsidRPr="000B2101" w:rsidDel="00142B05">
        <w:t>an association</w:t>
      </w:r>
      <w:r w:rsidRPr="000B2101">
        <w:t xml:space="preserve"> between making other in-game purchases for gameplay advantages and gambling problems.</w:t>
      </w:r>
    </w:p>
    <w:p w14:paraId="409A2F7F" w14:textId="77777777" w:rsidR="006E41C6" w:rsidRPr="000B2101" w:rsidRDefault="006E41C6" w:rsidP="006E41C6">
      <w:pPr>
        <w:pStyle w:val="BoxBulletList"/>
      </w:pPr>
      <w:r w:rsidRPr="000B2101">
        <w:t xml:space="preserve">There </w:t>
      </w:r>
      <w:proofErr w:type="gramStart"/>
      <w:r w:rsidRPr="000B2101">
        <w:t>was</w:t>
      </w:r>
      <w:proofErr w:type="gramEnd"/>
      <w:r w:rsidRPr="000B2101">
        <w:t xml:space="preserve"> low-medium evidence that other in-game purchases were associated with higher levels of internet gaming disorder.</w:t>
      </w:r>
    </w:p>
    <w:p w14:paraId="761CE337" w14:textId="77777777" w:rsidR="006E41C6" w:rsidRPr="000B2101" w:rsidRDefault="006E41C6" w:rsidP="006E41C6">
      <w:pPr>
        <w:pStyle w:val="BoxBulletList"/>
      </w:pPr>
      <w:r w:rsidRPr="000B2101">
        <w:t>There was some evidence that in-game purchases, particularly when unplanned, may be associated with conduct problems, hyperactivity/</w:t>
      </w:r>
      <w:proofErr w:type="gramStart"/>
      <w:r w:rsidRPr="000B2101">
        <w:t>inattention</w:t>
      </w:r>
      <w:proofErr w:type="gramEnd"/>
      <w:r w:rsidRPr="000B2101">
        <w:t xml:space="preserve"> and peer problems. </w:t>
      </w:r>
    </w:p>
    <w:p w14:paraId="04C54C51" w14:textId="178D2F85" w:rsidR="007B4649" w:rsidRPr="007B4649" w:rsidRDefault="006E41C6" w:rsidP="007B4649">
      <w:pPr>
        <w:pStyle w:val="BoxBulletList"/>
      </w:pPr>
      <w:r w:rsidRPr="000B2101">
        <w:t>There were gaps in evidence regarding which groups were at greater risk for harm from making in-game purchases (i.e., demographic differences) and how in-game purchases (distinct to those made for loot boxes and simulated gambling) predict, mediate, or moderate harm.</w:t>
      </w:r>
    </w:p>
    <w:p w14:paraId="61D4B52C" w14:textId="77777777" w:rsidR="00A65BB1" w:rsidRPr="006E41C6" w:rsidRDefault="00A65BB1" w:rsidP="006E41C6">
      <w:pPr>
        <w:pStyle w:val="BodyText"/>
      </w:pPr>
      <w:r w:rsidRPr="006E41C6">
        <w:br w:type="page"/>
      </w:r>
    </w:p>
    <w:p w14:paraId="357330DA" w14:textId="376CBE7E" w:rsidR="001F4A34" w:rsidRPr="00832FDE" w:rsidRDefault="001F4A34" w:rsidP="00832FDE">
      <w:pPr>
        <w:pStyle w:val="Heading2"/>
      </w:pPr>
      <w:bookmarkStart w:id="50" w:name="_Toc106359519"/>
      <w:r w:rsidRPr="00832FDE">
        <w:lastRenderedPageBreak/>
        <w:t>What types of harm</w:t>
      </w:r>
      <w:r w:rsidR="0040556D" w:rsidRPr="00832FDE">
        <w:t>,</w:t>
      </w:r>
      <w:r w:rsidRPr="00832FDE">
        <w:t xml:space="preserve"> if any</w:t>
      </w:r>
      <w:r w:rsidR="0040556D" w:rsidRPr="00832FDE">
        <w:t>,</w:t>
      </w:r>
      <w:r w:rsidRPr="00832FDE">
        <w:t xml:space="preserve"> are associated with </w:t>
      </w:r>
      <w:r w:rsidR="00581F3B" w:rsidRPr="00832FDE">
        <w:t xml:space="preserve">other </w:t>
      </w:r>
      <w:r w:rsidR="00D2128A" w:rsidRPr="00832FDE">
        <w:t>in-game purchases</w:t>
      </w:r>
      <w:r w:rsidRPr="00832FDE">
        <w:t>?</w:t>
      </w:r>
      <w:bookmarkEnd w:id="50"/>
    </w:p>
    <w:p w14:paraId="1F25FE07" w14:textId="1D4CF678" w:rsidR="009F6679" w:rsidRPr="009F6679" w:rsidRDefault="009F6679" w:rsidP="00FF2FE2">
      <w:pPr>
        <w:pStyle w:val="TableCaption"/>
        <w:numPr>
          <w:ilvl w:val="0"/>
          <w:numId w:val="0"/>
        </w:numPr>
        <w:ind w:left="992" w:hanging="992"/>
      </w:pPr>
      <w:bookmarkStart w:id="51" w:name="_Hlk97794198"/>
      <w:r>
        <w:t xml:space="preserve">Table </w:t>
      </w:r>
      <w:r w:rsidR="001B045E">
        <w:t>5</w:t>
      </w:r>
      <w:r w:rsidR="004014FB">
        <w:t xml:space="preserve">: Assessment of </w:t>
      </w:r>
      <w:r w:rsidR="00142B05">
        <w:t>relationship</w:t>
      </w:r>
      <w:r w:rsidR="004014FB">
        <w:t xml:space="preserve"> between </w:t>
      </w:r>
      <w:r w:rsidR="00A66FF9">
        <w:t>other in-game</w:t>
      </w:r>
      <w:r w:rsidR="004014FB">
        <w:t xml:space="preserve"> purchases and harm</w:t>
      </w:r>
      <w:bookmarkEnd w:id="51"/>
    </w:p>
    <w:tbl>
      <w:tblPr>
        <w:tblW w:w="8547" w:type="dxa"/>
        <w:tblLook w:val="04A0" w:firstRow="1" w:lastRow="0" w:firstColumn="1" w:lastColumn="0" w:noHBand="0" w:noVBand="1"/>
      </w:tblPr>
      <w:tblGrid>
        <w:gridCol w:w="2849"/>
        <w:gridCol w:w="2849"/>
        <w:gridCol w:w="2849"/>
      </w:tblGrid>
      <w:tr w:rsidR="002D3B47" w:rsidRPr="009A3331" w14:paraId="6CECEE53" w14:textId="77777777" w:rsidTr="00971A63">
        <w:trPr>
          <w:trHeight w:val="674"/>
        </w:trPr>
        <w:tc>
          <w:tcPr>
            <w:tcW w:w="2849" w:type="dxa"/>
            <w:tcBorders>
              <w:top w:val="nil"/>
              <w:left w:val="nil"/>
              <w:bottom w:val="nil"/>
              <w:right w:val="nil"/>
            </w:tcBorders>
            <w:shd w:val="clear" w:color="000000" w:fill="62136D"/>
            <w:noWrap/>
            <w:vAlign w:val="center"/>
            <w:hideMark/>
          </w:tcPr>
          <w:p w14:paraId="0F8F1C6D" w14:textId="77777777" w:rsidR="002D3B47" w:rsidRPr="009A3331" w:rsidRDefault="002D3B47" w:rsidP="000405C2">
            <w:pPr>
              <w:suppressAutoHyphens w:val="0"/>
              <w:spacing w:before="0" w:line="240" w:lineRule="auto"/>
              <w:jc w:val="left"/>
              <w:rPr>
                <w:rFonts w:eastAsia="Times New Roman" w:cs="Arial"/>
                <w:b/>
                <w:bCs/>
                <w:color w:val="FFFFFF"/>
                <w:sz w:val="18"/>
                <w:szCs w:val="18"/>
                <w:lang w:eastAsia="en-AU"/>
              </w:rPr>
            </w:pPr>
          </w:p>
        </w:tc>
        <w:tc>
          <w:tcPr>
            <w:tcW w:w="2849" w:type="dxa"/>
            <w:tcBorders>
              <w:top w:val="single" w:sz="8" w:space="0" w:color="FFFFFF"/>
              <w:left w:val="single" w:sz="8" w:space="0" w:color="FFFFFF"/>
              <w:bottom w:val="single" w:sz="8" w:space="0" w:color="FFFFFF"/>
              <w:right w:val="nil"/>
            </w:tcBorders>
            <w:shd w:val="clear" w:color="000000" w:fill="62136D"/>
            <w:vAlign w:val="center"/>
            <w:hideMark/>
          </w:tcPr>
          <w:p w14:paraId="004238D3" w14:textId="20C2BBB3" w:rsidR="002D3B47" w:rsidRPr="009A3331" w:rsidRDefault="002D3B47" w:rsidP="000405C2">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and </w:t>
            </w:r>
            <w:r w:rsidR="009000BB">
              <w:rPr>
                <w:rFonts w:eastAsia="Times New Roman" w:cs="Arial"/>
                <w:b/>
                <w:bCs/>
                <w:color w:val="FFFFFF"/>
                <w:sz w:val="18"/>
                <w:szCs w:val="18"/>
                <w:lang w:eastAsia="en-AU"/>
              </w:rPr>
              <w:t>value</w:t>
            </w:r>
            <w:r w:rsidR="009000BB" w:rsidRPr="009A3331">
              <w:rPr>
                <w:rFonts w:eastAsia="Times New Roman" w:cs="Arial"/>
                <w:b/>
                <w:bCs/>
                <w:color w:val="FFFFFF"/>
                <w:sz w:val="18"/>
                <w:szCs w:val="18"/>
                <w:lang w:eastAsia="en-AU"/>
              </w:rPr>
              <w:t xml:space="preserve"> </w:t>
            </w:r>
            <w:r w:rsidRPr="009A3331">
              <w:rPr>
                <w:rFonts w:eastAsia="Times New Roman" w:cs="Arial"/>
                <w:b/>
                <w:bCs/>
                <w:color w:val="FFFFFF"/>
                <w:sz w:val="18"/>
                <w:szCs w:val="18"/>
                <w:lang w:eastAsia="en-AU"/>
              </w:rPr>
              <w:t>of evidence</w:t>
            </w:r>
          </w:p>
        </w:tc>
        <w:tc>
          <w:tcPr>
            <w:tcW w:w="2849" w:type="dxa"/>
            <w:tcBorders>
              <w:top w:val="single" w:sz="8" w:space="0" w:color="FFFFFF"/>
              <w:left w:val="single" w:sz="4" w:space="0" w:color="FFFFFF"/>
              <w:bottom w:val="single" w:sz="8" w:space="0" w:color="FFFFFF"/>
              <w:right w:val="single" w:sz="8" w:space="0" w:color="FFFFFF"/>
            </w:tcBorders>
            <w:shd w:val="clear" w:color="000000" w:fill="62136D"/>
            <w:vAlign w:val="center"/>
            <w:hideMark/>
          </w:tcPr>
          <w:p w14:paraId="078AA51D" w14:textId="1A8574A9" w:rsidR="002D3B47" w:rsidRPr="009A3331" w:rsidRDefault="002D3B47" w:rsidP="000405C2">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of </w:t>
            </w:r>
            <w:r w:rsidR="00142B05">
              <w:rPr>
                <w:rFonts w:eastAsia="Times New Roman" w:cs="Arial"/>
                <w:b/>
                <w:bCs/>
                <w:color w:val="FFFFFF"/>
                <w:sz w:val="18"/>
                <w:szCs w:val="18"/>
                <w:lang w:eastAsia="en-AU"/>
              </w:rPr>
              <w:t>relationship</w:t>
            </w:r>
          </w:p>
        </w:tc>
      </w:tr>
      <w:tr w:rsidR="00481F12" w:rsidRPr="009A3331" w14:paraId="1A5B37CE" w14:textId="77777777" w:rsidTr="00971A63">
        <w:trPr>
          <w:trHeight w:val="661"/>
        </w:trPr>
        <w:tc>
          <w:tcPr>
            <w:tcW w:w="2849" w:type="dxa"/>
            <w:tcBorders>
              <w:top w:val="nil"/>
              <w:left w:val="single" w:sz="8" w:space="0" w:color="FFFFFF"/>
              <w:bottom w:val="single" w:sz="8" w:space="0" w:color="FFFFFF"/>
              <w:right w:val="single" w:sz="4" w:space="0" w:color="FFFFFF"/>
            </w:tcBorders>
            <w:shd w:val="clear" w:color="000000" w:fill="F2F2F2"/>
            <w:vAlign w:val="center"/>
            <w:hideMark/>
          </w:tcPr>
          <w:p w14:paraId="587FD57C" w14:textId="77777777" w:rsidR="00481F12" w:rsidRPr="009A3331" w:rsidRDefault="00481F12" w:rsidP="00481F12">
            <w:pPr>
              <w:suppressAutoHyphens w:val="0"/>
              <w:spacing w:before="0" w:line="240" w:lineRule="auto"/>
              <w:jc w:val="left"/>
              <w:rPr>
                <w:rFonts w:eastAsia="Times New Roman" w:cs="Arial"/>
                <w:b/>
                <w:bCs/>
                <w:i/>
                <w:iCs/>
                <w:color w:val="000000"/>
                <w:sz w:val="16"/>
                <w:szCs w:val="16"/>
                <w:lang w:eastAsia="en-AU"/>
              </w:rPr>
            </w:pPr>
            <w:r w:rsidRPr="009A3331">
              <w:rPr>
                <w:rFonts w:eastAsia="Times New Roman" w:cs="Arial"/>
                <w:b/>
                <w:bCs/>
                <w:i/>
                <w:iCs/>
                <w:color w:val="000000"/>
                <w:sz w:val="16"/>
                <w:szCs w:val="16"/>
                <w:lang w:eastAsia="en-AU"/>
              </w:rPr>
              <w:t>Description</w:t>
            </w:r>
          </w:p>
        </w:tc>
        <w:tc>
          <w:tcPr>
            <w:tcW w:w="2849" w:type="dxa"/>
            <w:tcBorders>
              <w:top w:val="nil"/>
              <w:left w:val="single" w:sz="8" w:space="0" w:color="FFFFFF"/>
              <w:bottom w:val="single" w:sz="8" w:space="0" w:color="FFFFFF"/>
              <w:right w:val="single" w:sz="4" w:space="0" w:color="FFFFFF"/>
            </w:tcBorders>
            <w:shd w:val="clear" w:color="000000" w:fill="F2F2F2"/>
            <w:vAlign w:val="center"/>
            <w:hideMark/>
          </w:tcPr>
          <w:p w14:paraId="3B2DE3F8" w14:textId="0323351E" w:rsidR="00481F12" w:rsidRPr="009A3331" w:rsidRDefault="004B3D8E" w:rsidP="00481F12">
            <w:pPr>
              <w:suppressAutoHyphens w:val="0"/>
              <w:spacing w:before="0" w:line="240" w:lineRule="auto"/>
              <w:jc w:val="center"/>
              <w:rPr>
                <w:rFonts w:eastAsia="Times New Roman" w:cs="Arial"/>
                <w:i/>
                <w:iCs/>
                <w:color w:val="000000"/>
                <w:sz w:val="16"/>
                <w:szCs w:val="16"/>
                <w:lang w:eastAsia="en-AU"/>
              </w:rPr>
            </w:pPr>
            <w:r>
              <w:rPr>
                <w:rFonts w:eastAsia="Times New Roman" w:cs="Arial"/>
                <w:i/>
                <w:iCs/>
                <w:color w:val="000000"/>
                <w:sz w:val="16"/>
                <w:szCs w:val="16"/>
                <w:lang w:eastAsia="en-AU"/>
              </w:rPr>
              <w:t xml:space="preserve">Strength and </w:t>
            </w:r>
            <w:r w:rsidR="009000BB">
              <w:rPr>
                <w:rFonts w:eastAsia="Times New Roman" w:cs="Arial"/>
                <w:i/>
                <w:iCs/>
                <w:color w:val="000000"/>
                <w:sz w:val="16"/>
                <w:szCs w:val="16"/>
                <w:lang w:eastAsia="en-AU"/>
              </w:rPr>
              <w:t>value</w:t>
            </w:r>
            <w:r>
              <w:rPr>
                <w:rFonts w:eastAsia="Times New Roman" w:cs="Arial"/>
                <w:i/>
                <w:iCs/>
                <w:color w:val="000000"/>
                <w:sz w:val="16"/>
                <w:szCs w:val="16"/>
                <w:lang w:eastAsia="en-AU"/>
              </w:rPr>
              <w:t xml:space="preserve"> of evidence of an association</w:t>
            </w:r>
            <w:r w:rsidR="00481F12" w:rsidRPr="009A3331">
              <w:rPr>
                <w:rFonts w:eastAsia="Times New Roman" w:cs="Arial"/>
                <w:i/>
                <w:iCs/>
                <w:color w:val="000000"/>
                <w:sz w:val="16"/>
                <w:szCs w:val="16"/>
                <w:lang w:eastAsia="en-AU"/>
              </w:rPr>
              <w:t xml:space="preserve"> between </w:t>
            </w:r>
            <w:r w:rsidR="00A66FF9">
              <w:rPr>
                <w:rFonts w:eastAsia="Times New Roman" w:cs="Arial"/>
                <w:i/>
                <w:iCs/>
                <w:color w:val="000000"/>
                <w:sz w:val="16"/>
                <w:szCs w:val="16"/>
                <w:lang w:eastAsia="en-AU"/>
              </w:rPr>
              <w:t>other in-game</w:t>
            </w:r>
            <w:r w:rsidR="00C52570">
              <w:rPr>
                <w:rFonts w:eastAsia="Times New Roman" w:cs="Arial"/>
                <w:i/>
                <w:iCs/>
                <w:color w:val="000000"/>
                <w:sz w:val="16"/>
                <w:szCs w:val="16"/>
                <w:lang w:eastAsia="en-AU"/>
              </w:rPr>
              <w:t xml:space="preserve"> purchases</w:t>
            </w:r>
            <w:r w:rsidR="00481F12" w:rsidRPr="009A3331">
              <w:rPr>
                <w:rFonts w:eastAsia="Times New Roman" w:cs="Arial"/>
                <w:i/>
                <w:iCs/>
                <w:color w:val="000000"/>
                <w:sz w:val="16"/>
                <w:szCs w:val="16"/>
                <w:lang w:eastAsia="en-AU"/>
              </w:rPr>
              <w:t xml:space="preserve"> and </w:t>
            </w:r>
            <w:r w:rsidR="00481F12" w:rsidRPr="00537D51">
              <w:rPr>
                <w:rFonts w:eastAsia="Times New Roman" w:cs="Arial"/>
                <w:i/>
                <w:iCs/>
                <w:color w:val="000000"/>
                <w:sz w:val="16"/>
                <w:szCs w:val="16"/>
                <w:lang w:eastAsia="en-AU"/>
              </w:rPr>
              <w:t>harm</w:t>
            </w:r>
          </w:p>
        </w:tc>
        <w:tc>
          <w:tcPr>
            <w:tcW w:w="2849" w:type="dxa"/>
            <w:tcBorders>
              <w:top w:val="nil"/>
              <w:left w:val="nil"/>
              <w:bottom w:val="single" w:sz="8" w:space="0" w:color="FFFFFF"/>
              <w:right w:val="single" w:sz="8" w:space="0" w:color="FFFFFF"/>
            </w:tcBorders>
            <w:shd w:val="clear" w:color="000000" w:fill="F2F2F2"/>
            <w:vAlign w:val="center"/>
            <w:hideMark/>
          </w:tcPr>
          <w:p w14:paraId="6A8F667A" w14:textId="78B974DF" w:rsidR="00481F12" w:rsidRPr="009A3331" w:rsidRDefault="004B3D8E" w:rsidP="00481F12">
            <w:pPr>
              <w:suppressAutoHyphens w:val="0"/>
              <w:spacing w:before="0" w:line="240" w:lineRule="auto"/>
              <w:jc w:val="center"/>
              <w:rPr>
                <w:rFonts w:eastAsia="Times New Roman" w:cs="Arial"/>
                <w:i/>
                <w:iCs/>
                <w:color w:val="000000"/>
                <w:sz w:val="16"/>
                <w:szCs w:val="16"/>
                <w:lang w:eastAsia="en-AU"/>
              </w:rPr>
            </w:pPr>
            <w:r>
              <w:rPr>
                <w:rFonts w:eastAsia="Times New Roman" w:cs="Arial"/>
                <w:i/>
                <w:iCs/>
                <w:color w:val="000000"/>
                <w:sz w:val="16"/>
                <w:szCs w:val="16"/>
                <w:lang w:eastAsia="en-AU"/>
              </w:rPr>
              <w:t xml:space="preserve">Strength of the </w:t>
            </w:r>
            <w:r w:rsidR="00142B05">
              <w:rPr>
                <w:rFonts w:eastAsia="Times New Roman" w:cs="Arial"/>
                <w:i/>
                <w:iCs/>
                <w:color w:val="000000"/>
                <w:sz w:val="16"/>
                <w:szCs w:val="16"/>
                <w:lang w:eastAsia="en-AU"/>
              </w:rPr>
              <w:t>relationship</w:t>
            </w:r>
            <w:r>
              <w:rPr>
                <w:rFonts w:eastAsia="Times New Roman" w:cs="Arial"/>
                <w:i/>
                <w:iCs/>
                <w:color w:val="000000"/>
                <w:sz w:val="16"/>
                <w:szCs w:val="16"/>
                <w:lang w:eastAsia="en-AU"/>
              </w:rPr>
              <w:t xml:space="preserve"> </w:t>
            </w:r>
            <w:r w:rsidR="00481F12" w:rsidRPr="009A3331">
              <w:rPr>
                <w:rFonts w:eastAsia="Times New Roman" w:cs="Arial"/>
                <w:i/>
                <w:iCs/>
                <w:color w:val="000000"/>
                <w:sz w:val="16"/>
                <w:szCs w:val="16"/>
                <w:lang w:eastAsia="en-AU"/>
              </w:rPr>
              <w:t xml:space="preserve">between </w:t>
            </w:r>
            <w:r w:rsidR="00A66FF9">
              <w:rPr>
                <w:rFonts w:eastAsia="Times New Roman" w:cs="Arial"/>
                <w:i/>
                <w:iCs/>
                <w:color w:val="000000"/>
                <w:sz w:val="16"/>
                <w:szCs w:val="16"/>
                <w:lang w:eastAsia="en-AU"/>
              </w:rPr>
              <w:t>other in-game</w:t>
            </w:r>
            <w:r w:rsidR="00C52570">
              <w:rPr>
                <w:rFonts w:eastAsia="Times New Roman" w:cs="Arial"/>
                <w:i/>
                <w:iCs/>
                <w:color w:val="000000"/>
                <w:sz w:val="16"/>
                <w:szCs w:val="16"/>
                <w:lang w:eastAsia="en-AU"/>
              </w:rPr>
              <w:t xml:space="preserve"> purchases</w:t>
            </w:r>
            <w:r w:rsidR="00C52570" w:rsidRPr="009A3331">
              <w:rPr>
                <w:rFonts w:eastAsia="Times New Roman" w:cs="Arial"/>
                <w:i/>
                <w:iCs/>
                <w:color w:val="000000"/>
                <w:sz w:val="16"/>
                <w:szCs w:val="16"/>
                <w:lang w:eastAsia="en-AU"/>
              </w:rPr>
              <w:t xml:space="preserve"> </w:t>
            </w:r>
            <w:r w:rsidR="00481F12" w:rsidRPr="009A3331">
              <w:rPr>
                <w:rFonts w:eastAsia="Times New Roman" w:cs="Arial"/>
                <w:i/>
                <w:iCs/>
                <w:color w:val="000000"/>
                <w:sz w:val="16"/>
                <w:szCs w:val="16"/>
                <w:lang w:eastAsia="en-AU"/>
              </w:rPr>
              <w:t>and harm</w:t>
            </w:r>
          </w:p>
        </w:tc>
      </w:tr>
      <w:tr w:rsidR="002D3B47" w:rsidRPr="009A3331" w14:paraId="6ADCEECE" w14:textId="77777777" w:rsidTr="00971A63">
        <w:trPr>
          <w:trHeight w:val="583"/>
        </w:trPr>
        <w:tc>
          <w:tcPr>
            <w:tcW w:w="2849" w:type="dxa"/>
            <w:tcBorders>
              <w:top w:val="nil"/>
              <w:left w:val="single" w:sz="4" w:space="0" w:color="FFFFFF"/>
              <w:bottom w:val="single" w:sz="4" w:space="0" w:color="FFFFFF"/>
              <w:right w:val="single" w:sz="4" w:space="0" w:color="FFFFFF"/>
            </w:tcBorders>
            <w:shd w:val="clear" w:color="000000" w:fill="F2F2F2"/>
            <w:noWrap/>
            <w:vAlign w:val="center"/>
            <w:hideMark/>
          </w:tcPr>
          <w:p w14:paraId="38789960" w14:textId="77777777" w:rsidR="002D3B47" w:rsidRPr="009A3331" w:rsidRDefault="002D3B47" w:rsidP="002D3B47">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Problem gambling</w:t>
            </w:r>
          </w:p>
        </w:tc>
        <w:tc>
          <w:tcPr>
            <w:tcW w:w="2849" w:type="dxa"/>
            <w:tcBorders>
              <w:top w:val="single" w:sz="8" w:space="0" w:color="FFFFFF"/>
              <w:left w:val="nil"/>
              <w:bottom w:val="single" w:sz="2" w:space="0" w:color="FFFFFF" w:themeColor="background1"/>
              <w:right w:val="single" w:sz="2" w:space="0" w:color="FFFFFF" w:themeColor="background1"/>
            </w:tcBorders>
            <w:shd w:val="clear" w:color="auto" w:fill="FABF8F" w:themeFill="accent6" w:themeFillTint="99"/>
            <w:vAlign w:val="center"/>
            <w:hideMark/>
          </w:tcPr>
          <w:p w14:paraId="05A0D2EB" w14:textId="77777777" w:rsidR="002D3B47" w:rsidRPr="002D3B47" w:rsidRDefault="003D6215"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49" w:type="dxa"/>
            <w:tcBorders>
              <w:top w:val="single" w:sz="8" w:space="0" w:color="FFFFFF"/>
              <w:left w:val="single" w:sz="2" w:space="0" w:color="FFFFFF" w:themeColor="background1"/>
              <w:bottom w:val="single" w:sz="2" w:space="0" w:color="FFFFFF" w:themeColor="background1"/>
              <w:right w:val="single" w:sz="8" w:space="0" w:color="FFFFFF"/>
            </w:tcBorders>
            <w:shd w:val="clear" w:color="auto" w:fill="FFB3B3"/>
            <w:vAlign w:val="center"/>
            <w:hideMark/>
          </w:tcPr>
          <w:p w14:paraId="05C82916" w14:textId="77777777" w:rsidR="002D3B47" w:rsidRPr="002D3B47" w:rsidRDefault="00AC50B9" w:rsidP="002D3B47">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r>
      <w:tr w:rsidR="00BA74BF" w:rsidRPr="009A3331" w14:paraId="5C4B3596" w14:textId="77777777" w:rsidTr="00971A63">
        <w:trPr>
          <w:trHeight w:val="583"/>
        </w:trPr>
        <w:tc>
          <w:tcPr>
            <w:tcW w:w="2849" w:type="dxa"/>
            <w:tcBorders>
              <w:top w:val="nil"/>
              <w:left w:val="single" w:sz="4" w:space="0" w:color="FFFFFF"/>
              <w:bottom w:val="single" w:sz="4" w:space="0" w:color="FFFFFF"/>
              <w:right w:val="single" w:sz="4" w:space="0" w:color="FFFFFF"/>
            </w:tcBorders>
            <w:shd w:val="clear" w:color="000000" w:fill="F2F2F2"/>
            <w:noWrap/>
            <w:vAlign w:val="center"/>
            <w:hideMark/>
          </w:tcPr>
          <w:p w14:paraId="38C24F6B" w14:textId="77777777" w:rsidR="00BA74BF" w:rsidRPr="009A3331" w:rsidRDefault="00BA74BF" w:rsidP="00BA74BF">
            <w:pPr>
              <w:suppressAutoHyphens w:val="0"/>
              <w:spacing w:before="0" w:line="240" w:lineRule="auto"/>
              <w:jc w:val="left"/>
              <w:rPr>
                <w:rFonts w:eastAsia="Times New Roman" w:cs="Arial"/>
                <w:b/>
                <w:bCs/>
                <w:color w:val="auto"/>
                <w:sz w:val="16"/>
                <w:szCs w:val="16"/>
                <w:lang w:eastAsia="en-AU"/>
              </w:rPr>
            </w:pPr>
            <w:r>
              <w:rPr>
                <w:rFonts w:eastAsia="Times New Roman" w:cs="Arial"/>
                <w:b/>
                <w:bCs/>
                <w:color w:val="auto"/>
                <w:sz w:val="16"/>
                <w:szCs w:val="16"/>
                <w:lang w:eastAsia="en-AU"/>
              </w:rPr>
              <w:t>Internet gaming disorder</w:t>
            </w:r>
          </w:p>
        </w:tc>
        <w:tc>
          <w:tcPr>
            <w:tcW w:w="2849" w:type="dxa"/>
            <w:tcBorders>
              <w:top w:val="single" w:sz="2" w:space="0" w:color="FFFFFF" w:themeColor="background1"/>
              <w:left w:val="nil"/>
              <w:bottom w:val="single" w:sz="2" w:space="0" w:color="FFFFFF" w:themeColor="background1"/>
              <w:right w:val="single" w:sz="2" w:space="0" w:color="FFFFFF" w:themeColor="background1"/>
            </w:tcBorders>
            <w:shd w:val="clear" w:color="auto" w:fill="FFB3B3"/>
            <w:vAlign w:val="center"/>
            <w:hideMark/>
          </w:tcPr>
          <w:p w14:paraId="116D9C02" w14:textId="77777777" w:rsidR="00BA74BF" w:rsidRPr="002D3B47" w:rsidRDefault="00BA74BF" w:rsidP="00BA74BF">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49" w:type="dxa"/>
            <w:tcBorders>
              <w:top w:val="single" w:sz="2" w:space="0" w:color="FFFFFF" w:themeColor="background1"/>
              <w:left w:val="single" w:sz="2" w:space="0" w:color="FFFFFF" w:themeColor="background1"/>
              <w:bottom w:val="single" w:sz="2" w:space="0" w:color="FFFFFF" w:themeColor="background1"/>
              <w:right w:val="single" w:sz="8" w:space="0" w:color="FFFFFF"/>
            </w:tcBorders>
            <w:shd w:val="clear" w:color="auto" w:fill="D9D9D9" w:themeFill="background1" w:themeFillShade="D9"/>
            <w:vAlign w:val="center"/>
            <w:hideMark/>
          </w:tcPr>
          <w:p w14:paraId="3506ADED" w14:textId="77777777" w:rsidR="00BA74BF" w:rsidRPr="002D3B47" w:rsidRDefault="00BA74BF" w:rsidP="00BA74BF">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r w:rsidR="00AC50B9" w:rsidRPr="009A3331" w14:paraId="1B8793FF" w14:textId="77777777" w:rsidTr="00971A63">
        <w:trPr>
          <w:trHeight w:val="583"/>
        </w:trPr>
        <w:tc>
          <w:tcPr>
            <w:tcW w:w="2849" w:type="dxa"/>
            <w:tcBorders>
              <w:top w:val="nil"/>
              <w:left w:val="single" w:sz="4" w:space="0" w:color="FFFFFF"/>
              <w:bottom w:val="single" w:sz="4" w:space="0" w:color="FFFFFF"/>
              <w:right w:val="single" w:sz="4" w:space="0" w:color="FFFFFF"/>
            </w:tcBorders>
            <w:shd w:val="clear" w:color="000000" w:fill="F2F2F2"/>
            <w:noWrap/>
            <w:vAlign w:val="center"/>
            <w:hideMark/>
          </w:tcPr>
          <w:p w14:paraId="4C53A930" w14:textId="77777777" w:rsidR="00AC50B9" w:rsidRPr="009A3331" w:rsidRDefault="00AC50B9" w:rsidP="00AC50B9">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Other types of harm</w:t>
            </w:r>
          </w:p>
        </w:tc>
        <w:tc>
          <w:tcPr>
            <w:tcW w:w="2849" w:type="dxa"/>
            <w:tcBorders>
              <w:top w:val="single" w:sz="2" w:space="0" w:color="FFFFFF" w:themeColor="background1"/>
              <w:left w:val="nil"/>
              <w:bottom w:val="single" w:sz="8" w:space="0" w:color="FFFFFF"/>
              <w:right w:val="single" w:sz="2" w:space="0" w:color="FFFFFF" w:themeColor="background1"/>
            </w:tcBorders>
            <w:shd w:val="clear" w:color="auto" w:fill="FFB3B3"/>
            <w:vAlign w:val="center"/>
            <w:hideMark/>
          </w:tcPr>
          <w:p w14:paraId="408E6D48" w14:textId="77777777" w:rsidR="00AC50B9" w:rsidRPr="002D3B47" w:rsidRDefault="00AC50B9" w:rsidP="00AC50B9">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49" w:type="dxa"/>
            <w:tcBorders>
              <w:top w:val="single" w:sz="2" w:space="0" w:color="FFFFFF" w:themeColor="background1"/>
              <w:left w:val="single" w:sz="2" w:space="0" w:color="FFFFFF" w:themeColor="background1"/>
              <w:bottom w:val="single" w:sz="4" w:space="0" w:color="FFFFFF"/>
              <w:right w:val="single" w:sz="8" w:space="0" w:color="FFFFFF"/>
            </w:tcBorders>
            <w:shd w:val="clear" w:color="auto" w:fill="D9D9D9" w:themeFill="background1" w:themeFillShade="D9"/>
            <w:vAlign w:val="center"/>
            <w:hideMark/>
          </w:tcPr>
          <w:p w14:paraId="33032AA4" w14:textId="77777777" w:rsidR="00AC50B9" w:rsidRPr="002D3B47" w:rsidRDefault="00AC50B9" w:rsidP="00AC50B9">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bl>
    <w:p w14:paraId="3B455CE0" w14:textId="77777777" w:rsidR="004D1E33" w:rsidRPr="00DE7335" w:rsidRDefault="002D3B47" w:rsidP="00BB7A25">
      <w:pPr>
        <w:pStyle w:val="Heading3"/>
      </w:pPr>
      <w:r w:rsidRPr="00DE7335">
        <w:t>Problem gambling</w:t>
      </w:r>
    </w:p>
    <w:p w14:paraId="6F08E2E6" w14:textId="717B18C5" w:rsidR="00822FD7" w:rsidRDefault="00822FD7" w:rsidP="00897FF2">
      <w:pPr>
        <w:pStyle w:val="BodyText"/>
      </w:pPr>
      <w:r>
        <w:t xml:space="preserve">A total of </w:t>
      </w:r>
      <w:r w:rsidR="00DC252A">
        <w:t xml:space="preserve">17 </w:t>
      </w:r>
      <w:r w:rsidR="00D6122B">
        <w:t xml:space="preserve">out of </w:t>
      </w:r>
      <w:r w:rsidR="00DC252A">
        <w:t>18</w:t>
      </w:r>
      <w:r>
        <w:t xml:space="preserve"> international </w:t>
      </w:r>
      <w:r w:rsidR="008D0C35">
        <w:t xml:space="preserve">and multinational </w:t>
      </w:r>
      <w:r>
        <w:t xml:space="preserve">studies found an association between other in-game purchases and gambling problems. </w:t>
      </w:r>
      <w:r w:rsidR="00586AA8">
        <w:t>The</w:t>
      </w:r>
      <w:r>
        <w:t xml:space="preserve"> overall assessment of the strength and </w:t>
      </w:r>
      <w:r w:rsidR="00744589">
        <w:t>value</w:t>
      </w:r>
      <w:r>
        <w:t xml:space="preserve"> of evidence </w:t>
      </w:r>
      <w:r w:rsidR="00315316">
        <w:t>w</w:t>
      </w:r>
      <w:r w:rsidR="00A7536C">
        <w:t xml:space="preserve">as </w:t>
      </w:r>
      <w:r w:rsidRPr="00830196">
        <w:rPr>
          <w:b/>
        </w:rPr>
        <w:t>medium</w:t>
      </w:r>
      <w:r>
        <w:t xml:space="preserve">. </w:t>
      </w:r>
    </w:p>
    <w:p w14:paraId="42F5967A" w14:textId="0AA41D4D" w:rsidR="003155BF" w:rsidRDefault="00A66FF9" w:rsidP="00897FF2">
      <w:pPr>
        <w:pStyle w:val="BodyText"/>
      </w:pPr>
      <w:r>
        <w:t>Other in</w:t>
      </w:r>
      <w:r w:rsidR="00822FD7">
        <w:t>-game purchases were</w:t>
      </w:r>
      <w:r w:rsidR="00822FD7" w:rsidRPr="00AE598B">
        <w:t xml:space="preserve"> associated </w:t>
      </w:r>
      <w:r w:rsidR="00315316">
        <w:t xml:space="preserve">with </w:t>
      </w:r>
      <w:r w:rsidR="00822FD7">
        <w:t>increased</w:t>
      </w:r>
      <w:r w:rsidR="00822FD7" w:rsidRPr="00AE598B">
        <w:t xml:space="preserve"> risk of</w:t>
      </w:r>
      <w:r w:rsidR="00822FD7">
        <w:t xml:space="preserve"> gambling problems with a </w:t>
      </w:r>
      <w:r w:rsidR="00DC252A">
        <w:rPr>
          <w:b/>
          <w:bCs/>
          <w:i/>
          <w:iCs/>
        </w:rPr>
        <w:t>low-</w:t>
      </w:r>
      <w:r w:rsidR="00822FD7">
        <w:rPr>
          <w:b/>
          <w:bCs/>
          <w:i/>
          <w:iCs/>
        </w:rPr>
        <w:t xml:space="preserve">medium </w:t>
      </w:r>
      <w:r w:rsidR="00822FD7">
        <w:t xml:space="preserve">average strength of </w:t>
      </w:r>
      <w:r w:rsidR="00142B05">
        <w:t>relationship</w:t>
      </w:r>
      <w:r w:rsidR="00892ECB">
        <w:t xml:space="preserve">. </w:t>
      </w:r>
      <w:r w:rsidR="00BD06B4">
        <w:t>Studies</w:t>
      </w:r>
      <w:r w:rsidR="00315546">
        <w:t xml:space="preserve"> </w:t>
      </w:r>
      <w:r w:rsidR="00315316">
        <w:t xml:space="preserve">that </w:t>
      </w:r>
      <w:r w:rsidR="00315546">
        <w:t xml:space="preserve">included loot box purchases in their </w:t>
      </w:r>
      <w:r w:rsidR="00E81474">
        <w:t>measurement of in-game purchases</w:t>
      </w:r>
      <w:r w:rsidR="00892D54">
        <w:t xml:space="preserve"> (i.e. King</w:t>
      </w:r>
      <w:r w:rsidR="001B06F0">
        <w:t xml:space="preserve">, </w:t>
      </w:r>
      <w:r w:rsidR="001B06F0" w:rsidRPr="00FF2FE2">
        <w:t>Wong-</w:t>
      </w:r>
      <w:proofErr w:type="spellStart"/>
      <w:r w:rsidR="001B06F0" w:rsidRPr="00FF2FE2">
        <w:t>Padoongpatt</w:t>
      </w:r>
      <w:proofErr w:type="spellEnd"/>
      <w:r w:rsidR="001B06F0" w:rsidRPr="001B06F0">
        <w:t>,</w:t>
      </w:r>
      <w:r w:rsidR="001B06F0">
        <w:t xml:space="preserve"> </w:t>
      </w:r>
      <w:r w:rsidR="00892D54">
        <w:t xml:space="preserve">et al., 2020) showed a higher strength of </w:t>
      </w:r>
      <w:r w:rsidR="00142B05">
        <w:t>relationship</w:t>
      </w:r>
      <w:r w:rsidR="00892D54">
        <w:t xml:space="preserve"> than those measuring ‘other</w:t>
      </w:r>
      <w:r w:rsidR="00F63D65">
        <w:t>’</w:t>
      </w:r>
      <w:r w:rsidR="00892D54">
        <w:t xml:space="preserve"> in-game purchases to loot boxes (i.e. </w:t>
      </w:r>
      <w:proofErr w:type="spellStart"/>
      <w:r w:rsidR="00892D54">
        <w:t>Zendle</w:t>
      </w:r>
      <w:proofErr w:type="spellEnd"/>
      <w:r w:rsidR="00892D54">
        <w:t xml:space="preserve"> &amp; Cairns, 2018</w:t>
      </w:r>
      <w:r w:rsidR="00F96448">
        <w:t xml:space="preserve">, </w:t>
      </w:r>
      <w:r w:rsidR="00892D54">
        <w:t xml:space="preserve">2019). </w:t>
      </w:r>
    </w:p>
    <w:p w14:paraId="6258070C" w14:textId="588BA0B5" w:rsidR="007A2E7C" w:rsidRDefault="000D354D" w:rsidP="00897FF2">
      <w:pPr>
        <w:pStyle w:val="BodyText"/>
      </w:pPr>
      <w:r>
        <w:t xml:space="preserve">A </w:t>
      </w:r>
      <w:r w:rsidR="007A2E7C">
        <w:t>literature review by Australian authors examined the convergence of gambling and monetised gaming activities</w:t>
      </w:r>
      <w:r w:rsidR="00363D7C">
        <w:t xml:space="preserve"> and</w:t>
      </w:r>
      <w:r w:rsidR="007A2E7C">
        <w:t xml:space="preserve"> conclud</w:t>
      </w:r>
      <w:r w:rsidR="00363D7C">
        <w:t>ed</w:t>
      </w:r>
      <w:r w:rsidR="007A2E7C">
        <w:t xml:space="preserve"> that while there is early evidence that involvement in monetised gaming may be associated with problem gambling</w:t>
      </w:r>
      <w:r w:rsidR="00E700A0">
        <w:t>,</w:t>
      </w:r>
      <w:r w:rsidR="007A2E7C">
        <w:t xml:space="preserve"> the evidence is cross-sectional in nature (</w:t>
      </w:r>
      <w:r w:rsidR="00E700A0">
        <w:t xml:space="preserve">i.e. </w:t>
      </w:r>
      <w:r w:rsidR="007A2E7C">
        <w:t>not proving causality)</w:t>
      </w:r>
      <w:r w:rsidR="00A610A0" w:rsidRPr="00A610A0">
        <w:t xml:space="preserve"> </w:t>
      </w:r>
      <w:r w:rsidR="00A610A0">
        <w:t xml:space="preserve">and there are still gaps in knowledge </w:t>
      </w:r>
      <w:r w:rsidR="007A2E7C">
        <w:t xml:space="preserve">(King &amp; </w:t>
      </w:r>
      <w:proofErr w:type="spellStart"/>
      <w:r w:rsidR="007A2E7C">
        <w:t>Delfabbro</w:t>
      </w:r>
      <w:proofErr w:type="spellEnd"/>
      <w:r w:rsidR="007A2E7C">
        <w:t>, 2020).</w:t>
      </w:r>
    </w:p>
    <w:p w14:paraId="71299D40" w14:textId="350ED7FD" w:rsidR="00624A0E" w:rsidRDefault="00B8492E" w:rsidP="00897FF2">
      <w:pPr>
        <w:pStyle w:val="BodyText"/>
      </w:pPr>
      <w:r>
        <w:t>Two</w:t>
      </w:r>
      <w:r w:rsidR="000D354D">
        <w:t xml:space="preserve"> cross-sectional</w:t>
      </w:r>
      <w:r>
        <w:t xml:space="preserve"> studies </w:t>
      </w:r>
      <w:r w:rsidR="00AC1658">
        <w:t xml:space="preserve">found </w:t>
      </w:r>
      <w:r w:rsidR="007A360D">
        <w:t>an</w:t>
      </w:r>
      <w:r>
        <w:t xml:space="preserve"> </w:t>
      </w:r>
      <w:r w:rsidR="009F6E8E">
        <w:t>association between</w:t>
      </w:r>
      <w:r w:rsidR="00AF46AF">
        <w:t xml:space="preserve"> monthly expenditure on other </w:t>
      </w:r>
      <w:r w:rsidR="00AC1658">
        <w:t xml:space="preserve">in-game purchases </w:t>
      </w:r>
      <w:r w:rsidR="00B725A9">
        <w:t>and problem</w:t>
      </w:r>
      <w:r>
        <w:t xml:space="preserve"> gambling</w:t>
      </w:r>
      <w:r w:rsidR="00200090">
        <w:t xml:space="preserve"> among adult gamers</w:t>
      </w:r>
      <w:r w:rsidR="007A360D">
        <w:t>, but this</w:t>
      </w:r>
      <w:r>
        <w:t xml:space="preserve"> </w:t>
      </w:r>
      <w:r w:rsidR="00F20E5C">
        <w:t xml:space="preserve">association </w:t>
      </w:r>
      <w:r w:rsidR="009F6E8E">
        <w:t xml:space="preserve">was weaker </w:t>
      </w:r>
      <w:r w:rsidR="00F20E5C">
        <w:t>compared to</w:t>
      </w:r>
      <w:r w:rsidR="009F6E8E">
        <w:t xml:space="preserve"> </w:t>
      </w:r>
      <w:r w:rsidR="00AF46AF">
        <w:t xml:space="preserve">monthly </w:t>
      </w:r>
      <w:r w:rsidR="009F6E8E">
        <w:t>loot box</w:t>
      </w:r>
      <w:r w:rsidR="00AF46AF">
        <w:t xml:space="preserve"> expenditure</w:t>
      </w:r>
      <w:r w:rsidR="009F6E8E">
        <w:t xml:space="preserve"> (</w:t>
      </w:r>
      <w:proofErr w:type="spellStart"/>
      <w:r>
        <w:t>Zendle</w:t>
      </w:r>
      <w:proofErr w:type="spellEnd"/>
      <w:r>
        <w:t xml:space="preserve"> &amp; Cairns, 2018</w:t>
      </w:r>
      <w:r w:rsidR="00200090">
        <w:t xml:space="preserve">, </w:t>
      </w:r>
      <w:r>
        <w:t>2019</w:t>
      </w:r>
      <w:r w:rsidR="00AF46AF">
        <w:t>)</w:t>
      </w:r>
      <w:r>
        <w:t>.</w:t>
      </w:r>
      <w:r w:rsidR="007A2E7C">
        <w:t xml:space="preserve"> </w:t>
      </w:r>
      <w:proofErr w:type="spellStart"/>
      <w:r w:rsidR="00975121">
        <w:t>Zendle</w:t>
      </w:r>
      <w:proofErr w:type="spellEnd"/>
      <w:r w:rsidR="00975121">
        <w:t xml:space="preserve"> </w:t>
      </w:r>
      <w:r w:rsidR="00200090">
        <w:t xml:space="preserve">and </w:t>
      </w:r>
      <w:r w:rsidR="00975121">
        <w:t xml:space="preserve">Cairns (2019) also found that </w:t>
      </w:r>
      <w:r w:rsidR="008A38AB">
        <w:t xml:space="preserve">people experiencing </w:t>
      </w:r>
      <w:r w:rsidR="00975121">
        <w:t xml:space="preserve">problem </w:t>
      </w:r>
      <w:r w:rsidR="008A38AB">
        <w:t>gambling</w:t>
      </w:r>
      <w:r w:rsidR="00975121">
        <w:t xml:space="preserve"> reported higher in-game spending</w:t>
      </w:r>
      <w:r>
        <w:t xml:space="preserve"> </w:t>
      </w:r>
      <w:r w:rsidR="001C6648">
        <w:t>than those at lower</w:t>
      </w:r>
      <w:r w:rsidR="00200090">
        <w:t xml:space="preserve"> </w:t>
      </w:r>
      <w:r w:rsidR="001C6648">
        <w:t>risk of gambling problems</w:t>
      </w:r>
      <w:r w:rsidR="00624A0E">
        <w:t>.</w:t>
      </w:r>
    </w:p>
    <w:p w14:paraId="742114D9" w14:textId="2245B657" w:rsidR="00D02A05" w:rsidRDefault="00624A0E" w:rsidP="00D02A05">
      <w:pPr>
        <w:pStyle w:val="BodyText"/>
      </w:pPr>
      <w:r>
        <w:t>Sim</w:t>
      </w:r>
      <w:r w:rsidR="009A6104">
        <w:t>ilar findings were observed among samples of adolescents and young adults.</w:t>
      </w:r>
      <w:r w:rsidR="00A701B3">
        <w:t xml:space="preserve"> A</w:t>
      </w:r>
      <w:r w:rsidR="00BB5C06">
        <w:t xml:space="preserve">mong </w:t>
      </w:r>
      <w:r w:rsidR="00E632F0">
        <w:t>adolescent gamers</w:t>
      </w:r>
      <w:r w:rsidR="00A701B3">
        <w:t>,</w:t>
      </w:r>
      <w:r w:rsidR="00E632F0">
        <w:t xml:space="preserve"> higher problem </w:t>
      </w:r>
      <w:r w:rsidR="0099733D">
        <w:t xml:space="preserve">gambling scores </w:t>
      </w:r>
      <w:r w:rsidR="00BB5C06">
        <w:t xml:space="preserve">were </w:t>
      </w:r>
      <w:r w:rsidR="00200090">
        <w:t xml:space="preserve">more strongly </w:t>
      </w:r>
      <w:r w:rsidR="0099733D">
        <w:t xml:space="preserve">associated </w:t>
      </w:r>
      <w:r w:rsidR="00046640">
        <w:t xml:space="preserve">with </w:t>
      </w:r>
      <w:r w:rsidR="0099733D">
        <w:t>loot box purchasing than other</w:t>
      </w:r>
      <w:r w:rsidR="00666A68">
        <w:t xml:space="preserve"> microtransaction spending (</w:t>
      </w:r>
      <w:proofErr w:type="spellStart"/>
      <w:r w:rsidR="00666A68">
        <w:t>Zendle</w:t>
      </w:r>
      <w:proofErr w:type="spellEnd"/>
      <w:r w:rsidR="00B62738">
        <w:t>, Meyer</w:t>
      </w:r>
      <w:r w:rsidR="00200090">
        <w:t xml:space="preserve"> et al.</w:t>
      </w:r>
      <w:r w:rsidR="00666A68">
        <w:t>, 2019)</w:t>
      </w:r>
      <w:r w:rsidR="00343020">
        <w:t xml:space="preserve">. </w:t>
      </w:r>
      <w:r w:rsidR="00D67A65">
        <w:t xml:space="preserve">A US study with young adults (18–25 years) found that higher </w:t>
      </w:r>
      <w:r w:rsidR="00D67A65" w:rsidRPr="007E3D59">
        <w:t xml:space="preserve">overall engagement with </w:t>
      </w:r>
      <w:r w:rsidR="00D67A65">
        <w:t>in-game purchases and</w:t>
      </w:r>
      <w:r w:rsidR="00D67A65" w:rsidRPr="007E3D59">
        <w:t xml:space="preserve"> </w:t>
      </w:r>
      <w:r w:rsidR="00D67A65">
        <w:t xml:space="preserve">higher monthly in-game purchasing expenditure (loot boxes/other) were associated with </w:t>
      </w:r>
      <w:r w:rsidR="00D67A65" w:rsidRPr="007E3D59">
        <w:t xml:space="preserve">higher problem gambling scores </w:t>
      </w:r>
      <w:r w:rsidR="00D67A65">
        <w:t xml:space="preserve">(King, </w:t>
      </w:r>
      <w:r w:rsidR="00D67A65" w:rsidRPr="00FF2FE2">
        <w:t>Wong-</w:t>
      </w:r>
      <w:proofErr w:type="spellStart"/>
      <w:r w:rsidR="00D67A65" w:rsidRPr="00FF2FE2">
        <w:t>Padoongpatt</w:t>
      </w:r>
      <w:proofErr w:type="spellEnd"/>
      <w:r w:rsidR="00D67A65" w:rsidRPr="00BF4385">
        <w:t xml:space="preserve"> et</w:t>
      </w:r>
      <w:r w:rsidR="00D67A65">
        <w:t xml:space="preserve"> al., 2020), and a</w:t>
      </w:r>
      <w:r w:rsidR="00D02A05">
        <w:t xml:space="preserve"> Canadian study with adolescents (12–17 years), young adults (18–24 years) and parents of children aged 8–17 years found that those who made in-game purchases were more likely to be classified as being at risk of or already experiencing gambling problems than those that did not make in-game purchases (</w:t>
      </w:r>
      <w:r w:rsidR="00D02A05" w:rsidRPr="00D83551">
        <w:t xml:space="preserve">Stark </w:t>
      </w:r>
      <w:r w:rsidR="00D02A05">
        <w:t>et al., 2020).</w:t>
      </w:r>
    </w:p>
    <w:p w14:paraId="64068373" w14:textId="1580E2CC" w:rsidR="00830E77" w:rsidRDefault="00D02A05" w:rsidP="00897FF2">
      <w:pPr>
        <w:pStyle w:val="BodyText"/>
      </w:pPr>
      <w:r>
        <w:lastRenderedPageBreak/>
        <w:t xml:space="preserve">Associations with pay-to-win gaming were also reported. </w:t>
      </w:r>
      <w:r w:rsidR="00830E77">
        <w:t>A</w:t>
      </w:r>
      <w:r w:rsidR="00830E77" w:rsidRPr="00AE598B">
        <w:t xml:space="preserve"> study with German adult internet users </w:t>
      </w:r>
      <w:r w:rsidR="00A80CF2">
        <w:t>found that</w:t>
      </w:r>
      <w:r w:rsidR="001C58E4">
        <w:t xml:space="preserve"> participants who engaged daily</w:t>
      </w:r>
      <w:r w:rsidR="000D4B94">
        <w:t xml:space="preserve"> in</w:t>
      </w:r>
      <w:r w:rsidR="00830E77" w:rsidRPr="00AE598B">
        <w:t xml:space="preserve"> </w:t>
      </w:r>
      <w:r w:rsidR="00FB7733">
        <w:t>‘</w:t>
      </w:r>
      <w:r w:rsidR="00830E77" w:rsidRPr="00AE598B">
        <w:t>pay-to-win</w:t>
      </w:r>
      <w:r w:rsidR="00FB7733">
        <w:t>’</w:t>
      </w:r>
      <w:r w:rsidR="00830E77" w:rsidRPr="00AE598B">
        <w:t xml:space="preserve"> gaming</w:t>
      </w:r>
      <w:r w:rsidR="001C58E4">
        <w:t xml:space="preserve"> experienced </w:t>
      </w:r>
      <w:r w:rsidR="00830E77" w:rsidRPr="00AE598B">
        <w:t xml:space="preserve">higher problem gambling severity scores than </w:t>
      </w:r>
      <w:r w:rsidR="001C58E4">
        <w:t xml:space="preserve">those who </w:t>
      </w:r>
      <w:r w:rsidR="00830E77" w:rsidRPr="00AE598B">
        <w:t>occasional</w:t>
      </w:r>
      <w:r w:rsidR="000D4B94">
        <w:t>ly engaged in</w:t>
      </w:r>
      <w:r w:rsidR="00830E77" w:rsidRPr="00AE598B">
        <w:t xml:space="preserve"> </w:t>
      </w:r>
      <w:r w:rsidR="00C15860">
        <w:t>pay-to-win gaming</w:t>
      </w:r>
      <w:r w:rsidR="0050341C">
        <w:t xml:space="preserve"> (S</w:t>
      </w:r>
      <w:r w:rsidR="0050341C" w:rsidRPr="00AE598B">
        <w:t>teinmetz et al., 2021</w:t>
      </w:r>
      <w:r w:rsidR="0050341C">
        <w:t>)</w:t>
      </w:r>
      <w:r w:rsidR="007D53EA">
        <w:t xml:space="preserve">, and </w:t>
      </w:r>
      <w:r w:rsidR="000D4B94">
        <w:t xml:space="preserve">that </w:t>
      </w:r>
      <w:r w:rsidR="005E5D1D">
        <w:t xml:space="preserve">participants </w:t>
      </w:r>
      <w:r w:rsidR="00912538">
        <w:t xml:space="preserve">meeting criteria </w:t>
      </w:r>
      <w:r w:rsidR="00766657">
        <w:t>of</w:t>
      </w:r>
      <w:r w:rsidR="00912538">
        <w:t xml:space="preserve"> </w:t>
      </w:r>
      <w:r w:rsidR="00F1274B">
        <w:t>problem gambl</w:t>
      </w:r>
      <w:r w:rsidR="00766657">
        <w:t>ing</w:t>
      </w:r>
      <w:r w:rsidR="00912538">
        <w:t xml:space="preserve"> </w:t>
      </w:r>
      <w:r w:rsidR="00BC17D5">
        <w:t>were more likely to engage in pay-to-win</w:t>
      </w:r>
      <w:r w:rsidR="0098036E">
        <w:t xml:space="preserve"> gaming, </w:t>
      </w:r>
      <w:r w:rsidR="009236FA">
        <w:t>make more frequent pay-to-win payments, and have high problem pay-to-win gaming scores</w:t>
      </w:r>
      <w:r w:rsidR="00310135">
        <w:t xml:space="preserve">. </w:t>
      </w:r>
      <w:r w:rsidR="005E5D1D">
        <w:t>A study with Polish esports bettors</w:t>
      </w:r>
      <w:r w:rsidR="008C4B13">
        <w:t xml:space="preserve"> </w:t>
      </w:r>
      <w:r w:rsidR="0097423B">
        <w:t xml:space="preserve">also </w:t>
      </w:r>
      <w:r w:rsidR="008C4B13">
        <w:t xml:space="preserve">found </w:t>
      </w:r>
      <w:r w:rsidR="0097423B">
        <w:t xml:space="preserve">that </w:t>
      </w:r>
      <w:r w:rsidR="0029642B">
        <w:t xml:space="preserve">engagement </w:t>
      </w:r>
      <w:r w:rsidR="008C4B13">
        <w:t>in pay-to-win gaming</w:t>
      </w:r>
      <w:r w:rsidR="0029642B">
        <w:t xml:space="preserve"> was associated with higher problem gambling severity (</w:t>
      </w:r>
      <w:proofErr w:type="spellStart"/>
      <w:r w:rsidR="0029642B" w:rsidRPr="0029642B">
        <w:t>Lelonek-Kuleta</w:t>
      </w:r>
      <w:proofErr w:type="spellEnd"/>
      <w:r w:rsidR="0029642B">
        <w:t xml:space="preserve"> </w:t>
      </w:r>
      <w:r w:rsidR="0029642B" w:rsidRPr="0029642B">
        <w:t xml:space="preserve">&amp; </w:t>
      </w:r>
      <w:proofErr w:type="spellStart"/>
      <w:r w:rsidR="0029642B" w:rsidRPr="0029642B">
        <w:t>Bartczuk</w:t>
      </w:r>
      <w:proofErr w:type="spellEnd"/>
      <w:r w:rsidR="0029642B" w:rsidRPr="0029642B">
        <w:t xml:space="preserve">, </w:t>
      </w:r>
      <w:r w:rsidR="0029642B">
        <w:t>2021)</w:t>
      </w:r>
      <w:r w:rsidR="00562D28">
        <w:t>.</w:t>
      </w:r>
    </w:p>
    <w:p w14:paraId="02150ECA" w14:textId="77777777" w:rsidR="00D20536" w:rsidRPr="00646BF3" w:rsidRDefault="00D20536" w:rsidP="00646BF3">
      <w:pPr>
        <w:pStyle w:val="Heading3"/>
      </w:pPr>
      <w:r w:rsidRPr="00646BF3">
        <w:t>Internet gaming disorder</w:t>
      </w:r>
    </w:p>
    <w:p w14:paraId="7CE5068A" w14:textId="54C46739" w:rsidR="00892ECB" w:rsidRDefault="00A32F36" w:rsidP="00897FF2">
      <w:pPr>
        <w:pStyle w:val="BodyText"/>
      </w:pPr>
      <w:r>
        <w:t>T</w:t>
      </w:r>
      <w:r w:rsidR="00007BE5">
        <w:t>hree</w:t>
      </w:r>
      <w:r w:rsidR="00892ECB">
        <w:t xml:space="preserve"> international studies found an association between other in-game purchases and </w:t>
      </w:r>
      <w:r w:rsidR="005C05D7">
        <w:t xml:space="preserve">internet </w:t>
      </w:r>
      <w:r w:rsidR="00892ECB">
        <w:t xml:space="preserve">gaming </w:t>
      </w:r>
      <w:r w:rsidR="0097423B">
        <w:t>disorder</w:t>
      </w:r>
      <w:r w:rsidR="00892ECB">
        <w:t xml:space="preserve">. An overall assessment of the strength and </w:t>
      </w:r>
      <w:r w:rsidR="00744589">
        <w:t>value</w:t>
      </w:r>
      <w:r w:rsidR="00892ECB">
        <w:t xml:space="preserve"> of evidence for this research question was </w:t>
      </w:r>
      <w:r w:rsidR="00362C5B" w:rsidRPr="00646BF3">
        <w:rPr>
          <w:b/>
          <w:i/>
        </w:rPr>
        <w:t>low-</w:t>
      </w:r>
      <w:r w:rsidR="00892ECB" w:rsidRPr="00646BF3">
        <w:rPr>
          <w:b/>
          <w:i/>
        </w:rPr>
        <w:t>medium</w:t>
      </w:r>
      <w:r w:rsidR="00C201F5">
        <w:t xml:space="preserve"> and t</w:t>
      </w:r>
      <w:r w:rsidR="00AF5A3E">
        <w:t xml:space="preserve">here </w:t>
      </w:r>
      <w:r w:rsidR="0097423B">
        <w:t>was</w:t>
      </w:r>
      <w:r w:rsidR="00AF5A3E">
        <w:t xml:space="preserve"> insufficient evidence to determine the strength of </w:t>
      </w:r>
      <w:r w:rsidR="00142B05">
        <w:t>relationship</w:t>
      </w:r>
      <w:r w:rsidR="00AF5A3E">
        <w:t xml:space="preserve"> between </w:t>
      </w:r>
      <w:r w:rsidR="00C876CC">
        <w:t>in-game purchases and gaming disorder</w:t>
      </w:r>
      <w:r w:rsidR="00AF5A3E">
        <w:t>.</w:t>
      </w:r>
    </w:p>
    <w:p w14:paraId="1341D0C0" w14:textId="6D47ACE9" w:rsidR="00023315" w:rsidRDefault="00023315" w:rsidP="00897FF2">
      <w:pPr>
        <w:pStyle w:val="BodyText"/>
      </w:pPr>
      <w:r>
        <w:t xml:space="preserve">The literature review by King </w:t>
      </w:r>
      <w:r w:rsidR="00F52C8D">
        <w:t xml:space="preserve">and </w:t>
      </w:r>
      <w:proofErr w:type="spellStart"/>
      <w:r>
        <w:t>Del</w:t>
      </w:r>
      <w:r w:rsidR="00636909">
        <w:t>f</w:t>
      </w:r>
      <w:r>
        <w:t>abbro</w:t>
      </w:r>
      <w:proofErr w:type="spellEnd"/>
      <w:r>
        <w:t xml:space="preserve"> (2020)</w:t>
      </w:r>
      <w:r w:rsidR="007A322B">
        <w:t>,</w:t>
      </w:r>
      <w:r>
        <w:t xml:space="preserve"> mentioned in the previous subsection, concluded that while there </w:t>
      </w:r>
      <w:r w:rsidR="00781719">
        <w:t>wa</w:t>
      </w:r>
      <w:r>
        <w:t>s early evidence that involvement in monetised gaming may be associated with problematic gaming</w:t>
      </w:r>
      <w:r w:rsidR="00781719">
        <w:t>,</w:t>
      </w:r>
      <w:r>
        <w:t xml:space="preserve"> there are still gaps in knowledge and the evidence </w:t>
      </w:r>
      <w:r w:rsidR="008952CC">
        <w:t>does not prove causality (</w:t>
      </w:r>
      <w:r w:rsidR="007A322B">
        <w:t xml:space="preserve">i.e. is </w:t>
      </w:r>
      <w:r w:rsidR="008952CC">
        <w:t>cross-sectional in nature).</w:t>
      </w:r>
    </w:p>
    <w:p w14:paraId="284FDC34" w14:textId="53DA5E2E" w:rsidR="008C1D76" w:rsidRDefault="005534E3" w:rsidP="00897FF2">
      <w:pPr>
        <w:pStyle w:val="BodyText"/>
      </w:pPr>
      <w:r>
        <w:t>Three</w:t>
      </w:r>
      <w:r w:rsidR="00DE33EC">
        <w:t xml:space="preserve"> of </w:t>
      </w:r>
      <w:r w:rsidR="008A2F49">
        <w:t>six</w:t>
      </w:r>
      <w:r w:rsidR="00D80B22">
        <w:t xml:space="preserve"> </w:t>
      </w:r>
      <w:r w:rsidR="00B5153C">
        <w:t>low-</w:t>
      </w:r>
      <w:r w:rsidR="00D80B22">
        <w:t xml:space="preserve">medium </w:t>
      </w:r>
      <w:r w:rsidR="00744589">
        <w:t>value</w:t>
      </w:r>
      <w:r w:rsidR="00D80B22">
        <w:t xml:space="preserve"> </w:t>
      </w:r>
      <w:r w:rsidR="00D16045">
        <w:t xml:space="preserve">but generalisable international studies </w:t>
      </w:r>
      <w:r w:rsidR="00DE33EC">
        <w:t xml:space="preserve">found a </w:t>
      </w:r>
      <w:r w:rsidR="00E057B0">
        <w:t xml:space="preserve">relationship between </w:t>
      </w:r>
      <w:r w:rsidR="00694D61">
        <w:t xml:space="preserve">other </w:t>
      </w:r>
      <w:r w:rsidR="00E057B0">
        <w:t>in-game purchas</w:t>
      </w:r>
      <w:r w:rsidR="00804DA0">
        <w:t>es</w:t>
      </w:r>
      <w:r w:rsidR="00694D61">
        <w:t xml:space="preserve"> </w:t>
      </w:r>
      <w:r w:rsidR="00804DA0">
        <w:t>and internet gaming disorder</w:t>
      </w:r>
      <w:r w:rsidR="00DE33EC">
        <w:t xml:space="preserve">. </w:t>
      </w:r>
      <w:r w:rsidR="00D20536">
        <w:t xml:space="preserve">In addition to an association between in-game purchases and problem gambling, </w:t>
      </w:r>
      <w:r w:rsidR="00F45F7B">
        <w:t>a</w:t>
      </w:r>
      <w:r w:rsidR="00D20536">
        <w:t xml:space="preserve"> </w:t>
      </w:r>
      <w:r w:rsidR="00D20536" w:rsidRPr="00FF4270">
        <w:t xml:space="preserve">US study with young adults </w:t>
      </w:r>
      <w:r w:rsidR="00D20536">
        <w:t xml:space="preserve">aged </w:t>
      </w:r>
      <w:r w:rsidR="00D20536" w:rsidRPr="00FF4270">
        <w:t>18</w:t>
      </w:r>
      <w:r w:rsidR="004E4762">
        <w:t>–</w:t>
      </w:r>
      <w:r w:rsidR="00D20536" w:rsidRPr="00FF4270">
        <w:t xml:space="preserve">25 years </w:t>
      </w:r>
      <w:r w:rsidR="00D20536">
        <w:t xml:space="preserve">found a </w:t>
      </w:r>
      <w:r w:rsidR="008A2F49" w:rsidRPr="00C31050">
        <w:rPr>
          <w:bCs/>
          <w:iCs/>
        </w:rPr>
        <w:t>medium</w:t>
      </w:r>
      <w:r w:rsidR="008A2F49" w:rsidRPr="00C31050">
        <w:t>-high</w:t>
      </w:r>
      <w:r w:rsidR="008A2F49">
        <w:rPr>
          <w:b/>
          <w:bCs/>
          <w:i/>
          <w:iCs/>
        </w:rPr>
        <w:t xml:space="preserve"> </w:t>
      </w:r>
      <w:r w:rsidR="008A2F49">
        <w:t>strength</w:t>
      </w:r>
      <w:r w:rsidR="00D20536">
        <w:t xml:space="preserve"> association between overall engagement with </w:t>
      </w:r>
      <w:r w:rsidR="003F2829">
        <w:t>in-game purchase</w:t>
      </w:r>
      <w:r w:rsidR="00D20536">
        <w:t>s</w:t>
      </w:r>
      <w:r w:rsidR="00D549AC">
        <w:t>,</w:t>
      </w:r>
      <w:r w:rsidR="00D20536">
        <w:t xml:space="preserve"> </w:t>
      </w:r>
      <w:r w:rsidR="00E65817">
        <w:t xml:space="preserve">along with </w:t>
      </w:r>
      <w:r w:rsidR="00D20536" w:rsidRPr="00395AAD">
        <w:t xml:space="preserve">higher monthly </w:t>
      </w:r>
      <w:r w:rsidR="003F2829">
        <w:t>in-game purchase</w:t>
      </w:r>
      <w:r w:rsidR="00D20536" w:rsidRPr="00395AAD">
        <w:t xml:space="preserve"> expenditure (loots boxes/other) and </w:t>
      </w:r>
      <w:r w:rsidR="00D20536" w:rsidRPr="00C4415B">
        <w:t>higher</w:t>
      </w:r>
      <w:r w:rsidR="00D20536">
        <w:t xml:space="preserve"> internet</w:t>
      </w:r>
      <w:r w:rsidR="00D20536" w:rsidRPr="00C4415B">
        <w:t xml:space="preserve"> gaming disorder scores </w:t>
      </w:r>
      <w:r w:rsidR="00D20536">
        <w:t>(King</w:t>
      </w:r>
      <w:r w:rsidR="007E0B02">
        <w:t xml:space="preserve">, </w:t>
      </w:r>
      <w:r w:rsidR="007E0B02" w:rsidRPr="00FF2FE2">
        <w:t>Wong-</w:t>
      </w:r>
      <w:proofErr w:type="spellStart"/>
      <w:r w:rsidR="007E0B02" w:rsidRPr="00FF2FE2">
        <w:t>Padoongpatt</w:t>
      </w:r>
      <w:proofErr w:type="spellEnd"/>
      <w:r w:rsidR="00D20536">
        <w:t xml:space="preserve"> et al., 2020).</w:t>
      </w:r>
      <w:r w:rsidR="00D549AC">
        <w:t xml:space="preserve"> Another </w:t>
      </w:r>
      <w:r w:rsidR="009D1D79">
        <w:t xml:space="preserve">study with predominantly male </w:t>
      </w:r>
      <w:r w:rsidR="00C22F44">
        <w:t xml:space="preserve">young adult gamers found </w:t>
      </w:r>
      <w:r w:rsidR="00C876E6">
        <w:t xml:space="preserve">significantly higher internet gaming disorder scores for </w:t>
      </w:r>
      <w:r w:rsidR="00E27EF7">
        <w:t>both</w:t>
      </w:r>
      <w:r w:rsidR="00C876E6">
        <w:t xml:space="preserve"> </w:t>
      </w:r>
      <w:r w:rsidR="00946B7E">
        <w:t>moderate and high</w:t>
      </w:r>
      <w:r w:rsidR="007E0B02">
        <w:t xml:space="preserve"> </w:t>
      </w:r>
      <w:r w:rsidR="00946B7E">
        <w:t>spenders o</w:t>
      </w:r>
      <w:r w:rsidR="00E27EF7">
        <w:t>n</w:t>
      </w:r>
      <w:r w:rsidR="00946B7E">
        <w:t xml:space="preserve"> in-game purchases (including loot boxes) compared to non-spenders (</w:t>
      </w:r>
      <w:proofErr w:type="spellStart"/>
      <w:r w:rsidR="00946B7E">
        <w:t>Tham</w:t>
      </w:r>
      <w:proofErr w:type="spellEnd"/>
      <w:r w:rsidR="00946B7E">
        <w:t xml:space="preserve"> &amp; Perreault, 2020)</w:t>
      </w:r>
      <w:r w:rsidR="007D1CF9">
        <w:t>.</w:t>
      </w:r>
      <w:r w:rsidR="00AC69D2">
        <w:t xml:space="preserve"> </w:t>
      </w:r>
      <w:r w:rsidR="00E50335">
        <w:t>A</w:t>
      </w:r>
      <w:r w:rsidR="00D50883">
        <w:t xml:space="preserve"> weak association between </w:t>
      </w:r>
      <w:r w:rsidR="006721D7">
        <w:t xml:space="preserve">higher purchase intention and meeting criteria for internet gaming disorder </w:t>
      </w:r>
      <w:r w:rsidR="00E50335">
        <w:t xml:space="preserve">was found in a study of </w:t>
      </w:r>
      <w:r w:rsidR="00E50335" w:rsidRPr="00E50335">
        <w:t>adult</w:t>
      </w:r>
      <w:r w:rsidR="003C0B23">
        <w:t xml:space="preserve"> players of</w:t>
      </w:r>
      <w:r w:rsidR="00E50335" w:rsidRPr="00E50335">
        <w:t xml:space="preserve"> </w:t>
      </w:r>
      <w:r w:rsidR="00E50335" w:rsidRPr="00F720BE">
        <w:rPr>
          <w:i/>
          <w:iCs/>
        </w:rPr>
        <w:t>For</w:t>
      </w:r>
      <w:r w:rsidR="00E26887">
        <w:rPr>
          <w:i/>
          <w:iCs/>
        </w:rPr>
        <w:t>t</w:t>
      </w:r>
      <w:r w:rsidR="00E50335" w:rsidRPr="00F720BE">
        <w:rPr>
          <w:i/>
          <w:iCs/>
        </w:rPr>
        <w:t>nite</w:t>
      </w:r>
      <w:r w:rsidR="003C0B23">
        <w:rPr>
          <w:i/>
          <w:iCs/>
        </w:rPr>
        <w:t xml:space="preserve"> </w:t>
      </w:r>
      <w:r w:rsidR="003C0B23" w:rsidRPr="000E248A">
        <w:t>(a</w:t>
      </w:r>
      <w:r w:rsidR="00B46841">
        <w:t xml:space="preserve"> free-to-play</w:t>
      </w:r>
      <w:r w:rsidR="003C0B23" w:rsidRPr="000E248A">
        <w:t xml:space="preserve"> </w:t>
      </w:r>
      <w:r w:rsidR="00B53BE6">
        <w:t xml:space="preserve">battle-royale style </w:t>
      </w:r>
      <w:r w:rsidR="003C0B23">
        <w:t xml:space="preserve">shooting </w:t>
      </w:r>
      <w:r w:rsidR="003C0B23" w:rsidRPr="000E248A">
        <w:t>game with in-game purchases</w:t>
      </w:r>
      <w:r w:rsidR="003C0B23">
        <w:t>, popular among teenagers and young adults</w:t>
      </w:r>
      <w:r w:rsidR="00555045">
        <w:t>),</w:t>
      </w:r>
      <w:r w:rsidR="006721D7">
        <w:t xml:space="preserve"> </w:t>
      </w:r>
      <w:r w:rsidR="009C1272">
        <w:t>but</w:t>
      </w:r>
      <w:r w:rsidR="00EF33AE">
        <w:t xml:space="preserve"> </w:t>
      </w:r>
      <w:r w:rsidR="006721D7">
        <w:t xml:space="preserve">not for actual </w:t>
      </w:r>
      <w:r w:rsidR="00BD4058">
        <w:t xml:space="preserve">in-game purchasing </w:t>
      </w:r>
      <w:r w:rsidR="006721D7">
        <w:t>(King</w:t>
      </w:r>
      <w:r w:rsidR="00EF33AE">
        <w:t xml:space="preserve">, </w:t>
      </w:r>
      <w:r w:rsidR="00167159">
        <w:t>Russell</w:t>
      </w:r>
      <w:r w:rsidR="006721D7">
        <w:t xml:space="preserve"> et al., 2020).</w:t>
      </w:r>
    </w:p>
    <w:p w14:paraId="1ABF8112" w14:textId="77777777" w:rsidR="002F216E" w:rsidRDefault="002F216E" w:rsidP="00897FF2">
      <w:pPr>
        <w:pStyle w:val="BodyText"/>
      </w:pPr>
      <w:r>
        <w:t>A</w:t>
      </w:r>
      <w:r w:rsidR="00163824">
        <w:t xml:space="preserve"> qualitative analysis</w:t>
      </w:r>
      <w:r w:rsidR="00A12E33">
        <w:t xml:space="preserve"> of</w:t>
      </w:r>
      <w:r w:rsidR="005018A5">
        <w:t xml:space="preserve"> regular adult gamers</w:t>
      </w:r>
      <w:r w:rsidR="009C1272">
        <w:t>’</w:t>
      </w:r>
      <w:r w:rsidR="005018A5">
        <w:t xml:space="preserve"> perspectives on </w:t>
      </w:r>
      <w:r w:rsidR="00A12E33">
        <w:t>problem gaming identified</w:t>
      </w:r>
      <w:r w:rsidR="008A063A">
        <w:t xml:space="preserve"> several problematic behaviours relating to in-game purchasing</w:t>
      </w:r>
      <w:r w:rsidR="00C55BB8">
        <w:t xml:space="preserve"> </w:t>
      </w:r>
      <w:r w:rsidR="008626FE">
        <w:t>including: the</w:t>
      </w:r>
      <w:r w:rsidR="00C55BB8">
        <w:t xml:space="preserve"> inability to control money spent in games, financial loss, compulsive spending</w:t>
      </w:r>
      <w:r w:rsidR="008626FE">
        <w:t xml:space="preserve">, paying for items and loot boxes they don’t need, and other negative effects of money spent on games (Stevens, </w:t>
      </w:r>
      <w:proofErr w:type="spellStart"/>
      <w:r w:rsidR="008626FE">
        <w:t>Delfabbro</w:t>
      </w:r>
      <w:proofErr w:type="spellEnd"/>
      <w:r w:rsidR="008626FE">
        <w:t>, &amp; King, 2021).</w:t>
      </w:r>
    </w:p>
    <w:p w14:paraId="3FC762A3" w14:textId="77777777" w:rsidR="00B142EE" w:rsidRPr="00677262" w:rsidRDefault="00B142EE" w:rsidP="00677262">
      <w:pPr>
        <w:pStyle w:val="Heading3"/>
      </w:pPr>
      <w:r w:rsidRPr="00677262">
        <w:t>Other harms</w:t>
      </w:r>
    </w:p>
    <w:p w14:paraId="5F1FCB8C" w14:textId="66BE18A8" w:rsidR="00432E4C" w:rsidRDefault="00C6707C" w:rsidP="00897FF2">
      <w:pPr>
        <w:pStyle w:val="BodyText"/>
      </w:pPr>
      <w:r>
        <w:t>Four</w:t>
      </w:r>
      <w:r w:rsidR="005A7975">
        <w:t xml:space="preserve"> of eight</w:t>
      </w:r>
      <w:r w:rsidR="00CF71A1">
        <w:t xml:space="preserve"> </w:t>
      </w:r>
      <w:r w:rsidR="00362C5B" w:rsidRPr="007D0AE2">
        <w:rPr>
          <w:b/>
          <w:bCs/>
          <w:i/>
          <w:iCs/>
        </w:rPr>
        <w:t>low-</w:t>
      </w:r>
      <w:r w:rsidR="00242993" w:rsidRPr="007D0AE2">
        <w:rPr>
          <w:b/>
          <w:bCs/>
          <w:i/>
          <w:iCs/>
        </w:rPr>
        <w:t>medium</w:t>
      </w:r>
      <w:r w:rsidR="00B42E9A">
        <w:t xml:space="preserve"> </w:t>
      </w:r>
      <w:r w:rsidR="00744589">
        <w:t>value</w:t>
      </w:r>
      <w:r w:rsidR="00432E4C" w:rsidRPr="00F26AAB">
        <w:t xml:space="preserve"> </w:t>
      </w:r>
      <w:r w:rsidR="00432E4C">
        <w:t>international stud</w:t>
      </w:r>
      <w:r w:rsidR="00CF71A1">
        <w:t>ies</w:t>
      </w:r>
      <w:r w:rsidR="00432E4C">
        <w:t xml:space="preserve"> found an association between in-game purchases and </w:t>
      </w:r>
      <w:r w:rsidR="005C35FF">
        <w:t>other harms</w:t>
      </w:r>
      <w:r w:rsidR="00432E4C">
        <w:t>.</w:t>
      </w:r>
      <w:r w:rsidR="00362C5B" w:rsidRPr="00362C5B">
        <w:t xml:space="preserve"> </w:t>
      </w:r>
      <w:r w:rsidR="00215A6E">
        <w:t>The s</w:t>
      </w:r>
      <w:r w:rsidR="00AF5A3E">
        <w:t xml:space="preserve">trength of </w:t>
      </w:r>
      <w:r w:rsidR="00142B05">
        <w:t>relationship</w:t>
      </w:r>
      <w:r w:rsidR="00AF5A3E">
        <w:t xml:space="preserve"> between in-game purchases and other harms varied depending on the type of harm. </w:t>
      </w:r>
    </w:p>
    <w:p w14:paraId="61D0ACDF" w14:textId="77777777" w:rsidR="00821DF5" w:rsidRPr="00413D15" w:rsidRDefault="00821DF5" w:rsidP="000B2101">
      <w:pPr>
        <w:pStyle w:val="Heading4"/>
      </w:pPr>
      <w:r w:rsidRPr="00413D15">
        <w:t>Financial harm</w:t>
      </w:r>
    </w:p>
    <w:p w14:paraId="1D84E040" w14:textId="623CC64E" w:rsidR="00821DF5" w:rsidRDefault="00821DF5" w:rsidP="00984FFE">
      <w:pPr>
        <w:pStyle w:val="BodyText"/>
      </w:pPr>
      <w:r>
        <w:t>Two medium-</w:t>
      </w:r>
      <w:r w:rsidR="00744589">
        <w:t>value</w:t>
      </w:r>
      <w:r>
        <w:t xml:space="preserve"> narrative literature reviews concluded that monetisation features in games and predatory strategies to encourage spending could result in gamers becoming more financially involved and </w:t>
      </w:r>
      <w:r w:rsidR="00501B41">
        <w:t>experiencing</w:t>
      </w:r>
      <w:r>
        <w:t xml:space="preserve"> negative financial consequences (</w:t>
      </w:r>
      <w:proofErr w:type="spellStart"/>
      <w:r>
        <w:t>Cerulli</w:t>
      </w:r>
      <w:proofErr w:type="spellEnd"/>
      <w:r>
        <w:t xml:space="preserve">-Harms et al., 2020; King, 2018). </w:t>
      </w:r>
    </w:p>
    <w:p w14:paraId="0D9BA6AF" w14:textId="77777777" w:rsidR="007B5893" w:rsidRPr="007C79F8" w:rsidRDefault="007B5893" w:rsidP="000B2101">
      <w:pPr>
        <w:pStyle w:val="Heading4"/>
      </w:pPr>
      <w:r w:rsidRPr="007C79F8">
        <w:lastRenderedPageBreak/>
        <w:t>Problem pay-to-win gaming</w:t>
      </w:r>
    </w:p>
    <w:p w14:paraId="27563A3A" w14:textId="4F2234C4" w:rsidR="007B5893" w:rsidRDefault="000A4AAE" w:rsidP="00897FF2">
      <w:pPr>
        <w:pStyle w:val="BodyText"/>
      </w:pPr>
      <w:r w:rsidRPr="00D12965">
        <w:t>A Polish study of gamers</w:t>
      </w:r>
      <w:r>
        <w:t xml:space="preserve"> who ma</w:t>
      </w:r>
      <w:r w:rsidR="00AC69D2">
        <w:t>d</w:t>
      </w:r>
      <w:r>
        <w:t>e</w:t>
      </w:r>
      <w:r w:rsidRPr="00D12965">
        <w:t xml:space="preserve"> ‘pay-to-win’</w:t>
      </w:r>
      <w:r>
        <w:t xml:space="preserve"> </w:t>
      </w:r>
      <w:r w:rsidR="003F2829">
        <w:t>in-game purchase</w:t>
      </w:r>
      <w:r>
        <w:t>s</w:t>
      </w:r>
      <w:r w:rsidRPr="00D12965">
        <w:t xml:space="preserve"> (i.e. ma</w:t>
      </w:r>
      <w:r w:rsidR="00AC69D2">
        <w:t>d</w:t>
      </w:r>
      <w:r w:rsidRPr="00D12965">
        <w:t xml:space="preserve">e payments in online games </w:t>
      </w:r>
      <w:r w:rsidR="006F6B75" w:rsidRPr="00D12965">
        <w:t>to</w:t>
      </w:r>
      <w:r w:rsidRPr="00D12965">
        <w:t xml:space="preserve"> gain an advantage) found </w:t>
      </w:r>
      <w:r>
        <w:t xml:space="preserve">that </w:t>
      </w:r>
      <w:r w:rsidRPr="00D12965">
        <w:t xml:space="preserve">the most common symptoms of </w:t>
      </w:r>
      <w:r w:rsidR="00325A87">
        <w:t xml:space="preserve">problem </w:t>
      </w:r>
      <w:r w:rsidR="001C4422">
        <w:t>pay-to-win</w:t>
      </w:r>
      <w:r>
        <w:t xml:space="preserve"> </w:t>
      </w:r>
      <w:r w:rsidRPr="00D12965">
        <w:t>gaming were impaired control (time and/or money), feeling an inner urge to play, and lying to gain more time to play</w:t>
      </w:r>
      <w:r w:rsidR="006F6B75">
        <w:t>. T</w:t>
      </w:r>
      <w:r w:rsidRPr="00D12965">
        <w:t>he severity of the symptoms corresponded to the severity of involvement in the game</w:t>
      </w:r>
      <w:r>
        <w:t xml:space="preserve"> (</w:t>
      </w:r>
      <w:proofErr w:type="spellStart"/>
      <w:r>
        <w:t>Lelonek-Kuleta</w:t>
      </w:r>
      <w:proofErr w:type="spellEnd"/>
      <w:r w:rsidR="003222AB">
        <w:t xml:space="preserve">, </w:t>
      </w:r>
      <w:proofErr w:type="spellStart"/>
      <w:r w:rsidR="003222AB" w:rsidRPr="003222AB">
        <w:t>Bartczuk</w:t>
      </w:r>
      <w:proofErr w:type="spellEnd"/>
      <w:r w:rsidR="003222AB">
        <w:t xml:space="preserve">, &amp; </w:t>
      </w:r>
      <w:proofErr w:type="spellStart"/>
      <w:r w:rsidR="003222AB" w:rsidRPr="003222AB">
        <w:t>Wiechetek</w:t>
      </w:r>
      <w:proofErr w:type="spellEnd"/>
      <w:r>
        <w:t>, 2021).</w:t>
      </w:r>
      <w:r w:rsidR="007B3DB8">
        <w:t xml:space="preserve"> </w:t>
      </w:r>
      <w:r w:rsidR="00F5206C">
        <w:t>A</w:t>
      </w:r>
      <w:r w:rsidR="00F11E75">
        <w:t>nother</w:t>
      </w:r>
      <w:r w:rsidR="00F5206C">
        <w:t xml:space="preserve"> study </w:t>
      </w:r>
      <w:r w:rsidR="00AC69D2">
        <w:t xml:space="preserve">of </w:t>
      </w:r>
      <w:r w:rsidR="00F5206C">
        <w:t>German adults found</w:t>
      </w:r>
      <w:r w:rsidR="00AF0866">
        <w:t xml:space="preserve"> daily pay-to-win gamers</w:t>
      </w:r>
      <w:r w:rsidR="000C2020">
        <w:t xml:space="preserve"> were more likely than occasional pay-to-win gamers to </w:t>
      </w:r>
      <w:r w:rsidR="009665D9">
        <w:t xml:space="preserve">have higher </w:t>
      </w:r>
      <w:r w:rsidR="00196B49">
        <w:t xml:space="preserve">problem pay-to-win gaming </w:t>
      </w:r>
      <w:r w:rsidR="009665D9">
        <w:t xml:space="preserve">scores and </w:t>
      </w:r>
      <w:r w:rsidR="002F5083">
        <w:t xml:space="preserve">of </w:t>
      </w:r>
      <w:r w:rsidR="00130A5A">
        <w:t xml:space="preserve">meeting </w:t>
      </w:r>
      <w:r w:rsidR="00A1475A">
        <w:t>criteria for problem pay-to-win gaming</w:t>
      </w:r>
      <w:r w:rsidR="00D17B46">
        <w:t xml:space="preserve"> (as opposed to no, low, moderate-risk) (</w:t>
      </w:r>
      <w:r w:rsidR="00F50F43">
        <w:t>Steinmetz et al., 2021)</w:t>
      </w:r>
      <w:r w:rsidR="00196B49">
        <w:t>.</w:t>
      </w:r>
    </w:p>
    <w:p w14:paraId="320494D1" w14:textId="77777777" w:rsidR="002114C2" w:rsidRPr="003B2EE3" w:rsidRDefault="002114C2" w:rsidP="000B2101">
      <w:pPr>
        <w:pStyle w:val="Heading4"/>
      </w:pPr>
      <w:r w:rsidRPr="000B2101">
        <w:t>Psychosocial</w:t>
      </w:r>
      <w:r w:rsidRPr="003B2EE3">
        <w:t xml:space="preserve"> adjustment</w:t>
      </w:r>
    </w:p>
    <w:p w14:paraId="74CDF648" w14:textId="08E7E62D" w:rsidR="003B1FE7" w:rsidRDefault="00BB0DE2" w:rsidP="00897FF2">
      <w:pPr>
        <w:pStyle w:val="BodyText"/>
      </w:pPr>
      <w:r>
        <w:t>A recent study with Japanese students (12</w:t>
      </w:r>
      <w:r w:rsidR="002F5083">
        <w:t>–</w:t>
      </w:r>
      <w:r>
        <w:t>15 years) ex</w:t>
      </w:r>
      <w:r w:rsidR="00814ADC">
        <w:t>amined the</w:t>
      </w:r>
      <w:r w:rsidR="00643960">
        <w:t xml:space="preserve"> participants’</w:t>
      </w:r>
      <w:r w:rsidR="00814ADC">
        <w:t xml:space="preserve"> psychosocial adjustment</w:t>
      </w:r>
      <w:r w:rsidR="00061734">
        <w:t xml:space="preserve"> via strengths (</w:t>
      </w:r>
      <w:r w:rsidR="00124107" w:rsidRPr="00124107">
        <w:t>prosocial behaviour) and difficulties (emotional symptoms, conduct problems, hyperactivity/ inattention, peer problems)</w:t>
      </w:r>
      <w:r w:rsidR="00061734">
        <w:t xml:space="preserve"> </w:t>
      </w:r>
      <w:r w:rsidR="008D039E">
        <w:t>against their purchasing behaviours in games (</w:t>
      </w:r>
      <w:proofErr w:type="spellStart"/>
      <w:r w:rsidR="008D039E" w:rsidRPr="00061734">
        <w:t>Shinkawa</w:t>
      </w:r>
      <w:proofErr w:type="spellEnd"/>
      <w:r w:rsidR="00F47E7C">
        <w:t xml:space="preserve"> et al., </w:t>
      </w:r>
      <w:r w:rsidR="008D039E">
        <w:t xml:space="preserve">2021). </w:t>
      </w:r>
      <w:r w:rsidR="00D45C84">
        <w:t>T</w:t>
      </w:r>
      <w:r w:rsidR="00880335">
        <w:t>h</w:t>
      </w:r>
      <w:r w:rsidR="002B6B94">
        <w:t>e</w:t>
      </w:r>
      <w:r w:rsidR="00880335">
        <w:t xml:space="preserve"> </w:t>
      </w:r>
      <w:r w:rsidR="002B6B94">
        <w:t>authors</w:t>
      </w:r>
      <w:r w:rsidR="00880335">
        <w:t xml:space="preserve"> </w:t>
      </w:r>
      <w:r w:rsidR="001C268C">
        <w:t xml:space="preserve">found </w:t>
      </w:r>
      <w:r w:rsidR="006C15C3">
        <w:t>that</w:t>
      </w:r>
      <w:r w:rsidR="0026495D" w:rsidRPr="0026495D">
        <w:t xml:space="preserve"> more hyperactivity/inattention was </w:t>
      </w:r>
      <w:r w:rsidR="003B2EE3">
        <w:t xml:space="preserve">observed </w:t>
      </w:r>
      <w:r w:rsidR="0026495D" w:rsidRPr="0026495D">
        <w:t>among in-game purchasers compared to non</w:t>
      </w:r>
      <w:r w:rsidR="0026495D">
        <w:t>-</w:t>
      </w:r>
      <w:r w:rsidR="0026495D" w:rsidRPr="0026495D">
        <w:t>purchasers</w:t>
      </w:r>
      <w:r w:rsidR="0005663B">
        <w:t xml:space="preserve">, </w:t>
      </w:r>
      <w:r w:rsidR="00F56E3E">
        <w:t>an</w:t>
      </w:r>
      <w:r w:rsidR="00D31AC9">
        <w:t>d</w:t>
      </w:r>
      <w:r w:rsidR="00F56E3E">
        <w:t xml:space="preserve"> that</w:t>
      </w:r>
      <w:r w:rsidR="00EB7D4F">
        <w:t xml:space="preserve"> gamers who made</w:t>
      </w:r>
      <w:r w:rsidR="00F56E3E">
        <w:t xml:space="preserve"> </w:t>
      </w:r>
      <w:r w:rsidR="00D31AC9">
        <w:t>‘</w:t>
      </w:r>
      <w:r w:rsidR="003B1FE7">
        <w:t>unplanned</w:t>
      </w:r>
      <w:r w:rsidR="00D31AC9">
        <w:t>’</w:t>
      </w:r>
      <w:r w:rsidR="003B1FE7">
        <w:t xml:space="preserve"> purchase</w:t>
      </w:r>
      <w:r w:rsidR="00EB7D4F">
        <w:t>s</w:t>
      </w:r>
      <w:r w:rsidR="003B1FE7">
        <w:t xml:space="preserve"> exhibited more behavio</w:t>
      </w:r>
      <w:r w:rsidR="00F56E3E">
        <w:t>u</w:t>
      </w:r>
      <w:r w:rsidR="003B1FE7">
        <w:t>ral problems and peer problems</w:t>
      </w:r>
      <w:r w:rsidR="00D31AC9">
        <w:t xml:space="preserve"> </w:t>
      </w:r>
      <w:r w:rsidR="00EB7D4F">
        <w:t>than</w:t>
      </w:r>
      <w:r w:rsidR="00D31AC9">
        <w:t xml:space="preserve"> participants who planned their in-games </w:t>
      </w:r>
      <w:proofErr w:type="gramStart"/>
      <w:r w:rsidR="003B1FE7">
        <w:t>purchases, and</w:t>
      </w:r>
      <w:proofErr w:type="gramEnd"/>
      <w:r w:rsidR="00EB7D4F">
        <w:t xml:space="preserve"> had</w:t>
      </w:r>
      <w:r w:rsidR="003B1FE7">
        <w:t xml:space="preserve"> more overall difficulties compared to non-purchasers.</w:t>
      </w:r>
    </w:p>
    <w:p w14:paraId="415C84B5" w14:textId="77777777" w:rsidR="002E5E4B" w:rsidRPr="00AB33EB" w:rsidRDefault="002E5E4B" w:rsidP="00AB33EB">
      <w:pPr>
        <w:pStyle w:val="Heading2"/>
      </w:pPr>
      <w:bookmarkStart w:id="52" w:name="_Toc106359520"/>
      <w:r w:rsidRPr="00AB33EB">
        <w:t>Which groups are most at</w:t>
      </w:r>
      <w:r w:rsidR="00A1581B">
        <w:t xml:space="preserve"> </w:t>
      </w:r>
      <w:r w:rsidRPr="00AB33EB">
        <w:t>risk or vulnerable to harm</w:t>
      </w:r>
      <w:r w:rsidR="00D2128A" w:rsidRPr="00AB33EB">
        <w:t xml:space="preserve"> from </w:t>
      </w:r>
      <w:r w:rsidR="00803986" w:rsidRPr="00AB33EB">
        <w:t xml:space="preserve">other </w:t>
      </w:r>
      <w:r w:rsidR="00D2128A" w:rsidRPr="00AB33EB">
        <w:t>in-game purchases</w:t>
      </w:r>
      <w:r w:rsidRPr="00AB33EB">
        <w:t>?</w:t>
      </w:r>
      <w:bookmarkEnd w:id="52"/>
    </w:p>
    <w:tbl>
      <w:tblPr>
        <w:tblStyle w:val="TableGrid"/>
        <w:tblW w:w="84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95"/>
      </w:tblGrid>
      <w:tr w:rsidR="009625F8" w14:paraId="0243B711" w14:textId="77777777" w:rsidTr="00261641">
        <w:trPr>
          <w:cnfStyle w:val="100000000000" w:firstRow="1" w:lastRow="0" w:firstColumn="0" w:lastColumn="0" w:oddVBand="0" w:evenVBand="0" w:oddHBand="0" w:evenHBand="0" w:firstRowFirstColumn="0" w:firstRowLastColumn="0" w:lastRowFirstColumn="0" w:lastRowLastColumn="0"/>
        </w:trPr>
        <w:tc>
          <w:tcPr>
            <w:tcW w:w="8495" w:type="dxa"/>
          </w:tcPr>
          <w:p w14:paraId="155BEA99" w14:textId="091FC4A1" w:rsidR="009625F8" w:rsidRPr="00AA29D5" w:rsidRDefault="009625F8" w:rsidP="00261641">
            <w:pPr>
              <w:pStyle w:val="BodyText"/>
              <w:spacing w:line="360" w:lineRule="auto"/>
              <w:rPr>
                <w:b/>
                <w:bCs/>
                <w:color w:val="FFFFFF" w:themeColor="background1"/>
              </w:rPr>
            </w:pPr>
            <w:r>
              <w:rPr>
                <w:b/>
                <w:bCs/>
                <w:color w:val="FFFFFF" w:themeColor="background1"/>
              </w:rPr>
              <w:t xml:space="preserve">Assessment of </w:t>
            </w:r>
            <w:r w:rsidR="00744589">
              <w:rPr>
                <w:b/>
                <w:bCs/>
                <w:color w:val="FFFFFF" w:themeColor="background1"/>
              </w:rPr>
              <w:t>strength and value</w:t>
            </w:r>
            <w:r>
              <w:rPr>
                <w:b/>
                <w:bCs/>
                <w:color w:val="FFFFFF" w:themeColor="background1"/>
              </w:rPr>
              <w:t xml:space="preserve"> of evidence for </w:t>
            </w:r>
            <w:r w:rsidR="00C74EEE" w:rsidRPr="00C74EEE">
              <w:rPr>
                <w:b/>
                <w:bCs/>
                <w:color w:val="FFFFFF" w:themeColor="background1"/>
              </w:rPr>
              <w:t xml:space="preserve">which groups are most at risk of harm related to </w:t>
            </w:r>
            <w:r w:rsidR="00A66FF9">
              <w:rPr>
                <w:b/>
                <w:bCs/>
                <w:color w:val="FFFFFF" w:themeColor="background1"/>
              </w:rPr>
              <w:t>other in-game</w:t>
            </w:r>
            <w:r w:rsidR="00C74EEE">
              <w:rPr>
                <w:b/>
                <w:bCs/>
                <w:color w:val="FFFFFF" w:themeColor="background1"/>
              </w:rPr>
              <w:t xml:space="preserve"> purchases</w:t>
            </w:r>
          </w:p>
        </w:tc>
      </w:tr>
      <w:tr w:rsidR="00C73441" w14:paraId="02F31777" w14:textId="77777777" w:rsidTr="00261641">
        <w:tc>
          <w:tcPr>
            <w:tcW w:w="8495" w:type="dxa"/>
            <w:shd w:val="clear" w:color="auto" w:fill="FFB3B3"/>
          </w:tcPr>
          <w:p w14:paraId="7AD2C596" w14:textId="40FA43A0" w:rsidR="00C73441" w:rsidRDefault="00C73441" w:rsidP="00C73441">
            <w:pPr>
              <w:pStyle w:val="BodyText"/>
              <w:spacing w:line="360" w:lineRule="auto"/>
            </w:pPr>
            <w:r>
              <w:rPr>
                <w:b/>
                <w:bCs/>
              </w:rPr>
              <w:t>Low-medium</w:t>
            </w:r>
            <w:r>
              <w:t xml:space="preserve"> – Evidence available of varying strength and </w:t>
            </w:r>
            <w:r w:rsidR="00412E1E">
              <w:t>value</w:t>
            </w:r>
            <w:r w:rsidR="00060A60">
              <w:t xml:space="preserve"> of demographic factors affecting relationship with harm (e.g. age, gender</w:t>
            </w:r>
            <w:r w:rsidR="00B4480A">
              <w:t>, income). Limited evidence of other factors</w:t>
            </w:r>
            <w:r>
              <w:t xml:space="preserve">. </w:t>
            </w:r>
          </w:p>
        </w:tc>
      </w:tr>
    </w:tbl>
    <w:p w14:paraId="42D7E01C" w14:textId="77777777" w:rsidR="002E5E4B" w:rsidRDefault="00215C39" w:rsidP="00897FF2">
      <w:pPr>
        <w:pStyle w:val="BodyText"/>
      </w:pPr>
      <w:r w:rsidRPr="00AE598B">
        <w:t xml:space="preserve">‘Pay-to-win’ gamers (in which players can pay to advance in the game) have been found to be a distinct consumer group with </w:t>
      </w:r>
      <w:r w:rsidR="00A1581B">
        <w:t xml:space="preserve">a </w:t>
      </w:r>
      <w:r w:rsidRPr="00AE598B">
        <w:t xml:space="preserve">considerable attraction to gambling (Steinmetz et al., 2021). </w:t>
      </w:r>
      <w:r w:rsidR="005F051E">
        <w:t>German studies</w:t>
      </w:r>
      <w:r w:rsidRPr="00AE598B">
        <w:t xml:space="preserve"> have reported a clear link between pay-to-win purchases and an increased risk of problem gaming (von </w:t>
      </w:r>
      <w:proofErr w:type="spellStart"/>
      <w:r w:rsidRPr="00AE598B">
        <w:t>Meduna</w:t>
      </w:r>
      <w:proofErr w:type="spellEnd"/>
      <w:r w:rsidRPr="00AE598B">
        <w:t xml:space="preserve"> et al., 2020) and problem gambling (Steinmetz et al., 2021; von </w:t>
      </w:r>
      <w:proofErr w:type="spellStart"/>
      <w:r w:rsidRPr="00AE598B">
        <w:t>Meduna</w:t>
      </w:r>
      <w:proofErr w:type="spellEnd"/>
      <w:r w:rsidRPr="00AE598B">
        <w:t xml:space="preserve"> et al., 2020)</w:t>
      </w:r>
      <w:r w:rsidR="005F051E">
        <w:t>.</w:t>
      </w:r>
      <w:r w:rsidRPr="00AE598B">
        <w:t xml:space="preserve"> </w:t>
      </w:r>
      <w:r w:rsidR="005F051E">
        <w:t>A</w:t>
      </w:r>
      <w:r w:rsidRPr="00AE598B">
        <w:t xml:space="preserve"> recent study of ‘pay-to-win’ gamers in Poland found that participants who had made more regular and higher payments experienced greater ‘pay-to-win problem gaming’ than other gamers (</w:t>
      </w:r>
      <w:proofErr w:type="spellStart"/>
      <w:r w:rsidRPr="00AE598B">
        <w:t>Lelonek-Kuleta</w:t>
      </w:r>
      <w:proofErr w:type="spellEnd"/>
      <w:r w:rsidRPr="00AE598B">
        <w:t xml:space="preserve"> et al., 2021). </w:t>
      </w:r>
    </w:p>
    <w:p w14:paraId="6EBD6EA2" w14:textId="5BC4D376" w:rsidR="005E59D0" w:rsidRDefault="00ED13F4" w:rsidP="00897FF2">
      <w:pPr>
        <w:pStyle w:val="BodyText"/>
      </w:pPr>
      <w:r>
        <w:t>In one</w:t>
      </w:r>
      <w:r w:rsidR="005F051E">
        <w:t xml:space="preserve"> </w:t>
      </w:r>
      <w:r>
        <w:t>study,</w:t>
      </w:r>
      <w:r w:rsidR="0019765F">
        <w:t xml:space="preserve"> </w:t>
      </w:r>
      <w:r>
        <w:t xml:space="preserve">several </w:t>
      </w:r>
      <w:r w:rsidR="008A75D1">
        <w:t xml:space="preserve">risk </w:t>
      </w:r>
      <w:r w:rsidR="005E59D0">
        <w:t>factors for problem gambling risk</w:t>
      </w:r>
      <w:r w:rsidR="00E45989">
        <w:t xml:space="preserve"> among </w:t>
      </w:r>
      <w:r w:rsidR="00245C93">
        <w:t>‘</w:t>
      </w:r>
      <w:r w:rsidR="00E45989">
        <w:t>pay-to-win</w:t>
      </w:r>
      <w:r w:rsidR="00245C93">
        <w:t>’</w:t>
      </w:r>
      <w:r w:rsidR="00E45989">
        <w:t xml:space="preserve"> gamers</w:t>
      </w:r>
      <w:r>
        <w:t xml:space="preserve"> were identified. </w:t>
      </w:r>
      <w:proofErr w:type="gramStart"/>
      <w:r w:rsidR="00AF27E8">
        <w:t>Th</w:t>
      </w:r>
      <w:r w:rsidR="002C1943">
        <w:t>ese</w:t>
      </w:r>
      <w:r w:rsidR="00AF27E8">
        <w:t xml:space="preserve"> included age (younger)</w:t>
      </w:r>
      <w:proofErr w:type="gramEnd"/>
      <w:r w:rsidR="00F36065">
        <w:t>; sex (</w:t>
      </w:r>
      <w:r w:rsidR="008A75D1">
        <w:t>male</w:t>
      </w:r>
      <w:r w:rsidR="00F36065">
        <w:t xml:space="preserve">); </w:t>
      </w:r>
      <w:r w:rsidR="008A75D1">
        <w:t xml:space="preserve">not </w:t>
      </w:r>
      <w:r w:rsidR="00147F1E">
        <w:t xml:space="preserve">pursuing an apprenticeship; and </w:t>
      </w:r>
      <w:r w:rsidR="008A75D1">
        <w:t xml:space="preserve">lower </w:t>
      </w:r>
      <w:r w:rsidR="00147F1E">
        <w:t>household income (Steinmetz et al., 2021).</w:t>
      </w:r>
      <w:r w:rsidR="008A75D1">
        <w:t xml:space="preserve"> </w:t>
      </w:r>
      <w:proofErr w:type="spellStart"/>
      <w:r w:rsidR="005B54B4">
        <w:t>Lelonek-Kuleta</w:t>
      </w:r>
      <w:proofErr w:type="spellEnd"/>
      <w:r w:rsidR="005B54B4">
        <w:t xml:space="preserve"> and colleagues (2021) found that while men played pay-to-win games more frequently, women were more likely to make in-game purchases</w:t>
      </w:r>
      <w:r w:rsidR="00070B0A">
        <w:t xml:space="preserve"> – potentially exposing them to greater risk</w:t>
      </w:r>
      <w:r w:rsidR="000B0D27">
        <w:t xml:space="preserve"> of harm</w:t>
      </w:r>
      <w:r w:rsidR="005B54B4">
        <w:t>.</w:t>
      </w:r>
    </w:p>
    <w:p w14:paraId="5EBC6377" w14:textId="77777777" w:rsidR="00984FFE" w:rsidRDefault="00984FFE">
      <w:pPr>
        <w:suppressAutoHyphens w:val="0"/>
        <w:spacing w:before="0" w:line="240" w:lineRule="auto"/>
        <w:jc w:val="left"/>
        <w:rPr>
          <w:rFonts w:cs="Arial"/>
          <w:color w:val="62136D"/>
          <w:kern w:val="32"/>
          <w:sz w:val="38"/>
          <w:szCs w:val="38"/>
        </w:rPr>
      </w:pPr>
      <w:r>
        <w:br w:type="page"/>
      </w:r>
    </w:p>
    <w:p w14:paraId="744A333C" w14:textId="4D4B59AF" w:rsidR="002E5E4B" w:rsidRPr="002C1943" w:rsidRDefault="002E5E4B" w:rsidP="002C1943">
      <w:pPr>
        <w:pStyle w:val="Heading2"/>
      </w:pPr>
      <w:bookmarkStart w:id="53" w:name="_Toc106359521"/>
      <w:r w:rsidRPr="002C1943">
        <w:lastRenderedPageBreak/>
        <w:t xml:space="preserve">What </w:t>
      </w:r>
      <w:r w:rsidR="002639B5">
        <w:t>other factors influence</w:t>
      </w:r>
      <w:r w:rsidR="002639B5" w:rsidRPr="002C1943" w:rsidDel="002639B5">
        <w:t xml:space="preserve"> </w:t>
      </w:r>
      <w:r w:rsidRPr="002C1943">
        <w:t>harm</w:t>
      </w:r>
      <w:r w:rsidR="00D2128A" w:rsidRPr="002C1943">
        <w:t xml:space="preserve"> from </w:t>
      </w:r>
      <w:r w:rsidR="00803986" w:rsidRPr="002C1943">
        <w:t xml:space="preserve">other </w:t>
      </w:r>
      <w:r w:rsidR="00D2128A" w:rsidRPr="002C1943">
        <w:t>in-game purchases</w:t>
      </w:r>
      <w:r w:rsidRPr="002C1943">
        <w:t>?</w:t>
      </w:r>
      <w:bookmarkEnd w:id="53"/>
    </w:p>
    <w:tbl>
      <w:tblPr>
        <w:tblStyle w:val="TableGrid"/>
        <w:tblW w:w="84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95"/>
      </w:tblGrid>
      <w:tr w:rsidR="009625F8" w14:paraId="589BA343" w14:textId="77777777" w:rsidTr="00261641">
        <w:trPr>
          <w:cnfStyle w:val="100000000000" w:firstRow="1" w:lastRow="0" w:firstColumn="0" w:lastColumn="0" w:oddVBand="0" w:evenVBand="0" w:oddHBand="0" w:evenHBand="0" w:firstRowFirstColumn="0" w:firstRowLastColumn="0" w:lastRowFirstColumn="0" w:lastRowLastColumn="0"/>
        </w:trPr>
        <w:tc>
          <w:tcPr>
            <w:tcW w:w="8495" w:type="dxa"/>
          </w:tcPr>
          <w:p w14:paraId="5D9C84B3" w14:textId="2AEF1548" w:rsidR="009625F8" w:rsidRPr="00AA29D5" w:rsidRDefault="009625F8" w:rsidP="00261641">
            <w:pPr>
              <w:pStyle w:val="BodyText"/>
              <w:spacing w:line="360" w:lineRule="auto"/>
              <w:rPr>
                <w:b/>
                <w:bCs/>
                <w:color w:val="FFFFFF" w:themeColor="background1"/>
              </w:rPr>
            </w:pPr>
            <w:r>
              <w:rPr>
                <w:b/>
                <w:bCs/>
                <w:color w:val="FFFFFF" w:themeColor="background1"/>
              </w:rPr>
              <w:t xml:space="preserve">Assessment of </w:t>
            </w:r>
            <w:r w:rsidR="00744589">
              <w:rPr>
                <w:b/>
                <w:bCs/>
                <w:color w:val="FFFFFF" w:themeColor="background1"/>
              </w:rPr>
              <w:t xml:space="preserve">strength and value </w:t>
            </w:r>
            <w:r>
              <w:rPr>
                <w:b/>
                <w:bCs/>
                <w:color w:val="FFFFFF" w:themeColor="background1"/>
              </w:rPr>
              <w:t xml:space="preserve">of evidence for </w:t>
            </w:r>
            <w:r w:rsidR="00C74EEE" w:rsidRPr="00C74EEE">
              <w:rPr>
                <w:b/>
                <w:bCs/>
                <w:color w:val="FFFFFF" w:themeColor="background1"/>
              </w:rPr>
              <w:t xml:space="preserve">key predictors, </w:t>
            </w:r>
            <w:proofErr w:type="gramStart"/>
            <w:r w:rsidR="00C74EEE" w:rsidRPr="00C74EEE">
              <w:rPr>
                <w:b/>
                <w:bCs/>
                <w:color w:val="FFFFFF" w:themeColor="background1"/>
              </w:rPr>
              <w:t>mediators</w:t>
            </w:r>
            <w:proofErr w:type="gramEnd"/>
            <w:r w:rsidR="00C74EEE" w:rsidRPr="00C74EEE">
              <w:rPr>
                <w:b/>
                <w:bCs/>
                <w:color w:val="FFFFFF" w:themeColor="background1"/>
              </w:rPr>
              <w:t xml:space="preserve"> and moderators of harm from </w:t>
            </w:r>
            <w:r w:rsidR="00A66FF9">
              <w:rPr>
                <w:b/>
                <w:bCs/>
                <w:color w:val="FFFFFF" w:themeColor="background1"/>
              </w:rPr>
              <w:t>other in-game</w:t>
            </w:r>
            <w:r w:rsidR="00C74EEE">
              <w:rPr>
                <w:b/>
                <w:bCs/>
                <w:color w:val="FFFFFF" w:themeColor="background1"/>
              </w:rPr>
              <w:t xml:space="preserve"> purchases</w:t>
            </w:r>
          </w:p>
        </w:tc>
      </w:tr>
      <w:tr w:rsidR="007848D3" w14:paraId="7238FDAD" w14:textId="77777777" w:rsidTr="007848D3">
        <w:tc>
          <w:tcPr>
            <w:tcW w:w="8495" w:type="dxa"/>
            <w:shd w:val="clear" w:color="auto" w:fill="FABF8F" w:themeFill="accent6" w:themeFillTint="99"/>
          </w:tcPr>
          <w:p w14:paraId="65D3322E" w14:textId="19D4DECF" w:rsidR="007848D3" w:rsidRDefault="007848D3" w:rsidP="007848D3">
            <w:pPr>
              <w:pStyle w:val="BodyText"/>
              <w:spacing w:line="360" w:lineRule="auto"/>
            </w:pPr>
            <w:r>
              <w:rPr>
                <w:b/>
                <w:bCs/>
              </w:rPr>
              <w:t>Medium</w:t>
            </w:r>
            <w:r>
              <w:t xml:space="preserve"> – </w:t>
            </w:r>
            <w:r w:rsidR="00E321F1">
              <w:t xml:space="preserve">Some high strength and </w:t>
            </w:r>
            <w:r w:rsidR="00F474D4">
              <w:t>value</w:t>
            </w:r>
            <w:r w:rsidR="00E321F1">
              <w:t xml:space="preserve"> evidence of</w:t>
            </w:r>
            <w:r w:rsidR="00754412">
              <w:t xml:space="preserve"> behavioural (e.g. esports betting) and</w:t>
            </w:r>
            <w:r w:rsidR="00E321F1">
              <w:t xml:space="preserve"> </w:t>
            </w:r>
            <w:r w:rsidR="007F76A3">
              <w:t xml:space="preserve">trait-based (e.g. impulsivity) </w:t>
            </w:r>
            <w:r w:rsidR="00E321F1">
              <w:t xml:space="preserve">predictors of gambling problems. </w:t>
            </w:r>
            <w:r w:rsidR="00274F5B">
              <w:t>Limited</w:t>
            </w:r>
            <w:r w:rsidR="00E321F1">
              <w:t xml:space="preserve"> information available about other harms.</w:t>
            </w:r>
          </w:p>
        </w:tc>
      </w:tr>
    </w:tbl>
    <w:p w14:paraId="7A00FC40" w14:textId="77777777" w:rsidR="003B2EE3" w:rsidRPr="007159B2" w:rsidRDefault="003B2EE3" w:rsidP="00814E92">
      <w:pPr>
        <w:pStyle w:val="Heading3"/>
      </w:pPr>
      <w:r w:rsidRPr="007159B2">
        <w:t>Mediators</w:t>
      </w:r>
    </w:p>
    <w:p w14:paraId="12DA11C6" w14:textId="75E34754" w:rsidR="003B2EE3" w:rsidRDefault="006C0119" w:rsidP="003B2EE3">
      <w:pPr>
        <w:pStyle w:val="BodyText"/>
      </w:pPr>
      <w:r>
        <w:t>No</w:t>
      </w:r>
      <w:r w:rsidR="00081721">
        <w:t>ne of the</w:t>
      </w:r>
      <w:r>
        <w:t xml:space="preserve"> articles </w:t>
      </w:r>
      <w:r w:rsidR="00DC298B">
        <w:t xml:space="preserve">that we </w:t>
      </w:r>
      <w:r>
        <w:t xml:space="preserve">reviewed </w:t>
      </w:r>
      <w:r w:rsidR="00DC298B">
        <w:t xml:space="preserve">specifically </w:t>
      </w:r>
      <w:r w:rsidR="00081721">
        <w:t xml:space="preserve">examined </w:t>
      </w:r>
      <w:r>
        <w:t>mediation of other in-game purchase</w:t>
      </w:r>
      <w:r w:rsidR="00850EEE">
        <w:t>s</w:t>
      </w:r>
      <w:r w:rsidR="003754B3">
        <w:t>, although s</w:t>
      </w:r>
      <w:r w:rsidR="003B2EE3">
        <w:t>everal articles ‘controlled for’ other factors which may have explained or ‘caused’ the observed changes in harm.</w:t>
      </w:r>
      <w:r w:rsidR="00BD4BB9">
        <w:t xml:space="preserve"> </w:t>
      </w:r>
      <w:r w:rsidR="00C409CE">
        <w:t xml:space="preserve">If the </w:t>
      </w:r>
      <w:r w:rsidR="00EB0CA8">
        <w:t xml:space="preserve">inclusion of the </w:t>
      </w:r>
      <w:r w:rsidR="00FA3C98">
        <w:t xml:space="preserve">additional </w:t>
      </w:r>
      <w:r w:rsidR="0096550C">
        <w:t>factors</w:t>
      </w:r>
      <w:r w:rsidR="00EB0CA8">
        <w:t xml:space="preserve"> weakened the relationship between </w:t>
      </w:r>
      <w:r w:rsidR="00DA632E">
        <w:t>other in-game purchases and harm</w:t>
      </w:r>
      <w:r w:rsidR="00B0293B">
        <w:t xml:space="preserve"> it may</w:t>
      </w:r>
      <w:r w:rsidR="00DA632E">
        <w:t xml:space="preserve"> </w:t>
      </w:r>
      <w:r w:rsidR="00A16C58">
        <w:t>have</w:t>
      </w:r>
      <w:r w:rsidR="00DA632E">
        <w:t xml:space="preserve"> </w:t>
      </w:r>
      <w:r w:rsidR="00163050">
        <w:t>indicate</w:t>
      </w:r>
      <w:r w:rsidR="00A16C58">
        <w:t>d</w:t>
      </w:r>
      <w:r w:rsidR="00850EEE">
        <w:t xml:space="preserve"> </w:t>
      </w:r>
      <w:r w:rsidR="00D41385">
        <w:t>partial</w:t>
      </w:r>
      <w:r w:rsidR="00163050">
        <w:t xml:space="preserve"> </w:t>
      </w:r>
      <w:r w:rsidR="0096550C">
        <w:t>mediation</w:t>
      </w:r>
      <w:r w:rsidR="00D41385">
        <w:t>, though further investigation would be required</w:t>
      </w:r>
      <w:r w:rsidR="00163050">
        <w:t>.</w:t>
      </w:r>
    </w:p>
    <w:p w14:paraId="52E88968" w14:textId="77777777" w:rsidR="003B2EE3" w:rsidRDefault="003B2EE3" w:rsidP="003B2EE3">
      <w:pPr>
        <w:pStyle w:val="BodyText"/>
      </w:pPr>
      <w:r w:rsidRPr="006262C5">
        <w:t>A</w:t>
      </w:r>
      <w:r w:rsidDel="002608EC">
        <w:t xml:space="preserve"> </w:t>
      </w:r>
      <w:r>
        <w:t>medium-value</w:t>
      </w:r>
      <w:r w:rsidRPr="006262C5">
        <w:t xml:space="preserve"> longitudinal survey of German adolescents (12</w:t>
      </w:r>
      <w:r>
        <w:t>–</w:t>
      </w:r>
      <w:r w:rsidRPr="006262C5">
        <w:t>17</w:t>
      </w:r>
      <w:r>
        <w:t xml:space="preserve"> years</w:t>
      </w:r>
      <w:r w:rsidRPr="006262C5">
        <w:t xml:space="preserve">) </w:t>
      </w:r>
      <w:r>
        <w:t>examined video gaming behaviours, including in-game purchases, as mediators between simulated gambling involvement and problem gambling (</w:t>
      </w:r>
      <w:proofErr w:type="spellStart"/>
      <w:r>
        <w:t>Brosowski</w:t>
      </w:r>
      <w:proofErr w:type="spellEnd"/>
      <w:r>
        <w:t xml:space="preserve"> et al., 2020). In-game purchases </w:t>
      </w:r>
      <w:r w:rsidRPr="002C1943">
        <w:rPr>
          <w:i/>
        </w:rPr>
        <w:t xml:space="preserve">were not </w:t>
      </w:r>
      <w:r>
        <w:t>found to mediate t</w:t>
      </w:r>
      <w:r w:rsidRPr="006262C5">
        <w:t xml:space="preserve">he relationship between simulated gambling </w:t>
      </w:r>
      <w:r>
        <w:t xml:space="preserve">involvement </w:t>
      </w:r>
      <w:r w:rsidRPr="006262C5">
        <w:t xml:space="preserve">(within video games, apps, social </w:t>
      </w:r>
      <w:proofErr w:type="gramStart"/>
      <w:r w:rsidRPr="006262C5">
        <w:t>networks</w:t>
      </w:r>
      <w:proofErr w:type="gramEnd"/>
      <w:r w:rsidRPr="006262C5">
        <w:t xml:space="preserve"> and demo games) and problem gambling </w:t>
      </w:r>
      <w:r>
        <w:t>one year later</w:t>
      </w:r>
      <w:r w:rsidRPr="006262C5">
        <w:t>.</w:t>
      </w:r>
    </w:p>
    <w:p w14:paraId="3DEC48A0" w14:textId="77777777" w:rsidR="003B2EE3" w:rsidRDefault="003B2EE3" w:rsidP="003B2EE3">
      <w:pPr>
        <w:pStyle w:val="BodyText"/>
      </w:pPr>
      <w:r>
        <w:t xml:space="preserve">Another study </w:t>
      </w:r>
      <w:r w:rsidRPr="000E248A">
        <w:t>of adult gamers by King and colleagues (2020)</w:t>
      </w:r>
      <w:r>
        <w:t xml:space="preserve"> found that expenditure in </w:t>
      </w:r>
      <w:r w:rsidRPr="000E248A">
        <w:rPr>
          <w:i/>
          <w:iCs/>
        </w:rPr>
        <w:t>Fortnite</w:t>
      </w:r>
      <w:r w:rsidRPr="000E248A">
        <w:t xml:space="preserve"> </w:t>
      </w:r>
      <w:r>
        <w:t xml:space="preserve">was not predictive of having a gaming disorder when controlling for demographics, other gaming behaviours, </w:t>
      </w:r>
      <w:proofErr w:type="gramStart"/>
      <w:r>
        <w:t>impulsivity</w:t>
      </w:r>
      <w:proofErr w:type="gramEnd"/>
      <w:r>
        <w:t xml:space="preserve"> and perceived values of gaming. </w:t>
      </w:r>
    </w:p>
    <w:p w14:paraId="35490999" w14:textId="5D47D016" w:rsidR="000D354D" w:rsidRPr="003F55E3" w:rsidRDefault="000D354D" w:rsidP="00814E92">
      <w:pPr>
        <w:pStyle w:val="Heading3"/>
      </w:pPr>
      <w:r>
        <w:t>Predictors</w:t>
      </w:r>
    </w:p>
    <w:p w14:paraId="3C56A17E" w14:textId="0EC724B2" w:rsidR="00CF36DA" w:rsidRDefault="00790CEF" w:rsidP="00CF36DA">
      <w:pPr>
        <w:pStyle w:val="BodyText"/>
      </w:pPr>
      <w:r>
        <w:t xml:space="preserve">In a model developed by </w:t>
      </w:r>
      <w:proofErr w:type="spellStart"/>
      <w:r>
        <w:t>Lelonek-Kuleta</w:t>
      </w:r>
      <w:proofErr w:type="spellEnd"/>
      <w:r>
        <w:t xml:space="preserve"> </w:t>
      </w:r>
      <w:r w:rsidR="00F816FE">
        <w:t xml:space="preserve">and </w:t>
      </w:r>
      <w:proofErr w:type="spellStart"/>
      <w:r>
        <w:t>Bartzcuk</w:t>
      </w:r>
      <w:proofErr w:type="spellEnd"/>
      <w:r>
        <w:t xml:space="preserve"> (2021)</w:t>
      </w:r>
      <w:r w:rsidR="003F7CDA">
        <w:t xml:space="preserve"> using data from esports bettors</w:t>
      </w:r>
      <w:r>
        <w:t>, the authors</w:t>
      </w:r>
      <w:r w:rsidR="00E85D79">
        <w:t xml:space="preserve"> found that </w:t>
      </w:r>
      <w:r w:rsidR="007516CD">
        <w:t xml:space="preserve">participating in </w:t>
      </w:r>
      <w:r w:rsidR="00E85D79">
        <w:t>pay-to-win gaming was a predictor of</w:t>
      </w:r>
      <w:r>
        <w:t xml:space="preserve"> problem gambling</w:t>
      </w:r>
      <w:r w:rsidR="00C5599D">
        <w:t xml:space="preserve">. Other </w:t>
      </w:r>
      <w:r w:rsidR="00EB62C4">
        <w:t>co-</w:t>
      </w:r>
      <w:r w:rsidR="00C5599D">
        <w:t>predict</w:t>
      </w:r>
      <w:r w:rsidR="00EB62C4">
        <w:t>ors of</w:t>
      </w:r>
      <w:r w:rsidR="00C5599D">
        <w:t xml:space="preserve"> problem gambling</w:t>
      </w:r>
      <w:r w:rsidR="00EB62C4">
        <w:t xml:space="preserve"> were identified</w:t>
      </w:r>
      <w:r w:rsidR="007516CD">
        <w:t xml:space="preserve"> </w:t>
      </w:r>
      <w:r w:rsidR="00EA4103">
        <w:t>in this model</w:t>
      </w:r>
      <w:r w:rsidR="00CF36DA">
        <w:t xml:space="preserve">, </w:t>
      </w:r>
      <w:r w:rsidR="001A7732">
        <w:t>including</w:t>
      </w:r>
      <w:r w:rsidR="00EB62C4">
        <w:t xml:space="preserve"> esports betting</w:t>
      </w:r>
      <w:r w:rsidR="001A7732">
        <w:t xml:space="preserve"> </w:t>
      </w:r>
      <w:r w:rsidR="00921D7C">
        <w:t xml:space="preserve">(more expenditure and time) </w:t>
      </w:r>
      <w:r w:rsidR="00EB62C4">
        <w:t>as well as coping and financial motivations.</w:t>
      </w:r>
    </w:p>
    <w:p w14:paraId="66E2597A" w14:textId="31C95443" w:rsidR="000D354D" w:rsidRDefault="0027442F" w:rsidP="00897FF2">
      <w:pPr>
        <w:pStyle w:val="BodyText"/>
      </w:pPr>
      <w:r>
        <w:t>Steinmetz</w:t>
      </w:r>
      <w:r w:rsidR="00F32BF4">
        <w:t xml:space="preserve"> and colleagues (2021) also identified several</w:t>
      </w:r>
      <w:r w:rsidR="00534EB9">
        <w:t xml:space="preserve"> additional</w:t>
      </w:r>
      <w:r w:rsidR="00F32BF4">
        <w:t xml:space="preserve"> </w:t>
      </w:r>
      <w:r w:rsidR="00534EB9">
        <w:t>f</w:t>
      </w:r>
      <w:r w:rsidR="00F32BF4">
        <w:t>actors</w:t>
      </w:r>
      <w:r w:rsidR="008645EF">
        <w:t xml:space="preserve"> </w:t>
      </w:r>
      <w:r w:rsidR="00EE6109">
        <w:t xml:space="preserve">– </w:t>
      </w:r>
      <w:r w:rsidR="008645EF">
        <w:t xml:space="preserve">alongside pay-to-win gaming frequency – </w:t>
      </w:r>
      <w:r w:rsidR="008605A8">
        <w:t>that</w:t>
      </w:r>
      <w:r w:rsidR="00E94DF2">
        <w:t xml:space="preserve"> </w:t>
      </w:r>
      <w:r w:rsidR="00534EB9">
        <w:t>predict</w:t>
      </w:r>
      <w:r w:rsidR="008605A8">
        <w:t>ed</w:t>
      </w:r>
      <w:r w:rsidR="00EE6109">
        <w:t xml:space="preserve"> the risk of</w:t>
      </w:r>
      <w:r w:rsidR="00F32BF4">
        <w:t xml:space="preserve"> problem gambling</w:t>
      </w:r>
      <w:r w:rsidR="008605A8">
        <w:t xml:space="preserve">, </w:t>
      </w:r>
      <w:r w:rsidR="00C124C4">
        <w:t>includ</w:t>
      </w:r>
      <w:r w:rsidR="008605A8">
        <w:t>ing</w:t>
      </w:r>
      <w:r w:rsidR="00F32BF4">
        <w:t xml:space="preserve">: </w:t>
      </w:r>
    </w:p>
    <w:p w14:paraId="16589877" w14:textId="012B7582" w:rsidR="000D354D" w:rsidRDefault="00DE748F" w:rsidP="000B2101">
      <w:pPr>
        <w:pStyle w:val="ListBullet"/>
      </w:pPr>
      <w:r>
        <w:t>more frequent pay-to-win transactions</w:t>
      </w:r>
    </w:p>
    <w:p w14:paraId="555DE067" w14:textId="5F4FC426" w:rsidR="000D354D" w:rsidRDefault="00DE748F" w:rsidP="000B2101">
      <w:pPr>
        <w:pStyle w:val="ListBullet"/>
      </w:pPr>
      <w:r>
        <w:t xml:space="preserve">lower </w:t>
      </w:r>
      <w:r w:rsidR="00652D65">
        <w:t xml:space="preserve">pay-to-win spending and </w:t>
      </w:r>
    </w:p>
    <w:p w14:paraId="6D499AEC" w14:textId="77777777" w:rsidR="000D354D" w:rsidRDefault="00652D65" w:rsidP="000B2101">
      <w:pPr>
        <w:pStyle w:val="ListBullet"/>
      </w:pPr>
      <w:r>
        <w:t xml:space="preserve">higher risk pay-to win gaming. </w:t>
      </w:r>
    </w:p>
    <w:p w14:paraId="5F30C8BD" w14:textId="451CD84C" w:rsidR="00CF36DA" w:rsidRPr="00CF36DA" w:rsidRDefault="00CF36DA" w:rsidP="000D354D">
      <w:pPr>
        <w:pStyle w:val="BodyText"/>
      </w:pPr>
      <w:r w:rsidRPr="00CF36DA">
        <w:t>It is unclear whether any of these factors mediate or moderate the presentation of harm.</w:t>
      </w:r>
    </w:p>
    <w:bookmarkEnd w:id="43"/>
    <w:p w14:paraId="044E7F3C" w14:textId="77777777" w:rsidR="006119C5" w:rsidRDefault="006119C5" w:rsidP="00327121">
      <w:pPr>
        <w:suppressAutoHyphens w:val="0"/>
        <w:spacing w:before="0" w:line="240" w:lineRule="auto"/>
        <w:jc w:val="left"/>
        <w:rPr>
          <w:rFonts w:eastAsia="Times New Roman"/>
          <w:lang w:bidi="en-US"/>
        </w:rPr>
      </w:pPr>
      <w:r>
        <w:br w:type="page"/>
      </w:r>
    </w:p>
    <w:p w14:paraId="5273D971" w14:textId="492E7186" w:rsidR="00B97FFE" w:rsidRDefault="00B97FFE" w:rsidP="002B641C">
      <w:pPr>
        <w:pStyle w:val="Heading1"/>
      </w:pPr>
      <w:bookmarkStart w:id="54" w:name="_Toc97649961"/>
      <w:bookmarkStart w:id="55" w:name="_Toc106359522"/>
      <w:bookmarkStart w:id="56" w:name="_Hlk95687478"/>
      <w:r>
        <w:lastRenderedPageBreak/>
        <w:t>Mitigation and regulation</w:t>
      </w:r>
      <w:bookmarkEnd w:id="54"/>
      <w:bookmarkEnd w:id="55"/>
    </w:p>
    <w:p w14:paraId="6782ACA9" w14:textId="77777777" w:rsidR="006E41C6" w:rsidRDefault="006E41C6" w:rsidP="006E41C6">
      <w:pPr>
        <w:pStyle w:val="BoxHeading1"/>
        <w:spacing w:after="120"/>
      </w:pPr>
      <w:r>
        <w:t xml:space="preserve">Standard </w:t>
      </w:r>
      <w:r w:rsidRPr="00B97FFE">
        <w:t>definitions</w:t>
      </w:r>
      <w:r>
        <w:t xml:space="preserve"> and application</w:t>
      </w:r>
    </w:p>
    <w:p w14:paraId="1B26AB56" w14:textId="77777777" w:rsidR="006E41C6" w:rsidRDefault="006E41C6" w:rsidP="006E41C6">
      <w:pPr>
        <w:pStyle w:val="BoxText"/>
      </w:pPr>
      <w:r>
        <w:t>T</w:t>
      </w:r>
      <w:r w:rsidRPr="001C0D29">
        <w:t>o facilitate effective harm</w:t>
      </w:r>
      <w:r>
        <w:t xml:space="preserve"> </w:t>
      </w:r>
      <w:r w:rsidRPr="001C0D29">
        <w:t>minimisation,</w:t>
      </w:r>
      <w:r>
        <w:t xml:space="preserve"> the </w:t>
      </w:r>
      <w:r w:rsidRPr="001C0D29">
        <w:t xml:space="preserve">authors </w:t>
      </w:r>
      <w:r>
        <w:t xml:space="preserve">of the reviewed papers </w:t>
      </w:r>
      <w:r w:rsidDel="00FF631B">
        <w:t xml:space="preserve">(e.g. Dickins &amp; Thomas, 2016; </w:t>
      </w:r>
      <w:proofErr w:type="spellStart"/>
      <w:r w:rsidDel="00FF631B">
        <w:t>Gainsbury</w:t>
      </w:r>
      <w:proofErr w:type="spellEnd"/>
      <w:r>
        <w:t xml:space="preserve">, </w:t>
      </w:r>
      <w:r w:rsidRPr="00FF2FE2">
        <w:t xml:space="preserve">King, </w:t>
      </w:r>
      <w:r>
        <w:t xml:space="preserve">Abarbanel </w:t>
      </w:r>
      <w:r w:rsidDel="00FF631B">
        <w:t xml:space="preserve">et al., 2015a; King &amp; </w:t>
      </w:r>
      <w:proofErr w:type="spellStart"/>
      <w:r w:rsidDel="00FF631B">
        <w:t>Delfabbro</w:t>
      </w:r>
      <w:proofErr w:type="spellEnd"/>
      <w:r w:rsidDel="00FF631B">
        <w:t xml:space="preserve">, 2016; </w:t>
      </w:r>
      <w:proofErr w:type="spellStart"/>
      <w:r w:rsidDel="00FF631B">
        <w:t>Kolandai-Matchett</w:t>
      </w:r>
      <w:proofErr w:type="spellEnd"/>
      <w:r w:rsidDel="00FF631B">
        <w:t xml:space="preserve"> &amp; Abbott, 2021)</w:t>
      </w:r>
      <w:r>
        <w:t xml:space="preserve"> recommended</w:t>
      </w:r>
      <w:r w:rsidRPr="001C0D29">
        <w:t xml:space="preserve"> the need for</w:t>
      </w:r>
      <w:r w:rsidDel="00FF631B">
        <w:t>:</w:t>
      </w:r>
    </w:p>
    <w:p w14:paraId="3587B0D9" w14:textId="77777777" w:rsidR="006E41C6" w:rsidRPr="000B2101" w:rsidRDefault="006E41C6" w:rsidP="006E41C6">
      <w:pPr>
        <w:pStyle w:val="BoxBulletList"/>
      </w:pPr>
      <w:r w:rsidRPr="000B2101">
        <w:t>consistent definitions for specific products and features (e.g. loot boxes, simulated gambling, in-game purchases)</w:t>
      </w:r>
    </w:p>
    <w:p w14:paraId="31984DEC" w14:textId="77777777" w:rsidR="006E41C6" w:rsidRPr="000B2101" w:rsidRDefault="006E41C6" w:rsidP="006E41C6">
      <w:pPr>
        <w:pStyle w:val="BoxBulletList"/>
      </w:pPr>
      <w:r w:rsidRPr="000B2101">
        <w:t>clear, objective criteria about what constitutes each product (e.g. features)</w:t>
      </w:r>
    </w:p>
    <w:p w14:paraId="3AF22F73" w14:textId="77777777" w:rsidR="006E41C6" w:rsidRPr="000B2101" w:rsidRDefault="006E41C6" w:rsidP="006E41C6">
      <w:pPr>
        <w:pStyle w:val="BoxBulletList"/>
      </w:pPr>
      <w:r w:rsidRPr="000B2101">
        <w:t xml:space="preserve">consistency in application of product definitions for regulation, including classification </w:t>
      </w:r>
    </w:p>
    <w:p w14:paraId="78132B03" w14:textId="77777777" w:rsidR="006E41C6" w:rsidRPr="000B2101" w:rsidRDefault="006E41C6" w:rsidP="006E41C6">
      <w:pPr>
        <w:pStyle w:val="BoxBulletList"/>
      </w:pPr>
      <w:r w:rsidRPr="000B2101">
        <w:t>flexibility built into the product definitions to be able to adapt quickly as new products emerge.</w:t>
      </w:r>
    </w:p>
    <w:p w14:paraId="126602EF" w14:textId="77777777" w:rsidR="006E41C6" w:rsidRDefault="006E41C6" w:rsidP="006E41C6">
      <w:pPr>
        <w:pStyle w:val="BoxHeading2"/>
      </w:pPr>
      <w:r>
        <w:t>Key findings</w:t>
      </w:r>
    </w:p>
    <w:p w14:paraId="6E8B5394" w14:textId="77777777" w:rsidR="006E41C6" w:rsidRDefault="006E41C6" w:rsidP="006E41C6">
      <w:pPr>
        <w:pStyle w:val="BoxText"/>
      </w:pPr>
      <w:r>
        <w:t xml:space="preserve">Several key themes emerged </w:t>
      </w:r>
      <w:r w:rsidRPr="00D55B45">
        <w:t>for harm</w:t>
      </w:r>
      <w:r>
        <w:t xml:space="preserve"> </w:t>
      </w:r>
      <w:r w:rsidRPr="00D55B45">
        <w:t>mitigati</w:t>
      </w:r>
      <w:r>
        <w:t>on and regulatory approaches related to loot boxes, simulated gambling and other in-game purchases including:</w:t>
      </w:r>
    </w:p>
    <w:p w14:paraId="72123CEA" w14:textId="77777777" w:rsidR="006E41C6" w:rsidRPr="000B2101" w:rsidRDefault="006E41C6" w:rsidP="006E41C6">
      <w:pPr>
        <w:pStyle w:val="BoxBulletList"/>
      </w:pPr>
      <w:r w:rsidRPr="000B2101">
        <w:t xml:space="preserve">Age restrictions for young people under 18 years, especially for in-game purchasing (loot boxes, simulated </w:t>
      </w:r>
      <w:proofErr w:type="gramStart"/>
      <w:r w:rsidRPr="000B2101">
        <w:t>gambling</w:t>
      </w:r>
      <w:proofErr w:type="gramEnd"/>
      <w:r w:rsidRPr="000B2101">
        <w:t xml:space="preserve"> and other in-game purchases).</w:t>
      </w:r>
    </w:p>
    <w:p w14:paraId="40B7C96E" w14:textId="77777777" w:rsidR="006E41C6" w:rsidRPr="000B2101" w:rsidRDefault="006E41C6" w:rsidP="006E41C6">
      <w:pPr>
        <w:pStyle w:val="BoxBulletList"/>
      </w:pPr>
      <w:r w:rsidRPr="000B2101">
        <w:t xml:space="preserve">Ability to set spending and/or time limits and/or restrictions on consumption of these products. </w:t>
      </w:r>
    </w:p>
    <w:p w14:paraId="65B75481" w14:textId="77777777" w:rsidR="006E41C6" w:rsidRPr="000B2101" w:rsidRDefault="006E41C6" w:rsidP="006E41C6">
      <w:pPr>
        <w:pStyle w:val="BoxBulletList"/>
      </w:pPr>
      <w:r w:rsidRPr="000B2101">
        <w:t>Self-exclusion options to disable simulated gambling features in games for individuals vulnerable to harm.</w:t>
      </w:r>
    </w:p>
    <w:p w14:paraId="4531C702" w14:textId="77777777" w:rsidR="006E41C6" w:rsidRPr="000B2101" w:rsidRDefault="006E41C6" w:rsidP="006E41C6">
      <w:pPr>
        <w:pStyle w:val="BoxBulletList"/>
      </w:pPr>
      <w:r w:rsidRPr="000B2101">
        <w:t>Clear labelling of gambling-like products and features in video games and messages on the potential risks associated with these products.</w:t>
      </w:r>
    </w:p>
    <w:p w14:paraId="21AC7204" w14:textId="77777777" w:rsidR="006E41C6" w:rsidRPr="000B2101" w:rsidRDefault="006E41C6" w:rsidP="006E41C6">
      <w:pPr>
        <w:pStyle w:val="BoxBulletList"/>
      </w:pPr>
      <w:r w:rsidRPr="000B2101">
        <w:t>Displaying the odds or chances of gaining rewards (winning) from loot boxes and simulated gambling games, ensuring they are displayed automatically and prominently to the consumer.</w:t>
      </w:r>
    </w:p>
    <w:p w14:paraId="6F9ED892" w14:textId="77777777" w:rsidR="006E41C6" w:rsidRPr="000B2101" w:rsidRDefault="006E41C6" w:rsidP="006E41C6">
      <w:pPr>
        <w:pStyle w:val="BoxBulletList"/>
      </w:pPr>
      <w:r w:rsidRPr="000B2101">
        <w:t>Provision of support information in games with loot boxes and simulated gambling (e.g. helplines, resources for safer gambling practices) and targeted to groups most at risk for harm.</w:t>
      </w:r>
    </w:p>
    <w:p w14:paraId="3BE74011" w14:textId="77777777" w:rsidR="006E41C6" w:rsidRPr="000B2101" w:rsidRDefault="006E41C6" w:rsidP="006E41C6">
      <w:pPr>
        <w:pStyle w:val="BoxBulletList"/>
      </w:pPr>
      <w:r w:rsidRPr="000B2101">
        <w:t>Education and public awareness about these products and their potential for harm, directed at at-risk groups and those who can support them.</w:t>
      </w:r>
    </w:p>
    <w:p w14:paraId="31919CBA" w14:textId="77777777" w:rsidR="006E41C6" w:rsidRPr="000B2101" w:rsidRDefault="006E41C6" w:rsidP="006E41C6">
      <w:pPr>
        <w:pStyle w:val="BoxBulletList"/>
      </w:pPr>
      <w:r w:rsidRPr="000B2101">
        <w:t>Intervention and treatment for problematic social casino game use, recognising the interaction with financial gambling.</w:t>
      </w:r>
    </w:p>
    <w:p w14:paraId="3A364929" w14:textId="77777777" w:rsidR="006E41C6" w:rsidRPr="00467942" w:rsidRDefault="006E41C6" w:rsidP="006E41C6">
      <w:pPr>
        <w:pStyle w:val="BoxBulletList"/>
      </w:pPr>
      <w:r>
        <w:t>E</w:t>
      </w:r>
      <w:r w:rsidRPr="00467942">
        <w:t xml:space="preserve">thical game design </w:t>
      </w:r>
      <w:r>
        <w:t xml:space="preserve">and </w:t>
      </w:r>
      <w:r w:rsidRPr="00467942">
        <w:t xml:space="preserve">removing or reducing the </w:t>
      </w:r>
      <w:r>
        <w:t>‘</w:t>
      </w:r>
      <w:r w:rsidRPr="00467942">
        <w:t>predatory</w:t>
      </w:r>
      <w:r>
        <w:t>’</w:t>
      </w:r>
      <w:r w:rsidRPr="00467942">
        <w:t xml:space="preserve"> features and techniques </w:t>
      </w:r>
      <w:r>
        <w:t>that</w:t>
      </w:r>
      <w:r w:rsidRPr="00467942">
        <w:t xml:space="preserve"> encourage excessive expenditure</w:t>
      </w:r>
      <w:r>
        <w:t xml:space="preserve">, and </w:t>
      </w:r>
      <w:r w:rsidRPr="008B3900">
        <w:t>video gaming industry sharing player data with researchers and health professionals</w:t>
      </w:r>
      <w:r>
        <w:t>.</w:t>
      </w:r>
    </w:p>
    <w:p w14:paraId="15C5FCDF" w14:textId="4F3797A5" w:rsidR="006E41C6" w:rsidRPr="006E41C6" w:rsidRDefault="006E41C6" w:rsidP="006E41C6">
      <w:pPr>
        <w:pStyle w:val="BoxBulletList"/>
      </w:pPr>
      <w:r>
        <w:t>Regulation via gambling laws.</w:t>
      </w:r>
    </w:p>
    <w:bookmarkEnd w:id="56"/>
    <w:p w14:paraId="32F012FC" w14:textId="472D6CEE" w:rsidR="00837A46" w:rsidRDefault="00B97FFE" w:rsidP="002B641C">
      <w:pPr>
        <w:pStyle w:val="BodyText"/>
        <w:spacing w:after="240"/>
      </w:pPr>
      <w:r>
        <w:t xml:space="preserve">Recommendations for mitigating harm associated with loot boxes, simulated gambling and </w:t>
      </w:r>
      <w:r w:rsidR="00A66FF9">
        <w:t>other in-game</w:t>
      </w:r>
      <w:r>
        <w:t xml:space="preserve"> purchases in video games were included in most (40 of the 64) of the articles reviewed.</w:t>
      </w:r>
    </w:p>
    <w:p w14:paraId="2676655C" w14:textId="77777777" w:rsidR="00403412" w:rsidRPr="00D345D9" w:rsidRDefault="00403412" w:rsidP="002B641C">
      <w:pPr>
        <w:pStyle w:val="Heading2"/>
      </w:pPr>
      <w:bookmarkStart w:id="57" w:name="_Toc106359523"/>
      <w:r>
        <w:lastRenderedPageBreak/>
        <w:t xml:space="preserve">Consumer protection </w:t>
      </w:r>
      <w:r w:rsidR="0073384C">
        <w:t>measures</w:t>
      </w:r>
      <w:r>
        <w:t xml:space="preserve"> in video games</w:t>
      </w:r>
      <w:bookmarkEnd w:id="57"/>
    </w:p>
    <w:p w14:paraId="271B4EDE" w14:textId="77777777" w:rsidR="00403412" w:rsidRDefault="00A80180" w:rsidP="00897FF2">
      <w:pPr>
        <w:pStyle w:val="BodyText"/>
      </w:pPr>
      <w:r>
        <w:t>The need for stronger consumer protection measures in video games</w:t>
      </w:r>
      <w:r w:rsidR="001772EB">
        <w:t xml:space="preserve"> </w:t>
      </w:r>
      <w:r w:rsidR="00516016">
        <w:t xml:space="preserve">was </w:t>
      </w:r>
      <w:r w:rsidR="004130AF">
        <w:t>recommended</w:t>
      </w:r>
      <w:r w:rsidR="004A419D">
        <w:t xml:space="preserve"> by</w:t>
      </w:r>
      <w:r>
        <w:t xml:space="preserve"> </w:t>
      </w:r>
      <w:r w:rsidR="004130AF">
        <w:t xml:space="preserve">several </w:t>
      </w:r>
      <w:r w:rsidR="001820C0">
        <w:t>authors.</w:t>
      </w:r>
      <w:r w:rsidR="00955281">
        <w:t xml:space="preserve"> </w:t>
      </w:r>
      <w:r w:rsidR="00201B3B">
        <w:t>Recommendations related to</w:t>
      </w:r>
      <w:r w:rsidR="00955281">
        <w:t xml:space="preserve"> age restrictions, </w:t>
      </w:r>
      <w:r w:rsidR="00F46818">
        <w:t xml:space="preserve">limit setting, self-exclusion, product labelling, displaying odds/chances of winning, warning labels/messages, </w:t>
      </w:r>
      <w:r w:rsidR="00D5511C">
        <w:t xml:space="preserve">provision of </w:t>
      </w:r>
      <w:r w:rsidR="00F46818">
        <w:t xml:space="preserve">support information, </w:t>
      </w:r>
      <w:r w:rsidR="00D5511C">
        <w:t xml:space="preserve">and </w:t>
      </w:r>
      <w:r w:rsidR="00BE3A67">
        <w:t>ethical game design.</w:t>
      </w:r>
      <w:r w:rsidR="00FF050F">
        <w:t xml:space="preserve"> </w:t>
      </w:r>
    </w:p>
    <w:p w14:paraId="5DAD6952" w14:textId="77777777" w:rsidR="00E95096" w:rsidRDefault="00E95096" w:rsidP="00DE7335">
      <w:pPr>
        <w:pStyle w:val="Heading3"/>
      </w:pPr>
      <w:r>
        <w:t>Age restrictions</w:t>
      </w:r>
    </w:p>
    <w:p w14:paraId="60AE645A" w14:textId="3A114E4D" w:rsidR="00E170D0" w:rsidRDefault="00E95096" w:rsidP="00897FF2">
      <w:pPr>
        <w:pStyle w:val="BodyText"/>
      </w:pPr>
      <w:r>
        <w:t xml:space="preserve">Age-based restrictions were frequently recommended as a strategy to reduce harm from loot boxes, simulated </w:t>
      </w:r>
      <w:proofErr w:type="gramStart"/>
      <w:r>
        <w:t>gambling</w:t>
      </w:r>
      <w:proofErr w:type="gramEnd"/>
      <w:r>
        <w:t xml:space="preserve"> and </w:t>
      </w:r>
      <w:r w:rsidR="00A66FF9">
        <w:t>other in-game</w:t>
      </w:r>
      <w:r>
        <w:t xml:space="preserve"> purchases. Generally, </w:t>
      </w:r>
      <w:r w:rsidR="00D40B53">
        <w:t xml:space="preserve">the review found that </w:t>
      </w:r>
      <w:r>
        <w:t xml:space="preserve">adolescents were exposed to greater risk from these products than adults. While the articles reviewed </w:t>
      </w:r>
      <w:r w:rsidR="00C37DF6">
        <w:t xml:space="preserve">offered </w:t>
      </w:r>
      <w:r w:rsidR="00F06F06">
        <w:t>different</w:t>
      </w:r>
      <w:r>
        <w:t xml:space="preserve"> opinions regarding age restrictions, an area of </w:t>
      </w:r>
      <w:r w:rsidR="00837277">
        <w:t>consensus</w:t>
      </w:r>
      <w:r>
        <w:t xml:space="preserve"> was that spending money on loot boxes</w:t>
      </w:r>
      <w:r w:rsidR="004F0BA9">
        <w:t xml:space="preserve"> and </w:t>
      </w:r>
      <w:r>
        <w:t>simulated gambling</w:t>
      </w:r>
      <w:r w:rsidDel="00255434">
        <w:t xml:space="preserve"> </w:t>
      </w:r>
      <w:r>
        <w:t xml:space="preserve">in video games should be restricted to adults (18+), as many of these </w:t>
      </w:r>
      <w:r w:rsidR="006A356E">
        <w:t xml:space="preserve">products </w:t>
      </w:r>
      <w:r w:rsidR="00B147ED">
        <w:t xml:space="preserve">have </w:t>
      </w:r>
      <w:r>
        <w:t xml:space="preserve">features </w:t>
      </w:r>
      <w:r w:rsidR="005150D8">
        <w:t>and</w:t>
      </w:r>
      <w:r w:rsidR="005A38E7">
        <w:t>/or</w:t>
      </w:r>
      <w:r w:rsidR="005150D8">
        <w:t xml:space="preserve"> </w:t>
      </w:r>
      <w:r>
        <w:t xml:space="preserve">mechanics </w:t>
      </w:r>
      <w:r w:rsidR="005150D8">
        <w:t>similar to</w:t>
      </w:r>
      <w:r>
        <w:t xml:space="preserve"> </w:t>
      </w:r>
      <w:r w:rsidR="00323DD1">
        <w:t>commercial</w:t>
      </w:r>
      <w:r>
        <w:t xml:space="preserve"> </w:t>
      </w:r>
      <w:r w:rsidR="005A38E7">
        <w:t xml:space="preserve">monetary </w:t>
      </w:r>
      <w:r>
        <w:t xml:space="preserve">gambling products. </w:t>
      </w:r>
      <w:r w:rsidR="00E170D0">
        <w:t xml:space="preserve">Age verification </w:t>
      </w:r>
      <w:r w:rsidR="00A61AD2">
        <w:t xml:space="preserve">(as required for online gambling) </w:t>
      </w:r>
      <w:r w:rsidR="00E170D0">
        <w:t xml:space="preserve">was </w:t>
      </w:r>
      <w:r w:rsidR="008B2439">
        <w:t xml:space="preserve">also recommended </w:t>
      </w:r>
      <w:r w:rsidR="00E170D0">
        <w:t>(</w:t>
      </w:r>
      <w:proofErr w:type="spellStart"/>
      <w:r w:rsidR="00E170D0">
        <w:t>Gainsbury</w:t>
      </w:r>
      <w:proofErr w:type="spellEnd"/>
      <w:r w:rsidR="00721A91">
        <w:t>,</w:t>
      </w:r>
      <w:r w:rsidR="00281BF2">
        <w:t xml:space="preserve"> </w:t>
      </w:r>
      <w:r w:rsidR="00281BF2" w:rsidRPr="00FF2FE2">
        <w:t xml:space="preserve">King, </w:t>
      </w:r>
      <w:r w:rsidR="00281BF2">
        <w:t>Abarbanel</w:t>
      </w:r>
      <w:r w:rsidR="00E170D0">
        <w:t xml:space="preserve"> et al., 2015; King and </w:t>
      </w:r>
      <w:proofErr w:type="spellStart"/>
      <w:r w:rsidR="00E170D0">
        <w:t>Delfabbro</w:t>
      </w:r>
      <w:proofErr w:type="spellEnd"/>
      <w:r w:rsidR="00E170D0">
        <w:t>, 2016; Shi</w:t>
      </w:r>
      <w:r w:rsidR="00BF2484">
        <w:t xml:space="preserve">, Colder </w:t>
      </w:r>
      <w:proofErr w:type="spellStart"/>
      <w:r w:rsidR="00BF2484">
        <w:t>Carras</w:t>
      </w:r>
      <w:proofErr w:type="spellEnd"/>
      <w:r w:rsidR="00BF2484">
        <w:t>, Potenza, &amp; Turner</w:t>
      </w:r>
      <w:r w:rsidR="00E170D0">
        <w:t>, 2021; Steinmetz et al., 2021)</w:t>
      </w:r>
      <w:r w:rsidR="00A61AD2">
        <w:t>.</w:t>
      </w:r>
      <w:r w:rsidR="00E170D0">
        <w:t xml:space="preserve"> </w:t>
      </w:r>
    </w:p>
    <w:p w14:paraId="1D4CAA50" w14:textId="77777777" w:rsidR="00E95096" w:rsidRPr="002B641C" w:rsidRDefault="00E95096" w:rsidP="002B641C">
      <w:pPr>
        <w:pStyle w:val="Heading4"/>
      </w:pPr>
      <w:r w:rsidRPr="002B641C">
        <w:t>Loot boxes</w:t>
      </w:r>
    </w:p>
    <w:p w14:paraId="212E7BD5" w14:textId="2488123D" w:rsidR="00E95096" w:rsidRDefault="006B4DE8" w:rsidP="00897FF2">
      <w:pPr>
        <w:pStyle w:val="BodyText"/>
      </w:pPr>
      <w:r>
        <w:t>Several</w:t>
      </w:r>
      <w:r w:rsidR="00E95096">
        <w:t xml:space="preserve"> studies recommended </w:t>
      </w:r>
      <w:r w:rsidR="00A72328">
        <w:t>that</w:t>
      </w:r>
      <w:r w:rsidR="00E95096">
        <w:t xml:space="preserve"> loot box engagement </w:t>
      </w:r>
      <w:r w:rsidR="0081611F">
        <w:t xml:space="preserve">should align with </w:t>
      </w:r>
      <w:r w:rsidR="00262E35">
        <w:t>monetary</w:t>
      </w:r>
      <w:r w:rsidR="00E95096">
        <w:t xml:space="preserve"> gambling </w:t>
      </w:r>
      <w:r w:rsidR="006D45F6">
        <w:t xml:space="preserve">and </w:t>
      </w:r>
      <w:r w:rsidR="00302D81">
        <w:t>be restricted to adults (18+) (Brady &amp; Prentice; 2021;</w:t>
      </w:r>
      <w:r w:rsidR="00302D81" w:rsidRPr="00F84FEB">
        <w:t xml:space="preserve"> </w:t>
      </w:r>
      <w:r w:rsidR="00302D81">
        <w:t xml:space="preserve">Children’s Commissioner for England, 2019; Hing et al., 2021; King &amp; </w:t>
      </w:r>
      <w:proofErr w:type="spellStart"/>
      <w:r w:rsidR="00302D81">
        <w:t>Delfabbro</w:t>
      </w:r>
      <w:proofErr w:type="spellEnd"/>
      <w:r w:rsidR="00302D81">
        <w:t xml:space="preserve">, 2016; Russell et al., 2020; Shi et al., 2021; Steinmetz et al., 2021; </w:t>
      </w:r>
      <w:r w:rsidR="000C7FB3">
        <w:t xml:space="preserve">von </w:t>
      </w:r>
      <w:proofErr w:type="spellStart"/>
      <w:r w:rsidR="000C7FB3">
        <w:t>Meduna</w:t>
      </w:r>
      <w:proofErr w:type="spellEnd"/>
      <w:r w:rsidR="000C7FB3">
        <w:t xml:space="preserve"> et al., 2020; </w:t>
      </w:r>
      <w:r w:rsidR="00302D81">
        <w:t xml:space="preserve">Wardle and </w:t>
      </w:r>
      <w:proofErr w:type="spellStart"/>
      <w:r w:rsidR="00302D81">
        <w:t>Zendle</w:t>
      </w:r>
      <w:proofErr w:type="spellEnd"/>
      <w:r w:rsidR="00302D81">
        <w:t>, 2021;</w:t>
      </w:r>
      <w:r w:rsidR="00302D81" w:rsidRPr="00F84FEB">
        <w:t xml:space="preserve"> </w:t>
      </w:r>
      <w:proofErr w:type="spellStart"/>
      <w:r w:rsidR="00302D81">
        <w:t>Zendle</w:t>
      </w:r>
      <w:proofErr w:type="spellEnd"/>
      <w:r w:rsidR="00C22897">
        <w:t>, Cairns,</w:t>
      </w:r>
      <w:r w:rsidR="00302D81">
        <w:t xml:space="preserve"> et al., 20</w:t>
      </w:r>
      <w:r w:rsidR="00C22897">
        <w:t>19</w:t>
      </w:r>
      <w:r w:rsidR="00302D81">
        <w:t xml:space="preserve">; </w:t>
      </w:r>
      <w:proofErr w:type="spellStart"/>
      <w:r w:rsidR="00302D81">
        <w:t>Zendle</w:t>
      </w:r>
      <w:proofErr w:type="spellEnd"/>
      <w:r w:rsidR="00302D81">
        <w:t>, Meyer</w:t>
      </w:r>
      <w:r w:rsidR="0090114C">
        <w:t xml:space="preserve"> et al.</w:t>
      </w:r>
      <w:r w:rsidR="00302D81">
        <w:t>, 2019</w:t>
      </w:r>
      <w:r w:rsidR="00E95096">
        <w:t>)</w:t>
      </w:r>
      <w:r w:rsidR="00083BE6">
        <w:t xml:space="preserve">. </w:t>
      </w:r>
      <w:proofErr w:type="spellStart"/>
      <w:r w:rsidR="00083BE6">
        <w:t>Zendle</w:t>
      </w:r>
      <w:proofErr w:type="spellEnd"/>
      <w:r w:rsidR="00083BE6">
        <w:t xml:space="preserve"> (2019) suggested </w:t>
      </w:r>
      <w:r w:rsidR="00E95096">
        <w:t>minimis</w:t>
      </w:r>
      <w:r w:rsidR="002412A9">
        <w:t>ing</w:t>
      </w:r>
      <w:r w:rsidR="00E95096">
        <w:t xml:space="preserve"> the exposure of</w:t>
      </w:r>
      <w:r w:rsidR="002412A9">
        <w:t xml:space="preserve"> loot boxes </w:t>
      </w:r>
      <w:r w:rsidR="000B18F2">
        <w:t xml:space="preserve">for </w:t>
      </w:r>
      <w:r w:rsidR="00581189">
        <w:t xml:space="preserve">people </w:t>
      </w:r>
      <w:r w:rsidR="004F7CBD">
        <w:t xml:space="preserve">who experience gambling </w:t>
      </w:r>
      <w:r w:rsidR="00E95096">
        <w:t>problem</w:t>
      </w:r>
      <w:r w:rsidR="004F7CBD">
        <w:t>s</w:t>
      </w:r>
      <w:r w:rsidR="000C7FB3">
        <w:t>.</w:t>
      </w:r>
    </w:p>
    <w:p w14:paraId="0F5159C6" w14:textId="77777777" w:rsidR="00E95096" w:rsidRPr="002B641C" w:rsidRDefault="00D914E6" w:rsidP="002B641C">
      <w:pPr>
        <w:pStyle w:val="Heading4"/>
      </w:pPr>
      <w:r w:rsidRPr="002B641C">
        <w:t>S</w:t>
      </w:r>
      <w:r w:rsidR="00E95096" w:rsidRPr="002B641C">
        <w:t>imulated gambling</w:t>
      </w:r>
    </w:p>
    <w:p w14:paraId="3EEDA7AB" w14:textId="77777777" w:rsidR="00B61DFB" w:rsidRDefault="00E95096" w:rsidP="00897FF2">
      <w:pPr>
        <w:pStyle w:val="BodyText"/>
      </w:pPr>
      <w:r>
        <w:t xml:space="preserve">Authors generally agreed that games </w:t>
      </w:r>
      <w:r w:rsidR="00DB661E">
        <w:t>with</w:t>
      </w:r>
      <w:r>
        <w:t xml:space="preserve"> simulated gambling</w:t>
      </w:r>
      <w:r w:rsidR="00DB661E">
        <w:t>, especially those including in-game purchases,</w:t>
      </w:r>
      <w:r>
        <w:t xml:space="preserve"> should be restricted to adults (18+) (</w:t>
      </w:r>
      <w:proofErr w:type="spellStart"/>
      <w:r>
        <w:t>Gainsbury</w:t>
      </w:r>
      <w:proofErr w:type="spellEnd"/>
      <w:r w:rsidR="006A237C">
        <w:t xml:space="preserve">, King, </w:t>
      </w:r>
      <w:proofErr w:type="spellStart"/>
      <w:r w:rsidR="006A237C">
        <w:t>Delfabbro</w:t>
      </w:r>
      <w:proofErr w:type="spellEnd"/>
      <w:r>
        <w:t xml:space="preserve"> et al., 2015; Shi et al., 2021). </w:t>
      </w:r>
      <w:r w:rsidR="00E3467A">
        <w:t xml:space="preserve">Another study </w:t>
      </w:r>
      <w:r w:rsidR="00E4053D">
        <w:t xml:space="preserve">advocated for </w:t>
      </w:r>
      <w:r w:rsidR="00F12523">
        <w:t xml:space="preserve">social casino game operators to voluntarily restrict </w:t>
      </w:r>
      <w:r w:rsidR="0054785D">
        <w:t>access to these games to adults (</w:t>
      </w:r>
      <w:proofErr w:type="spellStart"/>
      <w:r w:rsidR="0054785D">
        <w:t>Gainsbury</w:t>
      </w:r>
      <w:proofErr w:type="spellEnd"/>
      <w:r w:rsidR="00C50794">
        <w:t xml:space="preserve">, King, </w:t>
      </w:r>
      <w:proofErr w:type="spellStart"/>
      <w:r w:rsidR="00C50794">
        <w:t>Delfabbro</w:t>
      </w:r>
      <w:proofErr w:type="spellEnd"/>
      <w:r w:rsidR="0054785D">
        <w:t xml:space="preserve"> et al., 2015).</w:t>
      </w:r>
      <w:r w:rsidR="00E54276">
        <w:t xml:space="preserve"> </w:t>
      </w:r>
      <w:proofErr w:type="spellStart"/>
      <w:r w:rsidR="00E54276">
        <w:t>Rockloff</w:t>
      </w:r>
      <w:proofErr w:type="spellEnd"/>
      <w:r w:rsidR="00E54276">
        <w:t xml:space="preserve"> and colleagues </w:t>
      </w:r>
      <w:r w:rsidR="00B61DFB">
        <w:t>(2018)</w:t>
      </w:r>
      <w:r w:rsidR="00E54276">
        <w:t xml:space="preserve"> recommended discouraging or </w:t>
      </w:r>
      <w:r w:rsidR="00DB482C">
        <w:t>restrict</w:t>
      </w:r>
      <w:r w:rsidR="00E54276">
        <w:t>ing</w:t>
      </w:r>
      <w:r w:rsidR="00DB482C">
        <w:t xml:space="preserve"> the availability of </w:t>
      </w:r>
      <w:r w:rsidR="00290E6E">
        <w:t xml:space="preserve">gambling-themed apps </w:t>
      </w:r>
      <w:r w:rsidR="0045657B">
        <w:t>to adolescents</w:t>
      </w:r>
      <w:r w:rsidR="00085A43">
        <w:t xml:space="preserve">, </w:t>
      </w:r>
      <w:r w:rsidR="00E54276">
        <w:t xml:space="preserve">while </w:t>
      </w:r>
      <w:r w:rsidR="00085A43">
        <w:t>prohibit</w:t>
      </w:r>
      <w:r w:rsidR="00E54276">
        <w:t>ing</w:t>
      </w:r>
      <w:r w:rsidR="00085A43">
        <w:t xml:space="preserve"> them for children</w:t>
      </w:r>
      <w:r w:rsidR="00E54276">
        <w:t>.</w:t>
      </w:r>
    </w:p>
    <w:p w14:paraId="3E462170" w14:textId="77777777" w:rsidR="00155F48" w:rsidRPr="002B641C" w:rsidRDefault="00155F48" w:rsidP="002B641C">
      <w:pPr>
        <w:pStyle w:val="Heading4"/>
      </w:pPr>
      <w:r w:rsidRPr="002B641C">
        <w:t>In-game purchases</w:t>
      </w:r>
    </w:p>
    <w:p w14:paraId="237DA91F" w14:textId="77777777" w:rsidR="002A0C24" w:rsidRDefault="00F40EAC" w:rsidP="00897FF2">
      <w:pPr>
        <w:pStyle w:val="BodyText"/>
      </w:pPr>
      <w:r>
        <w:t xml:space="preserve">In line with suggestions for age restrictions </w:t>
      </w:r>
      <w:r w:rsidR="009F3038">
        <w:t xml:space="preserve">for </w:t>
      </w:r>
      <w:r w:rsidR="0017164B">
        <w:t xml:space="preserve">purchases made in relation to </w:t>
      </w:r>
      <w:r>
        <w:t>loot boxes and simulated gambling</w:t>
      </w:r>
      <w:r w:rsidR="00A60B7B">
        <w:t xml:space="preserve">, </w:t>
      </w:r>
      <w:r w:rsidR="00BD0E22">
        <w:t>researchers also recommend</w:t>
      </w:r>
      <w:r w:rsidR="00D37272">
        <w:t xml:space="preserve"> that in-game purchases </w:t>
      </w:r>
      <w:r w:rsidR="00C30202">
        <w:t xml:space="preserve">in games have age restrictions to mitigate harm associated with </w:t>
      </w:r>
      <w:r w:rsidR="00301650">
        <w:t>expenditure (</w:t>
      </w:r>
      <w:r w:rsidR="00280FD8">
        <w:t xml:space="preserve">Children’s Commissioner for England, 2019; </w:t>
      </w:r>
      <w:r w:rsidR="000F727B">
        <w:t xml:space="preserve">King, 2018; </w:t>
      </w:r>
      <w:r w:rsidR="00301650">
        <w:t>King</w:t>
      </w:r>
      <w:r w:rsidR="00C05E99">
        <w:t xml:space="preserve">, </w:t>
      </w:r>
      <w:r w:rsidR="00C05E99" w:rsidRPr="00FF2FE2">
        <w:t>Wong-</w:t>
      </w:r>
      <w:proofErr w:type="spellStart"/>
      <w:r w:rsidR="00C05E99" w:rsidRPr="00FF2FE2">
        <w:t>Padoongpatt</w:t>
      </w:r>
      <w:proofErr w:type="spellEnd"/>
      <w:r w:rsidR="00301650">
        <w:t xml:space="preserve"> et al., 2020</w:t>
      </w:r>
      <w:r w:rsidR="00BA2881">
        <w:t>; Stevens et al., 2021</w:t>
      </w:r>
      <w:r w:rsidR="00301650">
        <w:t>).</w:t>
      </w:r>
    </w:p>
    <w:p w14:paraId="26CDBF2A" w14:textId="6223E515" w:rsidR="0040308D" w:rsidRDefault="00817FB4" w:rsidP="002B641C">
      <w:pPr>
        <w:pStyle w:val="Heading3"/>
      </w:pPr>
      <w:r w:rsidDel="003D5033">
        <w:t>Limit setting</w:t>
      </w:r>
      <w:r w:rsidR="003E7497">
        <w:t xml:space="preserve"> and </w:t>
      </w:r>
      <w:r w:rsidR="00B46812">
        <w:t>restrictions</w:t>
      </w:r>
      <w:r w:rsidR="003D5033">
        <w:t xml:space="preserve"> on consumption </w:t>
      </w:r>
      <w:r w:rsidR="002D042E">
        <w:t>(spend, time)</w:t>
      </w:r>
    </w:p>
    <w:p w14:paraId="3E2B6AE0" w14:textId="3974D9A2" w:rsidR="0076549B" w:rsidRDefault="00BD0592" w:rsidP="00897FF2">
      <w:pPr>
        <w:pStyle w:val="BodyText"/>
      </w:pPr>
      <w:r>
        <w:t xml:space="preserve">In addition to </w:t>
      </w:r>
      <w:r w:rsidR="003B2483">
        <w:t xml:space="preserve">age </w:t>
      </w:r>
      <w:r w:rsidR="002A24E3">
        <w:t>restrictions, authors</w:t>
      </w:r>
      <w:r>
        <w:t xml:space="preserve"> </w:t>
      </w:r>
      <w:r w:rsidR="003B2483">
        <w:t xml:space="preserve">recommended </w:t>
      </w:r>
      <w:r w:rsidR="00B82BA7">
        <w:t>several</w:t>
      </w:r>
      <w:r w:rsidR="00BB2038">
        <w:t xml:space="preserve"> other</w:t>
      </w:r>
      <w:r w:rsidR="003B2483">
        <w:t xml:space="preserve"> </w:t>
      </w:r>
      <w:r w:rsidR="00DE5102">
        <w:t>limit-</w:t>
      </w:r>
      <w:r w:rsidR="00C8719F">
        <w:t>setting</w:t>
      </w:r>
      <w:r w:rsidR="006B4D5B">
        <w:t xml:space="preserve"> </w:t>
      </w:r>
      <w:r w:rsidR="0020370E">
        <w:t>features</w:t>
      </w:r>
      <w:r w:rsidR="00B87248">
        <w:t xml:space="preserve"> </w:t>
      </w:r>
      <w:r w:rsidR="006B4D5B">
        <w:t>in games</w:t>
      </w:r>
      <w:r w:rsidR="0076549B">
        <w:t>.</w:t>
      </w:r>
      <w:r w:rsidR="00277532">
        <w:t xml:space="preserve"> </w:t>
      </w:r>
      <w:r w:rsidR="0076549B" w:rsidRPr="0076549B">
        <w:t>Limit</w:t>
      </w:r>
      <w:r w:rsidR="00DE5102">
        <w:t xml:space="preserve"> </w:t>
      </w:r>
      <w:r w:rsidR="0076549B" w:rsidRPr="0076549B">
        <w:t xml:space="preserve">setting could allow account holders, other individuals (e.g. parent/guardian) or organisations to place a cap on consumption of these products </w:t>
      </w:r>
      <w:r w:rsidR="00DE5102">
        <w:t>for</w:t>
      </w:r>
      <w:r w:rsidR="00DE5102" w:rsidRPr="0076549B">
        <w:t xml:space="preserve"> </w:t>
      </w:r>
      <w:r w:rsidR="0076549B" w:rsidRPr="0076549B">
        <w:t>a defined period (e.g. per month) to mitigate harm from excessive play and spending.</w:t>
      </w:r>
    </w:p>
    <w:p w14:paraId="22AFEB31" w14:textId="77777777" w:rsidR="00A53BB5" w:rsidRDefault="008B72C9" w:rsidP="00897FF2">
      <w:pPr>
        <w:pStyle w:val="BodyText"/>
      </w:pPr>
      <w:r>
        <w:t xml:space="preserve">The most frequently mentioned </w:t>
      </w:r>
      <w:r w:rsidR="00B11CAD">
        <w:t>strategy was for game developer</w:t>
      </w:r>
      <w:r w:rsidR="008B2CBD">
        <w:t xml:space="preserve">s to </w:t>
      </w:r>
      <w:r w:rsidR="00E614CE">
        <w:t xml:space="preserve">include </w:t>
      </w:r>
      <w:r w:rsidR="0025359F">
        <w:t xml:space="preserve">options to limit </w:t>
      </w:r>
      <w:r w:rsidR="00091C88">
        <w:t>spend</w:t>
      </w:r>
      <w:r w:rsidR="0094746C">
        <w:t>ing</w:t>
      </w:r>
      <w:r w:rsidR="00031F3F">
        <w:t xml:space="preserve"> </w:t>
      </w:r>
      <w:r w:rsidR="002B33B9">
        <w:t>on</w:t>
      </w:r>
      <w:r w:rsidR="009C4C33">
        <w:t xml:space="preserve"> </w:t>
      </w:r>
      <w:r w:rsidR="00E90891">
        <w:t>loot boxes</w:t>
      </w:r>
      <w:r w:rsidR="00CB08CC">
        <w:t xml:space="preserve"> </w:t>
      </w:r>
      <w:r w:rsidR="00091FC7">
        <w:t>(</w:t>
      </w:r>
      <w:r w:rsidR="00091FC7" w:rsidRPr="00091FC7">
        <w:t xml:space="preserve">Brooks &amp; Clark, 2019; </w:t>
      </w:r>
      <w:proofErr w:type="spellStart"/>
      <w:r w:rsidR="00091FC7" w:rsidRPr="00091FC7">
        <w:t>Cerulli</w:t>
      </w:r>
      <w:proofErr w:type="spellEnd"/>
      <w:r w:rsidR="00091FC7" w:rsidRPr="00091FC7">
        <w:t xml:space="preserve">-Harms et al., 2020; Children’s </w:t>
      </w:r>
      <w:r w:rsidR="00091FC7" w:rsidRPr="00091FC7">
        <w:lastRenderedPageBreak/>
        <w:t>Commissioner for England, 2019; Close et al., 2021; Drummond</w:t>
      </w:r>
      <w:r w:rsidR="00895A4F">
        <w:t xml:space="preserve"> et al.</w:t>
      </w:r>
      <w:r w:rsidR="00091FC7" w:rsidRPr="00091FC7">
        <w:t xml:space="preserve">, 2019; Drummond et al., 2020; Gong &amp; Rodda, 2020; Hing et al., 2021; </w:t>
      </w:r>
      <w:proofErr w:type="spellStart"/>
      <w:r w:rsidR="00091FC7" w:rsidRPr="00091FC7">
        <w:t>Zendle</w:t>
      </w:r>
      <w:proofErr w:type="spellEnd"/>
      <w:r w:rsidR="004E794D">
        <w:t>, Meyer,</w:t>
      </w:r>
      <w:r w:rsidR="00091FC7" w:rsidRPr="00091FC7">
        <w:t xml:space="preserve"> et al., 2019</w:t>
      </w:r>
      <w:r w:rsidR="004E7CD6">
        <w:t>)</w:t>
      </w:r>
      <w:r w:rsidR="0038740E">
        <w:t>,</w:t>
      </w:r>
      <w:r w:rsidR="004E7CD6">
        <w:t xml:space="preserve"> </w:t>
      </w:r>
      <w:r w:rsidR="00E90891">
        <w:t>simulated gambling</w:t>
      </w:r>
      <w:r w:rsidR="000550DB">
        <w:t xml:space="preserve"> </w:t>
      </w:r>
      <w:r w:rsidR="000550DB" w:rsidRPr="000550DB">
        <w:t>(</w:t>
      </w:r>
      <w:proofErr w:type="spellStart"/>
      <w:r w:rsidR="000550DB" w:rsidRPr="000550DB">
        <w:t>Gainsbury</w:t>
      </w:r>
      <w:proofErr w:type="spellEnd"/>
      <w:r w:rsidR="0038740E">
        <w:t>,</w:t>
      </w:r>
      <w:r w:rsidR="000550DB" w:rsidRPr="000550DB">
        <w:t xml:space="preserve"> </w:t>
      </w:r>
      <w:r w:rsidR="00A30828" w:rsidRPr="00677AAF">
        <w:t xml:space="preserve">King, </w:t>
      </w:r>
      <w:r w:rsidR="00A30828">
        <w:t xml:space="preserve">Abarbanel </w:t>
      </w:r>
      <w:r w:rsidR="000550DB" w:rsidRPr="000550DB">
        <w:t xml:space="preserve">et al., 2015; Hing et al., 2020, 2021; King &amp; </w:t>
      </w:r>
      <w:proofErr w:type="spellStart"/>
      <w:r w:rsidR="000550DB" w:rsidRPr="000550DB">
        <w:t>Delfabbro</w:t>
      </w:r>
      <w:proofErr w:type="spellEnd"/>
      <w:r w:rsidR="000550DB" w:rsidRPr="000550DB">
        <w:t>, 2016)</w:t>
      </w:r>
      <w:r w:rsidR="00E90891">
        <w:t>, and in-</w:t>
      </w:r>
      <w:r w:rsidR="00B33D17">
        <w:t xml:space="preserve">game </w:t>
      </w:r>
      <w:r w:rsidR="00E90891">
        <w:t>purchases</w:t>
      </w:r>
      <w:r w:rsidR="000550DB">
        <w:t xml:space="preserve"> in general </w:t>
      </w:r>
      <w:r w:rsidR="000550DB" w:rsidRPr="000550DB">
        <w:t>(Hing et al., 2021; King</w:t>
      </w:r>
      <w:r w:rsidR="00A30828" w:rsidRPr="00A30828">
        <w:t>,</w:t>
      </w:r>
      <w:r w:rsidR="00A30828" w:rsidRPr="00FF2FE2">
        <w:t xml:space="preserve"> Wong-</w:t>
      </w:r>
      <w:proofErr w:type="spellStart"/>
      <w:r w:rsidR="00A30828" w:rsidRPr="00FF2FE2">
        <w:t>Padoongpatt</w:t>
      </w:r>
      <w:proofErr w:type="spellEnd"/>
      <w:r w:rsidR="000550DB" w:rsidRPr="000550DB">
        <w:t xml:space="preserve"> et al., 2020; Russell et al., 2020; Steinmetz et al., 2021; Stevens et al., 2021)</w:t>
      </w:r>
      <w:r w:rsidR="00E13AC6">
        <w:t>.</w:t>
      </w:r>
    </w:p>
    <w:p w14:paraId="51DE8C25" w14:textId="17B4F801" w:rsidR="00093218" w:rsidRDefault="009142B0" w:rsidP="00897FF2">
      <w:pPr>
        <w:pStyle w:val="BodyText"/>
      </w:pPr>
      <w:r>
        <w:t>Various</w:t>
      </w:r>
      <w:r w:rsidR="003B24A7" w:rsidDel="004F086C">
        <w:t xml:space="preserve"> </w:t>
      </w:r>
      <w:r w:rsidR="003B24A7">
        <w:t>type</w:t>
      </w:r>
      <w:r w:rsidR="007C477A">
        <w:t xml:space="preserve">s </w:t>
      </w:r>
      <w:r w:rsidR="004F086C">
        <w:t xml:space="preserve">of spending limits </w:t>
      </w:r>
      <w:r w:rsidR="00F361DE">
        <w:t>were</w:t>
      </w:r>
      <w:r w:rsidR="007C477A">
        <w:t xml:space="preserve"> proposed</w:t>
      </w:r>
      <w:r w:rsidR="003B24A7">
        <w:t xml:space="preserve">, </w:t>
      </w:r>
      <w:r w:rsidR="00FF3EA3">
        <w:t>including</w:t>
      </w:r>
      <w:r w:rsidR="007C477A">
        <w:t xml:space="preserve"> </w:t>
      </w:r>
      <w:r w:rsidR="00F65507">
        <w:t xml:space="preserve">voluntary </w:t>
      </w:r>
      <w:r w:rsidR="007C477A">
        <w:t>self-limit options</w:t>
      </w:r>
      <w:r w:rsidR="002A1AA9">
        <w:t xml:space="preserve"> (</w:t>
      </w:r>
      <w:r w:rsidR="00327904">
        <w:t xml:space="preserve">Drummond et al., 2020; </w:t>
      </w:r>
      <w:proofErr w:type="spellStart"/>
      <w:r w:rsidR="00802C23">
        <w:t>Gainsbury</w:t>
      </w:r>
      <w:proofErr w:type="spellEnd"/>
      <w:r w:rsidR="00A30828">
        <w:t xml:space="preserve">, </w:t>
      </w:r>
      <w:r w:rsidR="00A30828" w:rsidRPr="00677AAF">
        <w:t xml:space="preserve">King, </w:t>
      </w:r>
      <w:r w:rsidR="00A30828">
        <w:t>Abarbanel</w:t>
      </w:r>
      <w:r w:rsidR="00802C23">
        <w:t xml:space="preserve"> et al., 2015; </w:t>
      </w:r>
      <w:r w:rsidR="00F44400">
        <w:t>Hing et al., 2020),</w:t>
      </w:r>
      <w:r w:rsidR="007C477A">
        <w:t xml:space="preserve"> </w:t>
      </w:r>
      <w:r w:rsidR="0029700A">
        <w:t xml:space="preserve">financial </w:t>
      </w:r>
      <w:r w:rsidR="007C477A">
        <w:t>caps (Drummond et al., 2020</w:t>
      </w:r>
      <w:r w:rsidR="0029700A">
        <w:t>; King, 2018</w:t>
      </w:r>
      <w:r w:rsidR="007C477A">
        <w:t>)</w:t>
      </w:r>
      <w:r w:rsidR="004A6A0E">
        <w:t xml:space="preserve">, </w:t>
      </w:r>
      <w:r w:rsidR="00FF3EA3">
        <w:t xml:space="preserve">and </w:t>
      </w:r>
      <w:r w:rsidR="004A6A0E">
        <w:t>parent</w:t>
      </w:r>
      <w:r w:rsidR="002A1AA9">
        <w:t>al-set limits (</w:t>
      </w:r>
      <w:proofErr w:type="spellStart"/>
      <w:r w:rsidR="005E0E80">
        <w:t>Cerulli</w:t>
      </w:r>
      <w:proofErr w:type="spellEnd"/>
      <w:r w:rsidR="005E0E80">
        <w:t>-Harms et al., 2020</w:t>
      </w:r>
      <w:r w:rsidR="002A1AA9">
        <w:t>)</w:t>
      </w:r>
      <w:r w:rsidR="00F72EBC">
        <w:t xml:space="preserve">. These limits </w:t>
      </w:r>
      <w:r w:rsidR="00A720AF">
        <w:t xml:space="preserve">could </w:t>
      </w:r>
      <w:r w:rsidR="00D80CBF">
        <w:t>restrict</w:t>
      </w:r>
      <w:r w:rsidR="00F72EBC">
        <w:t xml:space="preserve"> </w:t>
      </w:r>
      <w:r w:rsidR="006F2E0A">
        <w:t>various features</w:t>
      </w:r>
      <w:r w:rsidR="00F72EBC">
        <w:t xml:space="preserve"> of the products, such as </w:t>
      </w:r>
      <w:r w:rsidR="000B18F2">
        <w:t xml:space="preserve">the </w:t>
      </w:r>
      <w:r w:rsidR="006F2E0A" w:rsidDel="002C13BC">
        <w:t xml:space="preserve">number of </w:t>
      </w:r>
      <w:r w:rsidR="006F2E0A">
        <w:t>loot boxes</w:t>
      </w:r>
      <w:r w:rsidR="000B18F2">
        <w:t xml:space="preserve"> avai</w:t>
      </w:r>
      <w:r w:rsidR="00A92114">
        <w:t>l</w:t>
      </w:r>
      <w:r w:rsidR="000B18F2">
        <w:t>able</w:t>
      </w:r>
      <w:r w:rsidR="006F2E0A">
        <w:t xml:space="preserve"> </w:t>
      </w:r>
      <w:r w:rsidR="00BE4850">
        <w:t xml:space="preserve">for </w:t>
      </w:r>
      <w:r w:rsidR="002C13BC">
        <w:t>purchase</w:t>
      </w:r>
      <w:r w:rsidR="00D67D06">
        <w:t xml:space="preserve"> and</w:t>
      </w:r>
      <w:r w:rsidR="008460E8" w:rsidDel="00D56F6B">
        <w:t xml:space="preserve"> </w:t>
      </w:r>
      <w:r w:rsidR="008460E8">
        <w:t>the</w:t>
      </w:r>
      <w:r w:rsidR="00D80CBF">
        <w:t xml:space="preserve"> </w:t>
      </w:r>
      <w:r w:rsidR="00F72EBC">
        <w:t xml:space="preserve">amount </w:t>
      </w:r>
      <w:r w:rsidR="008460E8">
        <w:t xml:space="preserve">available to </w:t>
      </w:r>
      <w:r w:rsidR="00F72EBC">
        <w:t>spen</w:t>
      </w:r>
      <w:r w:rsidR="008460E8">
        <w:t>d</w:t>
      </w:r>
      <w:r w:rsidR="0084550C">
        <w:t xml:space="preserve"> </w:t>
      </w:r>
      <w:r w:rsidR="002C13BC">
        <w:t xml:space="preserve">per month </w:t>
      </w:r>
      <w:r w:rsidR="00D80CBF">
        <w:t>(Gong &amp; Rodda, 2020)</w:t>
      </w:r>
      <w:r w:rsidR="00D56F6B">
        <w:t xml:space="preserve">, or </w:t>
      </w:r>
      <w:r w:rsidR="00D9286A">
        <w:t>spending frequency (Steinmetz et al., 2021)</w:t>
      </w:r>
      <w:r w:rsidR="00D80CBF">
        <w:t>.</w:t>
      </w:r>
      <w:r w:rsidR="00BF6EA4">
        <w:t xml:space="preserve"> </w:t>
      </w:r>
      <w:r w:rsidR="00FC43C6">
        <w:t>Other features</w:t>
      </w:r>
      <w:r w:rsidR="008516A7">
        <w:t xml:space="preserve"> were suggested to help limit spend</w:t>
      </w:r>
      <w:r w:rsidR="00FC43C6">
        <w:t>, such as</w:t>
      </w:r>
      <w:r w:rsidR="008516A7">
        <w:t xml:space="preserve"> </w:t>
      </w:r>
      <w:r w:rsidR="00FE723E">
        <w:t>pre-commitment (Dru</w:t>
      </w:r>
      <w:r w:rsidR="00EC1728">
        <w:t>m</w:t>
      </w:r>
      <w:r w:rsidR="00FE723E">
        <w:t xml:space="preserve">mond </w:t>
      </w:r>
      <w:r w:rsidR="00BE4850">
        <w:t>et al.</w:t>
      </w:r>
      <w:r w:rsidR="00FE723E">
        <w:t>, 2019</w:t>
      </w:r>
      <w:r w:rsidR="00DE49E1">
        <w:t>;</w:t>
      </w:r>
      <w:r w:rsidR="00E33BE9">
        <w:t xml:space="preserve"> Kristiansen &amp; Severin, 2020b</w:t>
      </w:r>
      <w:r w:rsidR="00FE723E">
        <w:t>)</w:t>
      </w:r>
      <w:r w:rsidR="0080651B">
        <w:t>,</w:t>
      </w:r>
      <w:r w:rsidR="00FA39FB">
        <w:t xml:space="preserve"> </w:t>
      </w:r>
      <w:r w:rsidR="008516A7">
        <w:t xml:space="preserve">expense tracking </w:t>
      </w:r>
      <w:r w:rsidR="00155AC3">
        <w:t xml:space="preserve">such as </w:t>
      </w:r>
      <w:r w:rsidR="00AE6C13">
        <w:t xml:space="preserve">via the provision of </w:t>
      </w:r>
      <w:r w:rsidR="00A968BF">
        <w:t xml:space="preserve">activity statements </w:t>
      </w:r>
      <w:r w:rsidR="008516A7">
        <w:t>(</w:t>
      </w:r>
      <w:proofErr w:type="spellStart"/>
      <w:r w:rsidR="00EA0A84">
        <w:t>Cerulli</w:t>
      </w:r>
      <w:proofErr w:type="spellEnd"/>
      <w:r w:rsidR="00EA0A84">
        <w:t xml:space="preserve">-Harms et al., 2020; </w:t>
      </w:r>
      <w:r w:rsidR="008516A7">
        <w:t>Children’s Commissioner for England, 2019</w:t>
      </w:r>
      <w:r w:rsidR="000468F4">
        <w:t xml:space="preserve">; </w:t>
      </w:r>
      <w:proofErr w:type="spellStart"/>
      <w:r w:rsidR="003916B0">
        <w:t>Gainsbury</w:t>
      </w:r>
      <w:proofErr w:type="spellEnd"/>
      <w:r w:rsidR="00A30828">
        <w:t xml:space="preserve">, </w:t>
      </w:r>
      <w:r w:rsidR="00A30828" w:rsidRPr="00677AAF">
        <w:t xml:space="preserve">King, </w:t>
      </w:r>
      <w:r w:rsidR="00A30828">
        <w:t>Abarbanel</w:t>
      </w:r>
      <w:r w:rsidR="003916B0">
        <w:t xml:space="preserve"> et al., 2015; </w:t>
      </w:r>
      <w:r w:rsidR="000468F4">
        <w:t>Gong &amp; Rodda, 2020</w:t>
      </w:r>
      <w:r w:rsidR="008516A7">
        <w:t>)</w:t>
      </w:r>
      <w:r w:rsidR="00AE6D08">
        <w:t xml:space="preserve">, and </w:t>
      </w:r>
      <w:r w:rsidR="0001111F">
        <w:t xml:space="preserve">advice on setting </w:t>
      </w:r>
      <w:r w:rsidR="00747003">
        <w:t>spending limits (</w:t>
      </w:r>
      <w:proofErr w:type="spellStart"/>
      <w:r w:rsidR="00747003">
        <w:t>Gainsbury</w:t>
      </w:r>
      <w:proofErr w:type="spellEnd"/>
      <w:r w:rsidR="00A30828">
        <w:t xml:space="preserve">, </w:t>
      </w:r>
      <w:r w:rsidR="00A30828" w:rsidRPr="00677AAF">
        <w:t xml:space="preserve">King, </w:t>
      </w:r>
      <w:r w:rsidR="00A30828">
        <w:t>Abarbanel</w:t>
      </w:r>
      <w:r w:rsidR="00747003">
        <w:t xml:space="preserve"> et al., 2015)</w:t>
      </w:r>
      <w:r w:rsidR="008516A7">
        <w:t>.</w:t>
      </w:r>
      <w:r w:rsidR="003C355C">
        <w:t xml:space="preserve"> T</w:t>
      </w:r>
      <w:r w:rsidR="00093218" w:rsidRPr="00093218">
        <w:t>he Children’s Commissioner for England (2019) recommended that for children (under 18 years)</w:t>
      </w:r>
      <w:r w:rsidR="00E87F32">
        <w:t xml:space="preserve">, </w:t>
      </w:r>
      <w:r w:rsidR="00093218" w:rsidRPr="00093218">
        <w:t xml:space="preserve">game developers should disable the ability to spend money on loot boxes </w:t>
      </w:r>
      <w:r w:rsidR="00D727A1" w:rsidRPr="00093218">
        <w:t>to</w:t>
      </w:r>
      <w:r w:rsidR="00093218" w:rsidRPr="00093218">
        <w:t xml:space="preserve"> progress in the game and that maximum daily spending limits should be turned on automatically.</w:t>
      </w:r>
    </w:p>
    <w:p w14:paraId="61B33D02" w14:textId="77777777" w:rsidR="00041C72" w:rsidRDefault="00CE52D8" w:rsidP="00897FF2">
      <w:pPr>
        <w:pStyle w:val="BodyText"/>
      </w:pPr>
      <w:r>
        <w:t>L</w:t>
      </w:r>
      <w:r w:rsidR="000A1DFF">
        <w:t>imit</w:t>
      </w:r>
      <w:r w:rsidR="00041C72">
        <w:t xml:space="preserve"> setting or restrictions </w:t>
      </w:r>
      <w:r>
        <w:t>on</w:t>
      </w:r>
      <w:r w:rsidR="00041C72">
        <w:t xml:space="preserve"> time spent playing games with simulated gambling</w:t>
      </w:r>
      <w:r w:rsidR="00DA3F8B">
        <w:t xml:space="preserve"> content </w:t>
      </w:r>
      <w:r w:rsidR="00C86C0B">
        <w:t>were</w:t>
      </w:r>
      <w:r w:rsidR="00DA3F8B">
        <w:t xml:space="preserve"> also suggested</w:t>
      </w:r>
      <w:r w:rsidR="00C86C0B">
        <w:t>,</w:t>
      </w:r>
      <w:r w:rsidR="00DA3F8B">
        <w:t xml:space="preserve"> </w:t>
      </w:r>
      <w:r w:rsidR="002C62DB">
        <w:t xml:space="preserve">including temporary </w:t>
      </w:r>
      <w:proofErr w:type="gramStart"/>
      <w:r w:rsidR="008459DA">
        <w:t>time-outs</w:t>
      </w:r>
      <w:proofErr w:type="gramEnd"/>
      <w:r w:rsidR="00C86C0B">
        <w:t xml:space="preserve"> and</w:t>
      </w:r>
      <w:r w:rsidR="002C62DB">
        <w:t xml:space="preserve"> </w:t>
      </w:r>
      <w:r w:rsidR="004B719C">
        <w:t xml:space="preserve">having pop-up </w:t>
      </w:r>
      <w:r w:rsidR="00F671BF">
        <w:t xml:space="preserve">messages </w:t>
      </w:r>
      <w:r w:rsidR="00A84C0C">
        <w:t xml:space="preserve">alerting players </w:t>
      </w:r>
      <w:r w:rsidR="005D3707">
        <w:t>when playing contin</w:t>
      </w:r>
      <w:r w:rsidR="00956A09">
        <w:t>uously</w:t>
      </w:r>
      <w:r w:rsidR="00041C72">
        <w:t xml:space="preserve"> </w:t>
      </w:r>
      <w:r w:rsidR="000D2221">
        <w:t>(</w:t>
      </w:r>
      <w:r w:rsidR="004B719C">
        <w:t>i.e</w:t>
      </w:r>
      <w:r w:rsidR="0000693F">
        <w:t>.</w:t>
      </w:r>
      <w:r w:rsidR="004B719C">
        <w:t xml:space="preserve"> over an hour)</w:t>
      </w:r>
      <w:r w:rsidR="002C0DF8">
        <w:t xml:space="preserve"> </w:t>
      </w:r>
      <w:r w:rsidR="002C0DF8" w:rsidRPr="002C0DF8">
        <w:t>(</w:t>
      </w:r>
      <w:proofErr w:type="spellStart"/>
      <w:r w:rsidR="002C0DF8" w:rsidRPr="002C0DF8">
        <w:t>Gainsbury</w:t>
      </w:r>
      <w:proofErr w:type="spellEnd"/>
      <w:r w:rsidR="00BE4850">
        <w:t xml:space="preserve">, </w:t>
      </w:r>
      <w:r w:rsidR="00BE4850" w:rsidRPr="00677AAF">
        <w:t xml:space="preserve">King, </w:t>
      </w:r>
      <w:r w:rsidR="00BE4850">
        <w:t>Abarbanel</w:t>
      </w:r>
      <w:r w:rsidR="002C0DF8" w:rsidRPr="002C0DF8">
        <w:t xml:space="preserve"> et al., 2015)</w:t>
      </w:r>
      <w:r w:rsidR="004B719C">
        <w:t>.</w:t>
      </w:r>
    </w:p>
    <w:p w14:paraId="34386033" w14:textId="77777777" w:rsidR="0060546B" w:rsidRDefault="0060546B" w:rsidP="002B641C">
      <w:pPr>
        <w:pStyle w:val="Heading3"/>
      </w:pPr>
      <w:r>
        <w:t>Self-exclusion options</w:t>
      </w:r>
    </w:p>
    <w:p w14:paraId="3C07E673" w14:textId="1D33AF90" w:rsidR="0060546B" w:rsidRDefault="003D5033" w:rsidP="00897FF2">
      <w:pPr>
        <w:pStyle w:val="BodyText"/>
      </w:pPr>
      <w:r>
        <w:t>Like spending limits, in-game or online self-exclusion options are analogous to those available to people who gamble with real money; for example, online or at land-based venues.</w:t>
      </w:r>
      <w:r w:rsidR="00352EDE">
        <w:t xml:space="preserve"> </w:t>
      </w:r>
      <w:r w:rsidR="0060546B">
        <w:t xml:space="preserve">Several authors recommended mandating </w:t>
      </w:r>
      <w:r w:rsidR="00730249">
        <w:t xml:space="preserve">a self-exclusion option </w:t>
      </w:r>
      <w:r w:rsidR="001D1CCB">
        <w:t>for purchasing loot boxes (Brooks &amp; Clark, 2019;</w:t>
      </w:r>
      <w:r w:rsidR="00BB7702">
        <w:t xml:space="preserve"> Gong &amp; Rodda, 2020</w:t>
      </w:r>
      <w:r w:rsidR="00554D3E">
        <w:t>;</w:t>
      </w:r>
      <w:r w:rsidR="00554D3E" w:rsidRPr="00554D3E">
        <w:t xml:space="preserve"> </w:t>
      </w:r>
      <w:r w:rsidR="00554D3E">
        <w:t>Kristiansen &amp; Severin, 2020b</w:t>
      </w:r>
      <w:r w:rsidR="00BB7702">
        <w:t>)</w:t>
      </w:r>
      <w:r w:rsidR="00400B0F">
        <w:t xml:space="preserve"> and </w:t>
      </w:r>
      <w:r w:rsidR="002D2058">
        <w:t>simulated gambling (</w:t>
      </w:r>
      <w:r w:rsidR="003269FD">
        <w:t>Dickins &amp; Thomas, 201</w:t>
      </w:r>
      <w:r w:rsidR="00402C3E">
        <w:t>6</w:t>
      </w:r>
      <w:r w:rsidR="003269FD">
        <w:t xml:space="preserve">; </w:t>
      </w:r>
      <w:proofErr w:type="spellStart"/>
      <w:r w:rsidR="002D2058">
        <w:t>Gainsbury</w:t>
      </w:r>
      <w:proofErr w:type="spellEnd"/>
      <w:r w:rsidR="00BE4850">
        <w:t xml:space="preserve">, </w:t>
      </w:r>
      <w:r w:rsidR="00BE4850" w:rsidRPr="00677AAF">
        <w:t xml:space="preserve">King, </w:t>
      </w:r>
      <w:r w:rsidR="00BE4850">
        <w:t>Abarbanel</w:t>
      </w:r>
      <w:r w:rsidR="002D2058">
        <w:t xml:space="preserve"> et al., 2015; Hing et al., 2020)</w:t>
      </w:r>
      <w:r w:rsidR="0060546B">
        <w:t xml:space="preserve">. </w:t>
      </w:r>
    </w:p>
    <w:p w14:paraId="16209E86" w14:textId="77777777" w:rsidR="000D316B" w:rsidRDefault="000D316B" w:rsidP="002B641C">
      <w:pPr>
        <w:pStyle w:val="Heading3"/>
      </w:pPr>
      <w:r>
        <w:t>Displaying odds/chance of winning</w:t>
      </w:r>
    </w:p>
    <w:p w14:paraId="7C6E3EDC" w14:textId="77777777" w:rsidR="000D316B" w:rsidRDefault="00783807" w:rsidP="00897FF2">
      <w:pPr>
        <w:pStyle w:val="BodyText"/>
      </w:pPr>
      <w:r>
        <w:t xml:space="preserve">A number of </w:t>
      </w:r>
      <w:r w:rsidR="000D316B">
        <w:t xml:space="preserve">studies recommended that the odds or probabilities of winning should be clearly labelled and displayed to all players by default for loot boxes (Brooks &amp; Clark, 2019; </w:t>
      </w:r>
      <w:proofErr w:type="spellStart"/>
      <w:r w:rsidR="000D316B">
        <w:t>Cerulli</w:t>
      </w:r>
      <w:proofErr w:type="spellEnd"/>
      <w:r w:rsidR="000D316B">
        <w:t>-Harms et al., 2020; Gong &amp; Rodda, 2020;</w:t>
      </w:r>
      <w:r w:rsidR="000D316B" w:rsidRPr="00D441B7">
        <w:t xml:space="preserve"> </w:t>
      </w:r>
      <w:r w:rsidR="000D316B">
        <w:t xml:space="preserve">Hing et al., 2021; von </w:t>
      </w:r>
      <w:proofErr w:type="spellStart"/>
      <w:r w:rsidR="000D316B">
        <w:t>Meduna</w:t>
      </w:r>
      <w:proofErr w:type="spellEnd"/>
      <w:r w:rsidR="000D316B">
        <w:t xml:space="preserve"> et al., 2020) and simulated gambling (</w:t>
      </w:r>
      <w:proofErr w:type="spellStart"/>
      <w:r w:rsidR="000D316B">
        <w:t>Carran</w:t>
      </w:r>
      <w:proofErr w:type="spellEnd"/>
      <w:r w:rsidR="000D316B">
        <w:t xml:space="preserve"> &amp; Griffiths, 2015; Dickins &amp; Thomas, 2016; </w:t>
      </w:r>
      <w:proofErr w:type="spellStart"/>
      <w:r w:rsidR="000D316B">
        <w:t>Gainsbury</w:t>
      </w:r>
      <w:proofErr w:type="spellEnd"/>
      <w:r w:rsidR="000D316B">
        <w:t xml:space="preserve"> et al., 2014</w:t>
      </w:r>
      <w:r w:rsidR="004953F4">
        <w:t xml:space="preserve">; </w:t>
      </w:r>
      <w:proofErr w:type="spellStart"/>
      <w:r w:rsidR="004953F4">
        <w:t>Gainsbury</w:t>
      </w:r>
      <w:proofErr w:type="spellEnd"/>
      <w:r w:rsidR="004953F4">
        <w:t>, King</w:t>
      </w:r>
      <w:r w:rsidR="002D4106">
        <w:t>, Abarbanel</w:t>
      </w:r>
      <w:r w:rsidR="004953F4">
        <w:t xml:space="preserve"> et al., </w:t>
      </w:r>
      <w:r w:rsidR="000D316B">
        <w:t>2015</w:t>
      </w:r>
      <w:r w:rsidR="002D4106">
        <w:t xml:space="preserve">; </w:t>
      </w:r>
      <w:proofErr w:type="spellStart"/>
      <w:r w:rsidR="002D4106">
        <w:t>Gainsbury</w:t>
      </w:r>
      <w:proofErr w:type="spellEnd"/>
      <w:r w:rsidR="002D4106">
        <w:t xml:space="preserve">, King, </w:t>
      </w:r>
      <w:proofErr w:type="spellStart"/>
      <w:r w:rsidR="002D4106">
        <w:t>Delfabbro</w:t>
      </w:r>
      <w:proofErr w:type="spellEnd"/>
      <w:r w:rsidR="002D4106">
        <w:t xml:space="preserve">, </w:t>
      </w:r>
      <w:r w:rsidR="000D316B">
        <w:t>2015; King, 2018). This includes all chance-based features or video game events that cost, risk or wager currencies (e.g. fiat, crypto, pseudo or virtual currencies; virtual tokens)</w:t>
      </w:r>
      <w:r w:rsidR="009330AF">
        <w:t xml:space="preserve"> </w:t>
      </w:r>
      <w:r w:rsidR="000D316B">
        <w:t xml:space="preserve">or other in-game items (e.g. weapons, cosmetic upgrades, achievements; </w:t>
      </w:r>
      <w:proofErr w:type="spellStart"/>
      <w:r w:rsidR="000D316B">
        <w:t>Gainsbury</w:t>
      </w:r>
      <w:proofErr w:type="spellEnd"/>
      <w:r w:rsidR="002D4106">
        <w:t>, King, Abarbanel</w:t>
      </w:r>
      <w:r w:rsidR="000D316B">
        <w:t xml:space="preserve"> et al., 2015). King and </w:t>
      </w:r>
      <w:proofErr w:type="spellStart"/>
      <w:r w:rsidR="000D316B">
        <w:t>Delfabbro</w:t>
      </w:r>
      <w:proofErr w:type="spellEnd"/>
      <w:r w:rsidR="000D316B">
        <w:t xml:space="preserve"> (2016) and Russell and colleagues (2020) extended this by recommending parity in payout rates/rewards with monetary gambling products so simulated gambling products do not mislead consumers. </w:t>
      </w:r>
    </w:p>
    <w:p w14:paraId="2C6E895D" w14:textId="7D72D38C" w:rsidR="000D316B" w:rsidRDefault="00D10981" w:rsidP="00897FF2">
      <w:pPr>
        <w:pStyle w:val="BodyText"/>
      </w:pPr>
      <w:r>
        <w:t xml:space="preserve">While </w:t>
      </w:r>
      <w:r w:rsidR="00EA3377">
        <w:t xml:space="preserve">around </w:t>
      </w:r>
      <w:r w:rsidR="000D316B">
        <w:t>60% of the top-grossing games in Australia contain loot boxes</w:t>
      </w:r>
      <w:r w:rsidR="006631D0">
        <w:t xml:space="preserve"> (2019 estimate)</w:t>
      </w:r>
      <w:r w:rsidR="000D316B">
        <w:t xml:space="preserve">, disclosure of loot box reward probabilities is not </w:t>
      </w:r>
      <w:r w:rsidR="00A92114">
        <w:t xml:space="preserve">currently </w:t>
      </w:r>
      <w:r w:rsidR="000D316B">
        <w:t>mandatory (</w:t>
      </w:r>
      <w:proofErr w:type="spellStart"/>
      <w:r w:rsidR="000D316B">
        <w:t>Rockloff</w:t>
      </w:r>
      <w:proofErr w:type="spellEnd"/>
      <w:r w:rsidR="000D316B">
        <w:t xml:space="preserve"> et al., 2020). A recent study </w:t>
      </w:r>
      <w:r w:rsidR="00CD1BF7">
        <w:t>examining</w:t>
      </w:r>
      <w:r w:rsidR="000D316B">
        <w:t xml:space="preserve"> new regulation to mandate disclosure</w:t>
      </w:r>
      <w:r w:rsidR="000D316B" w:rsidRPr="00F77FEC">
        <w:t xml:space="preserve"> </w:t>
      </w:r>
      <w:r w:rsidR="00D815B5" w:rsidRPr="00D815B5">
        <w:t xml:space="preserve">in the People’s Republic of China </w:t>
      </w:r>
      <w:r w:rsidR="000D316B">
        <w:t>(Xiao, Henderson, Yang, &amp; Newall, 2021)</w:t>
      </w:r>
      <w:r w:rsidR="0095408E">
        <w:t xml:space="preserve"> </w:t>
      </w:r>
      <w:r w:rsidR="000D316B">
        <w:t>found that</w:t>
      </w:r>
      <w:r w:rsidR="0095408E">
        <w:t xml:space="preserve"> </w:t>
      </w:r>
      <w:r w:rsidR="000D316B">
        <w:t xml:space="preserve">while over 90% of top-grossing games containing loot boxes did disclose odds in-game, less than 10% of games displayed the odds without </w:t>
      </w:r>
      <w:r w:rsidR="00894AE9">
        <w:t xml:space="preserve">the user </w:t>
      </w:r>
      <w:r w:rsidR="000D316B">
        <w:t xml:space="preserve">having to search through </w:t>
      </w:r>
      <w:r w:rsidR="00894AE9">
        <w:t>‘</w:t>
      </w:r>
      <w:r w:rsidR="000D316B">
        <w:t>sludge</w:t>
      </w:r>
      <w:r w:rsidR="00894AE9">
        <w:t>’</w:t>
      </w:r>
      <w:r w:rsidR="000D316B">
        <w:t xml:space="preserve"> – a term used to describe deliberate </w:t>
      </w:r>
      <w:r w:rsidR="000D316B">
        <w:lastRenderedPageBreak/>
        <w:t xml:space="preserve">obfuscation of information by burying it in difficult-to-access recesses of a game/website. Xiao and colleagues (2021) </w:t>
      </w:r>
      <w:r w:rsidR="00655EF7">
        <w:t xml:space="preserve">suggested </w:t>
      </w:r>
      <w:r w:rsidR="000D316B">
        <w:t xml:space="preserve">careful </w:t>
      </w:r>
      <w:r w:rsidR="000D316B" w:rsidRPr="00F401DC">
        <w:t>consideration and implementation of any regulation to ensure developers are required to display odds automatically and prominently.</w:t>
      </w:r>
    </w:p>
    <w:p w14:paraId="27988FFA" w14:textId="77777777" w:rsidR="000D316B" w:rsidRDefault="000D316B" w:rsidP="00897FF2">
      <w:pPr>
        <w:pStyle w:val="BodyText"/>
        <w:rPr>
          <w:lang w:bidi="ar-SA"/>
        </w:rPr>
      </w:pPr>
      <w:proofErr w:type="spellStart"/>
      <w:r>
        <w:rPr>
          <w:lang w:bidi="ar-SA"/>
        </w:rPr>
        <w:t>Gainsbury</w:t>
      </w:r>
      <w:proofErr w:type="spellEnd"/>
      <w:r>
        <w:rPr>
          <w:lang w:bidi="ar-SA"/>
        </w:rPr>
        <w:t xml:space="preserve"> and colleagues (2014) </w:t>
      </w:r>
      <w:r w:rsidR="00725DAB">
        <w:rPr>
          <w:lang w:bidi="ar-SA"/>
        </w:rPr>
        <w:t xml:space="preserve">recommended </w:t>
      </w:r>
      <w:r>
        <w:rPr>
          <w:lang w:bidi="ar-SA"/>
        </w:rPr>
        <w:t>that social casino games be clearly distinguishable from gambling</w:t>
      </w:r>
      <w:r w:rsidR="00B22152">
        <w:rPr>
          <w:lang w:bidi="ar-SA"/>
        </w:rPr>
        <w:t xml:space="preserve"> to avoid misleading players</w:t>
      </w:r>
      <w:r>
        <w:rPr>
          <w:lang w:bidi="ar-SA"/>
        </w:rPr>
        <w:t>, particularly where the outcomes of games do not realistically depict the odds of gambling</w:t>
      </w:r>
      <w:r w:rsidR="001C0538">
        <w:rPr>
          <w:lang w:bidi="ar-SA"/>
        </w:rPr>
        <w:t>. P</w:t>
      </w:r>
      <w:r>
        <w:rPr>
          <w:lang w:bidi="ar-SA"/>
        </w:rPr>
        <w:t>roducts</w:t>
      </w:r>
      <w:r w:rsidR="001C0538">
        <w:rPr>
          <w:lang w:bidi="ar-SA"/>
        </w:rPr>
        <w:t xml:space="preserve"> should also</w:t>
      </w:r>
      <w:r>
        <w:rPr>
          <w:lang w:bidi="ar-SA"/>
        </w:rPr>
        <w:t xml:space="preserve"> include information on the similarities and differences </w:t>
      </w:r>
      <w:r w:rsidR="001131F7">
        <w:rPr>
          <w:lang w:bidi="ar-SA"/>
        </w:rPr>
        <w:t xml:space="preserve">between </w:t>
      </w:r>
      <w:r>
        <w:rPr>
          <w:lang w:bidi="ar-SA"/>
        </w:rPr>
        <w:t xml:space="preserve">simulated </w:t>
      </w:r>
      <w:r w:rsidR="001131F7">
        <w:rPr>
          <w:lang w:bidi="ar-SA"/>
        </w:rPr>
        <w:t xml:space="preserve">and </w:t>
      </w:r>
      <w:r>
        <w:rPr>
          <w:lang w:bidi="ar-SA"/>
        </w:rPr>
        <w:t>monetary gambling</w:t>
      </w:r>
      <w:r w:rsidR="00014C13" w:rsidRPr="00014C13">
        <w:t xml:space="preserve"> </w:t>
      </w:r>
      <w:r w:rsidR="00584DB3">
        <w:rPr>
          <w:lang w:bidi="ar-SA"/>
        </w:rPr>
        <w:t>(</w:t>
      </w:r>
      <w:proofErr w:type="spellStart"/>
      <w:r w:rsidR="00014C13" w:rsidRPr="00014C13">
        <w:rPr>
          <w:lang w:bidi="ar-SA"/>
        </w:rPr>
        <w:t>Gainsbury</w:t>
      </w:r>
      <w:proofErr w:type="spellEnd"/>
      <w:r w:rsidR="007E680D">
        <w:rPr>
          <w:lang w:bidi="ar-SA"/>
        </w:rPr>
        <w:t xml:space="preserve">, </w:t>
      </w:r>
      <w:r w:rsidR="007E680D">
        <w:t>King, Abarbanel</w:t>
      </w:r>
      <w:r w:rsidR="00014C13" w:rsidRPr="00014C13">
        <w:rPr>
          <w:lang w:bidi="ar-SA"/>
        </w:rPr>
        <w:t xml:space="preserve"> </w:t>
      </w:r>
      <w:r w:rsidR="00584DB3">
        <w:rPr>
          <w:lang w:bidi="ar-SA"/>
        </w:rPr>
        <w:t xml:space="preserve">et al., </w:t>
      </w:r>
      <w:r w:rsidR="00014C13" w:rsidRPr="00014C13">
        <w:rPr>
          <w:lang w:bidi="ar-SA"/>
        </w:rPr>
        <w:t>2015)</w:t>
      </w:r>
      <w:r>
        <w:rPr>
          <w:lang w:bidi="ar-SA"/>
        </w:rPr>
        <w:t xml:space="preserve">. </w:t>
      </w:r>
      <w:proofErr w:type="spellStart"/>
      <w:r>
        <w:rPr>
          <w:lang w:bidi="ar-SA"/>
        </w:rPr>
        <w:t>Carran</w:t>
      </w:r>
      <w:proofErr w:type="spellEnd"/>
      <w:r>
        <w:rPr>
          <w:lang w:bidi="ar-SA"/>
        </w:rPr>
        <w:t xml:space="preserve"> </w:t>
      </w:r>
      <w:r w:rsidR="007E680D">
        <w:rPr>
          <w:lang w:bidi="ar-SA"/>
        </w:rPr>
        <w:t xml:space="preserve">and </w:t>
      </w:r>
      <w:r>
        <w:rPr>
          <w:lang w:bidi="ar-SA"/>
        </w:rPr>
        <w:t xml:space="preserve">Griffiths (2015) recommended that simulated gambling products include clear information that in-game purchases only </w:t>
      </w:r>
      <w:r w:rsidR="007B7892">
        <w:rPr>
          <w:lang w:bidi="ar-SA"/>
        </w:rPr>
        <w:t xml:space="preserve">use </w:t>
      </w:r>
      <w:r>
        <w:rPr>
          <w:lang w:bidi="ar-SA"/>
        </w:rPr>
        <w:t>non-transferable credits or non-fungible tokens</w:t>
      </w:r>
      <w:r w:rsidR="00853D29">
        <w:rPr>
          <w:lang w:bidi="ar-SA"/>
        </w:rPr>
        <w:t xml:space="preserve">, </w:t>
      </w:r>
      <w:r>
        <w:rPr>
          <w:lang w:bidi="ar-SA"/>
        </w:rPr>
        <w:t xml:space="preserve">and not real money. </w:t>
      </w:r>
    </w:p>
    <w:p w14:paraId="22D81F79" w14:textId="77777777" w:rsidR="00004183" w:rsidRDefault="00004183" w:rsidP="00315257">
      <w:pPr>
        <w:pStyle w:val="Heading3"/>
      </w:pPr>
      <w:r>
        <w:t>Warning labels and messages</w:t>
      </w:r>
    </w:p>
    <w:p w14:paraId="583C1A88" w14:textId="77777777" w:rsidR="00206463" w:rsidRDefault="00206463" w:rsidP="00897FF2">
      <w:pPr>
        <w:pStyle w:val="BodyText"/>
        <w:rPr>
          <w:lang w:bidi="ar-SA"/>
        </w:rPr>
      </w:pPr>
      <w:r>
        <w:rPr>
          <w:lang w:bidi="ar-SA"/>
        </w:rPr>
        <w:t xml:space="preserve">There is a consensus in the literature that loot boxes and games that include simulated gambling should be consistently </w:t>
      </w:r>
      <w:r w:rsidR="004F6626">
        <w:rPr>
          <w:lang w:bidi="ar-SA"/>
        </w:rPr>
        <w:t>defined and</w:t>
      </w:r>
      <w:r>
        <w:rPr>
          <w:lang w:bidi="ar-SA"/>
        </w:rPr>
        <w:t xml:space="preserve"> labelled clearly and unambiguously (</w:t>
      </w:r>
      <w:proofErr w:type="spellStart"/>
      <w:r>
        <w:rPr>
          <w:lang w:bidi="ar-SA"/>
        </w:rPr>
        <w:t>Cerulli</w:t>
      </w:r>
      <w:proofErr w:type="spellEnd"/>
      <w:r>
        <w:rPr>
          <w:lang w:bidi="ar-SA"/>
        </w:rPr>
        <w:t xml:space="preserve">-Harms et al., </w:t>
      </w:r>
      <w:r w:rsidR="0033532F">
        <w:rPr>
          <w:lang w:bidi="ar-SA"/>
        </w:rPr>
        <w:t xml:space="preserve">2020; </w:t>
      </w:r>
      <w:r w:rsidR="002031B6" w:rsidRPr="002031B6">
        <w:rPr>
          <w:lang w:bidi="ar-SA"/>
        </w:rPr>
        <w:t>Children’s Commissioner for England, 2019;</w:t>
      </w:r>
      <w:r>
        <w:rPr>
          <w:lang w:bidi="ar-SA"/>
        </w:rPr>
        <w:t xml:space="preserve"> </w:t>
      </w:r>
      <w:proofErr w:type="spellStart"/>
      <w:r>
        <w:rPr>
          <w:lang w:bidi="ar-SA"/>
        </w:rPr>
        <w:t>Gainsbury</w:t>
      </w:r>
      <w:proofErr w:type="spellEnd"/>
      <w:r>
        <w:rPr>
          <w:lang w:bidi="ar-SA"/>
        </w:rPr>
        <w:t xml:space="preserve"> et al., 2014, </w:t>
      </w:r>
      <w:proofErr w:type="spellStart"/>
      <w:r w:rsidR="00DA5ADE" w:rsidRPr="00014C13">
        <w:rPr>
          <w:lang w:bidi="ar-SA"/>
        </w:rPr>
        <w:t>Gainsbury</w:t>
      </w:r>
      <w:proofErr w:type="spellEnd"/>
      <w:r w:rsidR="00DA5ADE">
        <w:rPr>
          <w:lang w:bidi="ar-SA"/>
        </w:rPr>
        <w:t xml:space="preserve">, </w:t>
      </w:r>
      <w:r w:rsidR="00DA5ADE">
        <w:t>King, Abarbanel</w:t>
      </w:r>
      <w:r w:rsidR="00DA5ADE" w:rsidRPr="00014C13">
        <w:rPr>
          <w:lang w:bidi="ar-SA"/>
        </w:rPr>
        <w:t xml:space="preserve"> </w:t>
      </w:r>
      <w:r w:rsidR="00DA5ADE">
        <w:rPr>
          <w:lang w:bidi="ar-SA"/>
        </w:rPr>
        <w:t xml:space="preserve">et al., </w:t>
      </w:r>
      <w:r>
        <w:rPr>
          <w:lang w:bidi="ar-SA"/>
        </w:rPr>
        <w:t xml:space="preserve">2015; King &amp; </w:t>
      </w:r>
      <w:proofErr w:type="spellStart"/>
      <w:r>
        <w:rPr>
          <w:lang w:bidi="ar-SA"/>
        </w:rPr>
        <w:t>Delfabbro</w:t>
      </w:r>
      <w:proofErr w:type="spellEnd"/>
      <w:r>
        <w:rPr>
          <w:lang w:bidi="ar-SA"/>
        </w:rPr>
        <w:t>, 2016</w:t>
      </w:r>
      <w:r w:rsidR="0033532F">
        <w:rPr>
          <w:lang w:bidi="ar-SA"/>
        </w:rPr>
        <w:t>;</w:t>
      </w:r>
      <w:r>
        <w:rPr>
          <w:lang w:bidi="ar-SA"/>
        </w:rPr>
        <w:t xml:space="preserve"> </w:t>
      </w:r>
      <w:proofErr w:type="spellStart"/>
      <w:r>
        <w:rPr>
          <w:lang w:bidi="ar-SA"/>
        </w:rPr>
        <w:t>Zendle</w:t>
      </w:r>
      <w:proofErr w:type="spellEnd"/>
      <w:r w:rsidR="00E0432A">
        <w:rPr>
          <w:lang w:bidi="ar-SA"/>
        </w:rPr>
        <w:t xml:space="preserve">, Cairns, </w:t>
      </w:r>
      <w:r>
        <w:rPr>
          <w:lang w:bidi="ar-SA"/>
        </w:rPr>
        <w:t>et al., 20</w:t>
      </w:r>
      <w:r w:rsidR="00E0432A">
        <w:rPr>
          <w:lang w:bidi="ar-SA"/>
        </w:rPr>
        <w:t>19</w:t>
      </w:r>
      <w:r>
        <w:rPr>
          <w:lang w:bidi="ar-SA"/>
        </w:rPr>
        <w:t>)</w:t>
      </w:r>
      <w:r w:rsidR="0073668B">
        <w:rPr>
          <w:lang w:bidi="ar-SA"/>
        </w:rPr>
        <w:t>.</w:t>
      </w:r>
      <w:r>
        <w:rPr>
          <w:lang w:bidi="ar-SA"/>
        </w:rPr>
        <w:t xml:space="preserve"> Hing and colleagues (2021) recommended labelling such as, </w:t>
      </w:r>
      <w:r w:rsidR="00DA5ADE">
        <w:rPr>
          <w:lang w:bidi="ar-SA"/>
        </w:rPr>
        <w:t>‘</w:t>
      </w:r>
      <w:r>
        <w:rPr>
          <w:lang w:bidi="ar-SA"/>
        </w:rPr>
        <w:t>game offers in-game purchases</w:t>
      </w:r>
      <w:r w:rsidR="00DA5ADE">
        <w:rPr>
          <w:lang w:bidi="ar-SA"/>
        </w:rPr>
        <w:t>’</w:t>
      </w:r>
      <w:r>
        <w:rPr>
          <w:lang w:bidi="ar-SA"/>
        </w:rPr>
        <w:t xml:space="preserve"> or </w:t>
      </w:r>
      <w:r w:rsidR="00DA5ADE">
        <w:rPr>
          <w:lang w:bidi="ar-SA"/>
        </w:rPr>
        <w:t>‘</w:t>
      </w:r>
      <w:r>
        <w:rPr>
          <w:lang w:bidi="ar-SA"/>
        </w:rPr>
        <w:t>simulated gambling</w:t>
      </w:r>
      <w:r w:rsidR="00DA5ADE">
        <w:rPr>
          <w:lang w:bidi="ar-SA"/>
        </w:rPr>
        <w:t>’</w:t>
      </w:r>
      <w:r>
        <w:rPr>
          <w:lang w:bidi="ar-SA"/>
        </w:rPr>
        <w:t>.</w:t>
      </w:r>
    </w:p>
    <w:p w14:paraId="709243F6" w14:textId="5C54E358" w:rsidR="00004183" w:rsidRDefault="00FB0E84" w:rsidP="00897FF2">
      <w:pPr>
        <w:pStyle w:val="BodyText"/>
        <w:rPr>
          <w:lang w:bidi="ar-SA"/>
        </w:rPr>
      </w:pPr>
      <w:r>
        <w:rPr>
          <w:lang w:bidi="ar-SA"/>
        </w:rPr>
        <w:t xml:space="preserve">Authors </w:t>
      </w:r>
      <w:r w:rsidR="001746E4">
        <w:rPr>
          <w:lang w:bidi="ar-SA"/>
        </w:rPr>
        <w:t xml:space="preserve">also </w:t>
      </w:r>
      <w:r w:rsidR="00004183">
        <w:rPr>
          <w:lang w:bidi="ar-SA"/>
        </w:rPr>
        <w:t xml:space="preserve">recommended that games with loot boxes, simulated gambling, and microtransactions provide consumers with warning labels or messages on the potential risks associated with these products (Dickins &amp; Thomas, 2016; </w:t>
      </w:r>
      <w:proofErr w:type="spellStart"/>
      <w:r w:rsidR="00004183">
        <w:rPr>
          <w:lang w:bidi="ar-SA"/>
        </w:rPr>
        <w:t>Carran</w:t>
      </w:r>
      <w:proofErr w:type="spellEnd"/>
      <w:r w:rsidR="00004183">
        <w:rPr>
          <w:lang w:bidi="ar-SA"/>
        </w:rPr>
        <w:t xml:space="preserve"> &amp; Griffiths, 2015; </w:t>
      </w:r>
      <w:proofErr w:type="spellStart"/>
      <w:r w:rsidR="00C3318D" w:rsidRPr="00014C13">
        <w:rPr>
          <w:lang w:bidi="ar-SA"/>
        </w:rPr>
        <w:t>Gainsbury</w:t>
      </w:r>
      <w:proofErr w:type="spellEnd"/>
      <w:r w:rsidR="00C3318D">
        <w:rPr>
          <w:lang w:bidi="ar-SA"/>
        </w:rPr>
        <w:t xml:space="preserve">, </w:t>
      </w:r>
      <w:r w:rsidR="00C3318D">
        <w:t>King, Abarbanel</w:t>
      </w:r>
      <w:r w:rsidR="00C3318D" w:rsidRPr="00014C13">
        <w:rPr>
          <w:lang w:bidi="ar-SA"/>
        </w:rPr>
        <w:t xml:space="preserve"> </w:t>
      </w:r>
      <w:r w:rsidR="00C3318D">
        <w:rPr>
          <w:lang w:bidi="ar-SA"/>
        </w:rPr>
        <w:t xml:space="preserve">et al., </w:t>
      </w:r>
      <w:r w:rsidR="00004183">
        <w:rPr>
          <w:lang w:bidi="ar-SA"/>
        </w:rPr>
        <w:t xml:space="preserve">2015, </w:t>
      </w:r>
      <w:proofErr w:type="spellStart"/>
      <w:r w:rsidR="00C3318D" w:rsidRPr="00014C13">
        <w:rPr>
          <w:lang w:bidi="ar-SA"/>
        </w:rPr>
        <w:t>Gainsbury</w:t>
      </w:r>
      <w:proofErr w:type="spellEnd"/>
      <w:r w:rsidR="00C3318D">
        <w:rPr>
          <w:lang w:bidi="ar-SA"/>
        </w:rPr>
        <w:t xml:space="preserve">, </w:t>
      </w:r>
      <w:r w:rsidR="00C3318D">
        <w:t xml:space="preserve">King, </w:t>
      </w:r>
      <w:proofErr w:type="spellStart"/>
      <w:r w:rsidR="00C3318D">
        <w:t>Delfabbro</w:t>
      </w:r>
      <w:proofErr w:type="spellEnd"/>
      <w:r w:rsidR="00C3318D" w:rsidRPr="00014C13">
        <w:rPr>
          <w:lang w:bidi="ar-SA"/>
        </w:rPr>
        <w:t xml:space="preserve"> </w:t>
      </w:r>
      <w:r w:rsidR="00C3318D">
        <w:rPr>
          <w:lang w:bidi="ar-SA"/>
        </w:rPr>
        <w:t xml:space="preserve">et al., </w:t>
      </w:r>
      <w:r w:rsidR="00004183">
        <w:rPr>
          <w:lang w:bidi="ar-SA"/>
        </w:rPr>
        <w:t>2015; Gong &amp; Rodda, 2020; Shi et al., 2021; Stevens et al., 2021). Recommendations for specific types of warning labels/messages included:</w:t>
      </w:r>
    </w:p>
    <w:p w14:paraId="36463372" w14:textId="75E60E97" w:rsidR="00004183" w:rsidRDefault="00B91743" w:rsidP="00315257">
      <w:pPr>
        <w:pStyle w:val="ListBullet"/>
      </w:pPr>
      <w:r>
        <w:t>S</w:t>
      </w:r>
      <w:r w:rsidR="00004183">
        <w:t>imulated gambling</w:t>
      </w:r>
      <w:r>
        <w:t xml:space="preserve"> and potential risks of excessive play</w:t>
      </w:r>
      <w:r w:rsidR="00004183">
        <w:t xml:space="preserve"> (Dickins &amp; Thomas, 2016; </w:t>
      </w:r>
      <w:proofErr w:type="spellStart"/>
      <w:r w:rsidR="00004183">
        <w:t>Gainsbury</w:t>
      </w:r>
      <w:proofErr w:type="spellEnd"/>
      <w:r w:rsidR="009C5385">
        <w:rPr>
          <w:lang w:bidi="ar-SA"/>
        </w:rPr>
        <w:t xml:space="preserve">, </w:t>
      </w:r>
      <w:r w:rsidR="009C5385">
        <w:t>King, Abarbanel</w:t>
      </w:r>
      <w:r w:rsidR="009C5385">
        <w:rPr>
          <w:lang w:bidi="ar-SA"/>
        </w:rPr>
        <w:t xml:space="preserve"> </w:t>
      </w:r>
      <w:r w:rsidR="00004183">
        <w:t>et al., 2015)</w:t>
      </w:r>
    </w:p>
    <w:p w14:paraId="3E3078A7" w14:textId="77777777" w:rsidR="00004183" w:rsidRDefault="00004183" w:rsidP="00315257">
      <w:pPr>
        <w:pStyle w:val="ListBullet"/>
      </w:pPr>
      <w:r>
        <w:t>Simulated gambling may exacerbate gambling (</w:t>
      </w:r>
      <w:proofErr w:type="spellStart"/>
      <w:r>
        <w:t>Gainsbury</w:t>
      </w:r>
      <w:proofErr w:type="spellEnd"/>
      <w:r w:rsidR="009C5385">
        <w:t>, King, Abarbanel</w:t>
      </w:r>
      <w:r>
        <w:t xml:space="preserve"> et al., 2015)</w:t>
      </w:r>
    </w:p>
    <w:p w14:paraId="64916925" w14:textId="77777777" w:rsidR="00004183" w:rsidRDefault="00004183" w:rsidP="00315257">
      <w:pPr>
        <w:pStyle w:val="ListBullet"/>
      </w:pPr>
      <w:r>
        <w:t>Simulated gambling could contribute to gambling harms, especially for vulnerable populations such as youth (</w:t>
      </w:r>
      <w:proofErr w:type="spellStart"/>
      <w:r>
        <w:t>Gainsbury</w:t>
      </w:r>
      <w:proofErr w:type="spellEnd"/>
      <w:r>
        <w:t xml:space="preserve"> </w:t>
      </w:r>
      <w:r w:rsidR="009C5385">
        <w:t xml:space="preserve">King, </w:t>
      </w:r>
      <w:proofErr w:type="spellStart"/>
      <w:r w:rsidR="009C5385">
        <w:t>Del</w:t>
      </w:r>
      <w:r w:rsidR="000E25C4">
        <w:t>fabbro</w:t>
      </w:r>
      <w:proofErr w:type="spellEnd"/>
      <w:r w:rsidR="009C5385">
        <w:rPr>
          <w:lang w:bidi="ar-SA"/>
        </w:rPr>
        <w:t xml:space="preserve"> </w:t>
      </w:r>
      <w:r>
        <w:t>et al., 2015)</w:t>
      </w:r>
    </w:p>
    <w:p w14:paraId="397B9F69" w14:textId="77777777" w:rsidR="00004183" w:rsidRDefault="00004183" w:rsidP="00315257">
      <w:pPr>
        <w:pStyle w:val="ListBullet"/>
      </w:pPr>
      <w:r>
        <w:t>In-game purchasing could lead to gaming disorder (Stevens et al., 2021)</w:t>
      </w:r>
      <w:r w:rsidR="0052156A">
        <w:t>.</w:t>
      </w:r>
    </w:p>
    <w:p w14:paraId="569F595B" w14:textId="62E2E953" w:rsidR="00BC0B76" w:rsidRPr="00D345D9" w:rsidRDefault="00BC0B76" w:rsidP="00315257">
      <w:pPr>
        <w:pStyle w:val="Heading3"/>
      </w:pPr>
      <w:r>
        <w:t>Prominent</w:t>
      </w:r>
      <w:r w:rsidRPr="00D345D9">
        <w:t xml:space="preserve"> information</w:t>
      </w:r>
      <w:r w:rsidR="005B6314">
        <w:t xml:space="preserve"> about support services</w:t>
      </w:r>
    </w:p>
    <w:p w14:paraId="3A33EC93" w14:textId="66BB6079" w:rsidR="00BC0B76" w:rsidRDefault="0061247B" w:rsidP="00897FF2">
      <w:pPr>
        <w:pStyle w:val="BodyText"/>
      </w:pPr>
      <w:r>
        <w:t>Several</w:t>
      </w:r>
      <w:r w:rsidR="00BC0B76">
        <w:t xml:space="preserve"> authors highlighted the limited information and services currently available to support individuals to reduce harm from loot box and </w:t>
      </w:r>
      <w:r w:rsidR="00BC0B76" w:rsidRPr="00D345D9">
        <w:t>simulated gambling</w:t>
      </w:r>
      <w:r w:rsidR="00727520">
        <w:t xml:space="preserve"> </w:t>
      </w:r>
      <w:r w:rsidR="00F024F9">
        <w:t>engagement</w:t>
      </w:r>
      <w:r w:rsidR="00964CEE">
        <w:t>,</w:t>
      </w:r>
      <w:r w:rsidR="002E5A9C" w:rsidRPr="002E5A9C">
        <w:t xml:space="preserve"> </w:t>
      </w:r>
      <w:r w:rsidR="002E5A9C">
        <w:t xml:space="preserve">and </w:t>
      </w:r>
      <w:r w:rsidR="002E5A9C" w:rsidRPr="002E5A9C">
        <w:t>recommended the inclusion of gambling, gaming and/or mental health support information in games</w:t>
      </w:r>
      <w:r w:rsidR="00BC0B76" w:rsidRPr="00D345D9">
        <w:t xml:space="preserve"> </w:t>
      </w:r>
      <w:r w:rsidR="00BC0B76">
        <w:t>(</w:t>
      </w:r>
      <w:proofErr w:type="spellStart"/>
      <w:r w:rsidR="00BC0B76">
        <w:t>Gainsbury</w:t>
      </w:r>
      <w:proofErr w:type="spellEnd"/>
      <w:r w:rsidR="000E25C4">
        <w:t>,</w:t>
      </w:r>
      <w:r w:rsidR="000E25C4" w:rsidRPr="000E25C4">
        <w:rPr>
          <w:lang w:bidi="ar-SA"/>
        </w:rPr>
        <w:t xml:space="preserve"> </w:t>
      </w:r>
      <w:r w:rsidR="000E25C4">
        <w:t>King, Abarbanel</w:t>
      </w:r>
      <w:r w:rsidR="000E25C4" w:rsidRPr="00014C13">
        <w:rPr>
          <w:lang w:bidi="ar-SA"/>
        </w:rPr>
        <w:t xml:space="preserve"> </w:t>
      </w:r>
      <w:r w:rsidR="00BC0B76">
        <w:t>et al., 2015</w:t>
      </w:r>
      <w:r w:rsidR="000E25C4">
        <w:t xml:space="preserve">; </w:t>
      </w:r>
      <w:proofErr w:type="spellStart"/>
      <w:r w:rsidR="000E25C4" w:rsidRPr="00014C13">
        <w:rPr>
          <w:lang w:bidi="ar-SA"/>
        </w:rPr>
        <w:t>Gainsbury</w:t>
      </w:r>
      <w:proofErr w:type="spellEnd"/>
      <w:r w:rsidR="000E25C4">
        <w:rPr>
          <w:lang w:bidi="ar-SA"/>
        </w:rPr>
        <w:t xml:space="preserve">, </w:t>
      </w:r>
      <w:r w:rsidR="000E25C4">
        <w:t xml:space="preserve">King, </w:t>
      </w:r>
      <w:proofErr w:type="spellStart"/>
      <w:r w:rsidR="000E25C4">
        <w:t>Delfabbro</w:t>
      </w:r>
      <w:proofErr w:type="spellEnd"/>
      <w:r w:rsidR="000E25C4" w:rsidRPr="00014C13">
        <w:rPr>
          <w:lang w:bidi="ar-SA"/>
        </w:rPr>
        <w:t xml:space="preserve"> </w:t>
      </w:r>
      <w:r w:rsidR="000E25C4">
        <w:rPr>
          <w:lang w:bidi="ar-SA"/>
        </w:rPr>
        <w:t xml:space="preserve">et al., </w:t>
      </w:r>
      <w:r w:rsidR="00BC0B76">
        <w:t xml:space="preserve">2015; Gong &amp; Rodda, 2020; Hing et al., 2020, 2021). Specific recommendations included listing safe gaming and gambling practices (Gong &amp; Rodda, 2020), links to apps and videos demonstrating responsible gambling practices (Hing et al., 2021), and links to external service providers and other resources (Hing et al., 2020). </w:t>
      </w:r>
    </w:p>
    <w:p w14:paraId="7507882F" w14:textId="71701523" w:rsidR="00BC0B76" w:rsidRDefault="00BC0B76" w:rsidP="00897FF2">
      <w:pPr>
        <w:pStyle w:val="BodyText"/>
      </w:pPr>
      <w:r>
        <w:t xml:space="preserve">Other authors recommended the development of processes to tailor support to individuals or cohorts that may be at increased risk of harm from simulated gambling. This </w:t>
      </w:r>
      <w:r w:rsidR="00072A41">
        <w:t xml:space="preserve">could </w:t>
      </w:r>
      <w:r>
        <w:t xml:space="preserve">involve the development of programs that monitor, </w:t>
      </w:r>
      <w:proofErr w:type="gramStart"/>
      <w:r>
        <w:t>identify</w:t>
      </w:r>
      <w:proofErr w:type="gramEnd"/>
      <w:r>
        <w:t xml:space="preserve"> and target at-risk individuals to provide needs-based and age-appropriate prevention, </w:t>
      </w:r>
      <w:r w:rsidR="00655661">
        <w:t>education</w:t>
      </w:r>
      <w:r>
        <w:t xml:space="preserve"> and support/treatment services, while balancing individuals’ privacy and security (Kristiansen &amp; Severin, 2020a; Steinmetz et al., 2021; </w:t>
      </w:r>
      <w:proofErr w:type="spellStart"/>
      <w:r>
        <w:t>Veselka</w:t>
      </w:r>
      <w:proofErr w:type="spellEnd"/>
      <w:r>
        <w:t xml:space="preserve"> et al., 2018; Yokomitsu et al., 2021). </w:t>
      </w:r>
      <w:proofErr w:type="spellStart"/>
      <w:r>
        <w:t>Gainsbury</w:t>
      </w:r>
      <w:proofErr w:type="spellEnd"/>
      <w:r w:rsidR="00247F5B">
        <w:t>, King, Abarbanel</w:t>
      </w:r>
      <w:r w:rsidR="00247F5B" w:rsidRPr="00014C13">
        <w:rPr>
          <w:lang w:bidi="ar-SA"/>
        </w:rPr>
        <w:t xml:space="preserve"> </w:t>
      </w:r>
      <w:r>
        <w:t xml:space="preserve">and colleagues </w:t>
      </w:r>
      <w:r>
        <w:lastRenderedPageBreak/>
        <w:t xml:space="preserve">(2015) recommended that game operators identify, </w:t>
      </w:r>
      <w:proofErr w:type="gramStart"/>
      <w:r>
        <w:t>contact</w:t>
      </w:r>
      <w:proofErr w:type="gramEnd"/>
      <w:r>
        <w:t xml:space="preserve"> and assist problematic simulated gamblers. </w:t>
      </w:r>
    </w:p>
    <w:p w14:paraId="3D006989" w14:textId="12D05C9B" w:rsidR="00A92D99" w:rsidRDefault="00AF0810" w:rsidP="00D91E50">
      <w:pPr>
        <w:pStyle w:val="Heading3"/>
      </w:pPr>
      <w:r>
        <w:t>Education and public awareness</w:t>
      </w:r>
    </w:p>
    <w:p w14:paraId="53DD8D5A" w14:textId="68592186" w:rsidR="00AF0810" w:rsidRPr="00AF0810" w:rsidRDefault="001971A4" w:rsidP="00897FF2">
      <w:pPr>
        <w:pStyle w:val="BodyText"/>
        <w:rPr>
          <w:lang w:bidi="ar-SA"/>
        </w:rPr>
      </w:pPr>
      <w:r>
        <w:rPr>
          <w:lang w:bidi="ar-SA"/>
        </w:rPr>
        <w:t>Another</w:t>
      </w:r>
      <w:r w:rsidR="000A6981">
        <w:rPr>
          <w:lang w:bidi="ar-SA"/>
        </w:rPr>
        <w:t xml:space="preserve"> key</w:t>
      </w:r>
      <w:r w:rsidR="000A6981" w:rsidDel="005B6314">
        <w:rPr>
          <w:lang w:bidi="ar-SA"/>
        </w:rPr>
        <w:t xml:space="preserve"> </w:t>
      </w:r>
      <w:r w:rsidR="00765416">
        <w:rPr>
          <w:lang w:bidi="ar-SA"/>
        </w:rPr>
        <w:t>recommendation</w:t>
      </w:r>
      <w:r w:rsidR="005B6314">
        <w:rPr>
          <w:lang w:bidi="ar-SA"/>
        </w:rPr>
        <w:t xml:space="preserve"> </w:t>
      </w:r>
      <w:r w:rsidR="00DF17F0">
        <w:rPr>
          <w:lang w:bidi="ar-SA"/>
        </w:rPr>
        <w:t xml:space="preserve">was </w:t>
      </w:r>
      <w:r w:rsidR="00970E17">
        <w:rPr>
          <w:lang w:bidi="ar-SA"/>
        </w:rPr>
        <w:t>public health messaging and</w:t>
      </w:r>
      <w:r w:rsidR="0066008E">
        <w:rPr>
          <w:lang w:bidi="ar-SA"/>
        </w:rPr>
        <w:t xml:space="preserve"> education</w:t>
      </w:r>
      <w:r w:rsidR="00970E17">
        <w:rPr>
          <w:lang w:bidi="ar-SA"/>
        </w:rPr>
        <w:t xml:space="preserve"> campaigns</w:t>
      </w:r>
      <w:r w:rsidR="0066008E">
        <w:rPr>
          <w:lang w:bidi="ar-SA"/>
        </w:rPr>
        <w:t xml:space="preserve"> </w:t>
      </w:r>
      <w:r w:rsidR="00CA00B6">
        <w:rPr>
          <w:lang w:bidi="ar-SA"/>
        </w:rPr>
        <w:t>directed at at-risk groups such as</w:t>
      </w:r>
      <w:r w:rsidR="00970E17">
        <w:rPr>
          <w:lang w:bidi="ar-SA"/>
        </w:rPr>
        <w:t xml:space="preserve"> </w:t>
      </w:r>
      <w:r w:rsidR="000047BC">
        <w:rPr>
          <w:lang w:bidi="ar-SA"/>
        </w:rPr>
        <w:t xml:space="preserve">children, </w:t>
      </w:r>
      <w:r w:rsidR="00B93D1A">
        <w:rPr>
          <w:lang w:bidi="ar-SA"/>
        </w:rPr>
        <w:t>adolescents</w:t>
      </w:r>
      <w:r w:rsidR="00970E17">
        <w:rPr>
          <w:lang w:bidi="ar-SA"/>
        </w:rPr>
        <w:t xml:space="preserve"> and young adults</w:t>
      </w:r>
      <w:r w:rsidR="00CA00B6">
        <w:rPr>
          <w:lang w:bidi="ar-SA"/>
        </w:rPr>
        <w:t xml:space="preserve"> (</w:t>
      </w:r>
      <w:proofErr w:type="spellStart"/>
      <w:r w:rsidR="00FD69B9">
        <w:rPr>
          <w:lang w:bidi="ar-SA"/>
        </w:rPr>
        <w:t>Cerulli</w:t>
      </w:r>
      <w:proofErr w:type="spellEnd"/>
      <w:r w:rsidR="00FD69B9">
        <w:rPr>
          <w:lang w:bidi="ar-SA"/>
        </w:rPr>
        <w:t xml:space="preserve">-Harms et al., 2020; </w:t>
      </w:r>
      <w:r w:rsidR="00CA00B6">
        <w:rPr>
          <w:lang w:bidi="ar-SA"/>
        </w:rPr>
        <w:t xml:space="preserve">Close et al., 2021; </w:t>
      </w:r>
      <w:proofErr w:type="spellStart"/>
      <w:r w:rsidR="009F080F">
        <w:rPr>
          <w:lang w:bidi="ar-SA"/>
        </w:rPr>
        <w:t>Gainsbury</w:t>
      </w:r>
      <w:proofErr w:type="spellEnd"/>
      <w:r w:rsidR="009F080F">
        <w:rPr>
          <w:lang w:bidi="ar-SA"/>
        </w:rPr>
        <w:t xml:space="preserve"> et al., </w:t>
      </w:r>
      <w:r w:rsidR="001B2E72">
        <w:rPr>
          <w:lang w:bidi="ar-SA"/>
        </w:rPr>
        <w:t>2014</w:t>
      </w:r>
      <w:r w:rsidR="004E676A">
        <w:rPr>
          <w:lang w:bidi="ar-SA"/>
        </w:rPr>
        <w:t xml:space="preserve">; </w:t>
      </w:r>
      <w:proofErr w:type="spellStart"/>
      <w:r w:rsidR="004E676A" w:rsidRPr="00014C13">
        <w:rPr>
          <w:lang w:bidi="ar-SA"/>
        </w:rPr>
        <w:t>Gainsbury</w:t>
      </w:r>
      <w:proofErr w:type="spellEnd"/>
      <w:r w:rsidR="004E676A">
        <w:rPr>
          <w:lang w:bidi="ar-SA"/>
        </w:rPr>
        <w:t xml:space="preserve">, </w:t>
      </w:r>
      <w:r w:rsidR="004E676A">
        <w:t>King, Abarbanel</w:t>
      </w:r>
      <w:r w:rsidR="004E676A" w:rsidRPr="00014C13">
        <w:rPr>
          <w:lang w:bidi="ar-SA"/>
        </w:rPr>
        <w:t xml:space="preserve"> </w:t>
      </w:r>
      <w:r w:rsidR="004E676A">
        <w:rPr>
          <w:lang w:bidi="ar-SA"/>
        </w:rPr>
        <w:t xml:space="preserve">et al., </w:t>
      </w:r>
      <w:r w:rsidR="009F080F">
        <w:rPr>
          <w:lang w:bidi="ar-SA"/>
        </w:rPr>
        <w:t>2015</w:t>
      </w:r>
      <w:r w:rsidR="004E676A">
        <w:rPr>
          <w:lang w:bidi="ar-SA"/>
        </w:rPr>
        <w:t xml:space="preserve">; </w:t>
      </w:r>
      <w:proofErr w:type="spellStart"/>
      <w:r w:rsidR="004E676A" w:rsidRPr="00014C13">
        <w:rPr>
          <w:lang w:bidi="ar-SA"/>
        </w:rPr>
        <w:t>Gainsbury</w:t>
      </w:r>
      <w:proofErr w:type="spellEnd"/>
      <w:r w:rsidR="004E676A">
        <w:rPr>
          <w:lang w:bidi="ar-SA"/>
        </w:rPr>
        <w:t xml:space="preserve">, </w:t>
      </w:r>
      <w:r w:rsidR="004E676A">
        <w:t xml:space="preserve">King, </w:t>
      </w:r>
      <w:proofErr w:type="spellStart"/>
      <w:r w:rsidR="004E676A">
        <w:t>Delfabbro</w:t>
      </w:r>
      <w:proofErr w:type="spellEnd"/>
      <w:r w:rsidR="004E676A" w:rsidRPr="00014C13">
        <w:rPr>
          <w:lang w:bidi="ar-SA"/>
        </w:rPr>
        <w:t xml:space="preserve"> </w:t>
      </w:r>
      <w:r w:rsidR="004E676A">
        <w:rPr>
          <w:lang w:bidi="ar-SA"/>
        </w:rPr>
        <w:t xml:space="preserve">et al., </w:t>
      </w:r>
      <w:r w:rsidR="009F080F">
        <w:rPr>
          <w:lang w:bidi="ar-SA"/>
        </w:rPr>
        <w:t xml:space="preserve">2015; Hing et al., </w:t>
      </w:r>
      <w:r w:rsidR="00F32AE7">
        <w:rPr>
          <w:lang w:bidi="ar-SA"/>
        </w:rPr>
        <w:t xml:space="preserve">2020, </w:t>
      </w:r>
      <w:r w:rsidR="009F080F">
        <w:rPr>
          <w:lang w:bidi="ar-SA"/>
        </w:rPr>
        <w:t>2021</w:t>
      </w:r>
      <w:r w:rsidR="008918A3">
        <w:rPr>
          <w:lang w:bidi="ar-SA"/>
        </w:rPr>
        <w:t xml:space="preserve">; </w:t>
      </w:r>
      <w:r w:rsidR="0015258D">
        <w:rPr>
          <w:lang w:bidi="ar-SA"/>
        </w:rPr>
        <w:t xml:space="preserve">King, 2018; </w:t>
      </w:r>
      <w:r w:rsidR="00764B04">
        <w:rPr>
          <w:lang w:bidi="ar-SA"/>
        </w:rPr>
        <w:t xml:space="preserve">King &amp; </w:t>
      </w:r>
      <w:proofErr w:type="spellStart"/>
      <w:r w:rsidR="00764B04">
        <w:rPr>
          <w:lang w:bidi="ar-SA"/>
        </w:rPr>
        <w:t>Delfabbro</w:t>
      </w:r>
      <w:proofErr w:type="spellEnd"/>
      <w:r w:rsidR="00764B04">
        <w:rPr>
          <w:lang w:bidi="ar-SA"/>
        </w:rPr>
        <w:t xml:space="preserve">, 2016; </w:t>
      </w:r>
      <w:r w:rsidR="008918A3">
        <w:rPr>
          <w:lang w:bidi="ar-SA"/>
        </w:rPr>
        <w:t>Spicer et al., 2021</w:t>
      </w:r>
      <w:r w:rsidR="00B56A0B">
        <w:rPr>
          <w:lang w:bidi="ar-SA"/>
        </w:rPr>
        <w:t>; Stark et al., 2020</w:t>
      </w:r>
      <w:r w:rsidR="009D0A55">
        <w:rPr>
          <w:lang w:bidi="ar-SA"/>
        </w:rPr>
        <w:t xml:space="preserve">; </w:t>
      </w:r>
      <w:r w:rsidR="009D0A55">
        <w:t>Steinmetz et al., 2021</w:t>
      </w:r>
      <w:r w:rsidR="00EA6534">
        <w:rPr>
          <w:lang w:bidi="ar-SA"/>
        </w:rPr>
        <w:t>)</w:t>
      </w:r>
      <w:r w:rsidR="004F3BD2">
        <w:rPr>
          <w:lang w:bidi="ar-SA"/>
        </w:rPr>
        <w:t>,</w:t>
      </w:r>
      <w:r w:rsidR="006D66D3">
        <w:rPr>
          <w:lang w:bidi="ar-SA"/>
        </w:rPr>
        <w:t xml:space="preserve"> </w:t>
      </w:r>
      <w:r w:rsidR="00275508">
        <w:rPr>
          <w:lang w:bidi="ar-SA"/>
        </w:rPr>
        <w:t xml:space="preserve">as well as people </w:t>
      </w:r>
      <w:r w:rsidR="000205A3">
        <w:rPr>
          <w:lang w:bidi="ar-SA"/>
        </w:rPr>
        <w:t xml:space="preserve">at-risk </w:t>
      </w:r>
      <w:r w:rsidR="00275508">
        <w:rPr>
          <w:lang w:bidi="ar-SA"/>
        </w:rPr>
        <w:t>for gambling harm</w:t>
      </w:r>
      <w:r w:rsidR="000205A3">
        <w:rPr>
          <w:lang w:bidi="ar-SA"/>
        </w:rPr>
        <w:t xml:space="preserve"> (</w:t>
      </w:r>
      <w:proofErr w:type="spellStart"/>
      <w:r w:rsidR="00EE2F67">
        <w:rPr>
          <w:lang w:bidi="ar-SA"/>
        </w:rPr>
        <w:t>Gainsbury</w:t>
      </w:r>
      <w:proofErr w:type="spellEnd"/>
      <w:r w:rsidR="004E676A" w:rsidRPr="004E676A">
        <w:rPr>
          <w:lang w:bidi="ar-SA"/>
        </w:rPr>
        <w:t xml:space="preserve"> </w:t>
      </w:r>
      <w:r w:rsidR="004E676A">
        <w:t xml:space="preserve">King, </w:t>
      </w:r>
      <w:proofErr w:type="spellStart"/>
      <w:r w:rsidR="004E676A">
        <w:t>Delfabbro</w:t>
      </w:r>
      <w:proofErr w:type="spellEnd"/>
      <w:r w:rsidR="00EE2F67">
        <w:rPr>
          <w:lang w:bidi="ar-SA"/>
        </w:rPr>
        <w:t xml:space="preserve"> et al., 2015; </w:t>
      </w:r>
      <w:r w:rsidR="000205A3">
        <w:rPr>
          <w:lang w:bidi="ar-SA"/>
        </w:rPr>
        <w:t>Kim et al., 2016).</w:t>
      </w:r>
      <w:r w:rsidR="006E28CB">
        <w:rPr>
          <w:lang w:bidi="ar-SA"/>
        </w:rPr>
        <w:t xml:space="preserve"> </w:t>
      </w:r>
      <w:r w:rsidR="00DF677F">
        <w:rPr>
          <w:lang w:bidi="ar-SA"/>
        </w:rPr>
        <w:t xml:space="preserve">Authors </w:t>
      </w:r>
      <w:r w:rsidR="00786252">
        <w:rPr>
          <w:lang w:bidi="ar-SA"/>
        </w:rPr>
        <w:t xml:space="preserve">recommended </w:t>
      </w:r>
      <w:r w:rsidR="005B7949">
        <w:rPr>
          <w:lang w:bidi="ar-SA"/>
        </w:rPr>
        <w:t xml:space="preserve">the provision of </w:t>
      </w:r>
      <w:r w:rsidR="00786252">
        <w:rPr>
          <w:lang w:bidi="ar-SA"/>
        </w:rPr>
        <w:t>p</w:t>
      </w:r>
      <w:r w:rsidR="00EA44B0">
        <w:t>arental education and tools to effectively monitor, control and protect children from harm associated with these products</w:t>
      </w:r>
      <w:r w:rsidR="00786252">
        <w:t xml:space="preserve"> </w:t>
      </w:r>
      <w:r w:rsidR="00EA44B0">
        <w:t>(</w:t>
      </w:r>
      <w:proofErr w:type="spellStart"/>
      <w:r w:rsidR="00EA44B0">
        <w:t>Cerulli</w:t>
      </w:r>
      <w:proofErr w:type="spellEnd"/>
      <w:r w:rsidR="00EA44B0">
        <w:t xml:space="preserve">-Harms et al., 2020; Children’s Commissioner for England, 2019; </w:t>
      </w:r>
      <w:proofErr w:type="spellStart"/>
      <w:r w:rsidR="00EA44B0">
        <w:t>Gainsbury</w:t>
      </w:r>
      <w:proofErr w:type="spellEnd"/>
      <w:r w:rsidR="004E676A">
        <w:t>,</w:t>
      </w:r>
      <w:r w:rsidR="004E676A" w:rsidRPr="004E676A">
        <w:rPr>
          <w:lang w:bidi="ar-SA"/>
        </w:rPr>
        <w:t xml:space="preserve"> </w:t>
      </w:r>
      <w:r w:rsidR="004E676A">
        <w:t xml:space="preserve">King, </w:t>
      </w:r>
      <w:proofErr w:type="spellStart"/>
      <w:r w:rsidR="004E676A">
        <w:t>De</w:t>
      </w:r>
      <w:r w:rsidR="00AD2402">
        <w:t>lfabbro</w:t>
      </w:r>
      <w:proofErr w:type="spellEnd"/>
      <w:r w:rsidR="00EA44B0">
        <w:t xml:space="preserve"> et al., 2015; Hing et al., 2021; King, 2018</w:t>
      </w:r>
      <w:r w:rsidR="00F960FA">
        <w:t>; Stevens et al., 2021</w:t>
      </w:r>
      <w:r w:rsidR="00EA44B0">
        <w:t>)</w:t>
      </w:r>
      <w:r w:rsidR="00D06561">
        <w:t xml:space="preserve">. </w:t>
      </w:r>
      <w:r w:rsidR="00EA6534">
        <w:rPr>
          <w:lang w:bidi="ar-SA"/>
        </w:rPr>
        <w:t>Other</w:t>
      </w:r>
      <w:r w:rsidR="004F3BD2">
        <w:rPr>
          <w:lang w:bidi="ar-SA"/>
        </w:rPr>
        <w:t xml:space="preserve">s </w:t>
      </w:r>
      <w:r w:rsidR="00E7091B">
        <w:rPr>
          <w:lang w:bidi="ar-SA"/>
        </w:rPr>
        <w:t>recommended</w:t>
      </w:r>
      <w:r w:rsidR="00EA6534">
        <w:rPr>
          <w:lang w:bidi="ar-SA"/>
        </w:rPr>
        <w:t xml:space="preserve"> </w:t>
      </w:r>
      <w:r w:rsidR="00E7091B">
        <w:rPr>
          <w:lang w:bidi="ar-SA"/>
        </w:rPr>
        <w:t xml:space="preserve">raising </w:t>
      </w:r>
      <w:r w:rsidR="00EA6534">
        <w:rPr>
          <w:lang w:bidi="ar-SA"/>
        </w:rPr>
        <w:t>awareness</w:t>
      </w:r>
      <w:r w:rsidR="00E7091B">
        <w:rPr>
          <w:lang w:bidi="ar-SA"/>
        </w:rPr>
        <w:t xml:space="preserve"> more generally</w:t>
      </w:r>
      <w:r w:rsidR="00EA6534">
        <w:rPr>
          <w:lang w:bidi="ar-SA"/>
        </w:rPr>
        <w:t xml:space="preserve"> </w:t>
      </w:r>
      <w:r w:rsidR="002540C1">
        <w:rPr>
          <w:lang w:bidi="ar-SA"/>
        </w:rPr>
        <w:t>about the potential for harm (</w:t>
      </w:r>
      <w:r w:rsidR="00EA6534">
        <w:rPr>
          <w:lang w:bidi="ar-SA"/>
        </w:rPr>
        <w:t xml:space="preserve">King &amp; </w:t>
      </w:r>
      <w:proofErr w:type="spellStart"/>
      <w:r w:rsidR="00EA6534">
        <w:rPr>
          <w:lang w:bidi="ar-SA"/>
        </w:rPr>
        <w:t>Delfabbro</w:t>
      </w:r>
      <w:proofErr w:type="spellEnd"/>
      <w:r w:rsidR="002540C1">
        <w:rPr>
          <w:lang w:bidi="ar-SA"/>
        </w:rPr>
        <w:t xml:space="preserve">, 2016; </w:t>
      </w:r>
      <w:proofErr w:type="spellStart"/>
      <w:r w:rsidR="000209FA">
        <w:rPr>
          <w:lang w:bidi="ar-SA"/>
        </w:rPr>
        <w:t>Rockloff</w:t>
      </w:r>
      <w:proofErr w:type="spellEnd"/>
      <w:r w:rsidR="000209FA">
        <w:rPr>
          <w:lang w:bidi="ar-SA"/>
        </w:rPr>
        <w:t xml:space="preserve"> et al., 2018; </w:t>
      </w:r>
      <w:r w:rsidR="008918A3">
        <w:rPr>
          <w:lang w:bidi="ar-SA"/>
        </w:rPr>
        <w:t>Shi et al., 2021</w:t>
      </w:r>
      <w:r w:rsidR="00E7091B">
        <w:rPr>
          <w:lang w:bidi="ar-SA"/>
        </w:rPr>
        <w:t>)</w:t>
      </w:r>
      <w:r w:rsidR="00D51460">
        <w:rPr>
          <w:lang w:bidi="ar-SA"/>
        </w:rPr>
        <w:t xml:space="preserve">, especially </w:t>
      </w:r>
      <w:r w:rsidR="00AD2402">
        <w:rPr>
          <w:lang w:bidi="ar-SA"/>
        </w:rPr>
        <w:t xml:space="preserve">with </w:t>
      </w:r>
      <w:r w:rsidR="00D51460">
        <w:rPr>
          <w:lang w:bidi="ar-SA"/>
        </w:rPr>
        <w:t>making microtransactions (</w:t>
      </w:r>
      <w:r w:rsidR="00596220">
        <w:rPr>
          <w:lang w:bidi="ar-SA"/>
        </w:rPr>
        <w:t xml:space="preserve">Kim et al., 2016). </w:t>
      </w:r>
    </w:p>
    <w:p w14:paraId="758494B4" w14:textId="77777777" w:rsidR="004C2148" w:rsidRPr="00D345D9" w:rsidRDefault="00CC6338" w:rsidP="00D91E50">
      <w:pPr>
        <w:pStyle w:val="Heading3"/>
      </w:pPr>
      <w:r>
        <w:t>I</w:t>
      </w:r>
      <w:r w:rsidR="00C150D5">
        <w:t>ntervention and</w:t>
      </w:r>
      <w:r w:rsidR="008C5BD8">
        <w:t xml:space="preserve"> t</w:t>
      </w:r>
      <w:r w:rsidR="004C2148">
        <w:t>reatment</w:t>
      </w:r>
    </w:p>
    <w:p w14:paraId="7A49A384" w14:textId="20146659" w:rsidR="005C5C98" w:rsidRDefault="005C5C98" w:rsidP="00897FF2">
      <w:pPr>
        <w:pStyle w:val="BodyText"/>
      </w:pPr>
      <w:proofErr w:type="spellStart"/>
      <w:r>
        <w:t>Gainsbury</w:t>
      </w:r>
      <w:proofErr w:type="spellEnd"/>
      <w:r>
        <w:t xml:space="preserve"> and colleagues (2017) developed a screening tool for problematic social casino gam</w:t>
      </w:r>
      <w:r w:rsidR="00FB5C1C">
        <w:t>e use</w:t>
      </w:r>
      <w:r w:rsidR="00843F09">
        <w:t xml:space="preserve"> </w:t>
      </w:r>
      <w:r w:rsidR="002A7E8D">
        <w:t>that could be</w:t>
      </w:r>
      <w:r w:rsidR="005D7B75">
        <w:t xml:space="preserve"> u</w:t>
      </w:r>
      <w:r w:rsidR="00A90BF2">
        <w:t>se</w:t>
      </w:r>
      <w:r w:rsidR="00C41B6F">
        <w:t>d</w:t>
      </w:r>
      <w:r w:rsidR="000E1175">
        <w:t xml:space="preserve"> </w:t>
      </w:r>
      <w:r w:rsidR="00C41B6F">
        <w:t>to</w:t>
      </w:r>
      <w:r w:rsidR="000E1175">
        <w:t xml:space="preserve"> </w:t>
      </w:r>
      <w:r w:rsidR="001B4CE2">
        <w:t>mak</w:t>
      </w:r>
      <w:r w:rsidR="00C41B6F">
        <w:t>e</w:t>
      </w:r>
      <w:r w:rsidR="001B4CE2">
        <w:t xml:space="preserve"> </w:t>
      </w:r>
      <w:r w:rsidR="006532FC">
        <w:t xml:space="preserve">risk </w:t>
      </w:r>
      <w:r>
        <w:t>assessment</w:t>
      </w:r>
      <w:r w:rsidR="001B4CE2">
        <w:t>s</w:t>
      </w:r>
      <w:r>
        <w:t xml:space="preserve"> </w:t>
      </w:r>
      <w:r w:rsidR="005228C5">
        <w:t>in a clinical setting</w:t>
      </w:r>
      <w:r w:rsidR="00DD0FC1">
        <w:t>. They</w:t>
      </w:r>
      <w:r w:rsidR="00E869FA">
        <w:t xml:space="preserve"> suggest</w:t>
      </w:r>
      <w:r w:rsidR="005E7ED7">
        <w:t>ed</w:t>
      </w:r>
      <w:r w:rsidR="00DD0FC1">
        <w:t xml:space="preserve"> </w:t>
      </w:r>
      <w:r w:rsidR="008A15B8">
        <w:t xml:space="preserve">it may be worthwhile </w:t>
      </w:r>
      <w:r w:rsidR="00681B07">
        <w:t>s</w:t>
      </w:r>
      <w:r>
        <w:t xml:space="preserve">creening for problematic </w:t>
      </w:r>
      <w:r w:rsidR="001E4A90">
        <w:t xml:space="preserve">social </w:t>
      </w:r>
      <w:r>
        <w:t xml:space="preserve">casino gaming </w:t>
      </w:r>
      <w:r w:rsidR="005C1DF6">
        <w:t xml:space="preserve">alongside </w:t>
      </w:r>
      <w:r>
        <w:t>financial gambling</w:t>
      </w:r>
      <w:r w:rsidR="00A53642">
        <w:t xml:space="preserve"> </w:t>
      </w:r>
      <w:r w:rsidR="002C6178">
        <w:t xml:space="preserve">to assess whether </w:t>
      </w:r>
      <w:r w:rsidR="000C1681">
        <w:t xml:space="preserve">problems </w:t>
      </w:r>
      <w:r w:rsidR="009A136B">
        <w:t>could</w:t>
      </w:r>
      <w:r w:rsidR="000C1681">
        <w:t xml:space="preserve"> be associated with mu</w:t>
      </w:r>
      <w:r w:rsidR="00810762">
        <w:t>ltiple forms of gambling</w:t>
      </w:r>
      <w:r w:rsidR="001C1A7F">
        <w:t xml:space="preserve"> (including those that do not </w:t>
      </w:r>
      <w:r w:rsidR="004C1744">
        <w:t>involve direct financial return)</w:t>
      </w:r>
      <w:r w:rsidR="00EA0417">
        <w:t>,</w:t>
      </w:r>
      <w:r w:rsidR="00A35CEE">
        <w:t xml:space="preserve"> and whether </w:t>
      </w:r>
      <w:r w:rsidR="00F81009">
        <w:t xml:space="preserve">social </w:t>
      </w:r>
      <w:r w:rsidR="004E05A2">
        <w:t>casino gam</w:t>
      </w:r>
      <w:r w:rsidR="008E2C74">
        <w:t xml:space="preserve">ing is an initiating factor for other gambling </w:t>
      </w:r>
      <w:r w:rsidR="001475B7">
        <w:t>(e.g. does it trigger gambling with real money)</w:t>
      </w:r>
      <w:r w:rsidR="00B17EA3">
        <w:t>. The</w:t>
      </w:r>
      <w:r w:rsidR="001B4CE2">
        <w:t>y</w:t>
      </w:r>
      <w:r w:rsidR="00B17EA3">
        <w:t xml:space="preserve"> recommended that c</w:t>
      </w:r>
      <w:r>
        <w:t>linicians recognise and inform clients that social casino gaming can produce problems that resemble gambling problems</w:t>
      </w:r>
      <w:r w:rsidR="00D91E50">
        <w:t>,</w:t>
      </w:r>
      <w:r>
        <w:t xml:space="preserve"> despite the relative lack of financial expenditure</w:t>
      </w:r>
      <w:r w:rsidR="004F49AD">
        <w:t xml:space="preserve"> (</w:t>
      </w:r>
      <w:proofErr w:type="spellStart"/>
      <w:r w:rsidR="004F49AD">
        <w:t>Gainsbury</w:t>
      </w:r>
      <w:proofErr w:type="spellEnd"/>
      <w:r w:rsidR="004F49AD">
        <w:t xml:space="preserve"> et al., 2017)</w:t>
      </w:r>
      <w:r w:rsidR="002F1FA9">
        <w:t>.</w:t>
      </w:r>
    </w:p>
    <w:p w14:paraId="4F668F36" w14:textId="77777777" w:rsidR="00C42AF9" w:rsidRPr="00614F95" w:rsidRDefault="00494887" w:rsidP="00D91E50">
      <w:pPr>
        <w:pStyle w:val="Heading3"/>
      </w:pPr>
      <w:r w:rsidRPr="003C4CF8">
        <w:t>Role of the gaming</w:t>
      </w:r>
      <w:r w:rsidR="003C4CF8" w:rsidRPr="003C4CF8">
        <w:t xml:space="preserve"> industry</w:t>
      </w:r>
    </w:p>
    <w:p w14:paraId="2C90F2D8" w14:textId="0D4023C2" w:rsidR="00C42AF9" w:rsidRDefault="00C42AF9" w:rsidP="00897FF2">
      <w:pPr>
        <w:pStyle w:val="BodyText"/>
      </w:pPr>
      <w:r>
        <w:rPr>
          <w:lang w:bidi="ar-SA"/>
        </w:rPr>
        <w:t xml:space="preserve">Several </w:t>
      </w:r>
      <w:r w:rsidR="004E09AF">
        <w:rPr>
          <w:lang w:bidi="ar-SA"/>
        </w:rPr>
        <w:t>authors</w:t>
      </w:r>
      <w:r>
        <w:rPr>
          <w:lang w:bidi="ar-SA"/>
        </w:rPr>
        <w:t xml:space="preserve"> recommended </w:t>
      </w:r>
      <w:r w:rsidR="00DE43AB">
        <w:rPr>
          <w:lang w:bidi="ar-SA"/>
        </w:rPr>
        <w:t xml:space="preserve">the need for </w:t>
      </w:r>
      <w:r>
        <w:rPr>
          <w:lang w:bidi="ar-SA"/>
        </w:rPr>
        <w:t xml:space="preserve">more transparent and ethical design of games to reduce the features and techniques that </w:t>
      </w:r>
      <w:r w:rsidR="00DE43AB">
        <w:rPr>
          <w:lang w:bidi="ar-SA"/>
        </w:rPr>
        <w:t xml:space="preserve">may </w:t>
      </w:r>
      <w:r>
        <w:rPr>
          <w:lang w:bidi="ar-SA"/>
        </w:rPr>
        <w:t>encourage excessive expenditure</w:t>
      </w:r>
      <w:r w:rsidR="00CE731E">
        <w:rPr>
          <w:lang w:bidi="ar-SA"/>
        </w:rPr>
        <w:t xml:space="preserve"> and gameplay</w:t>
      </w:r>
      <w:r>
        <w:rPr>
          <w:lang w:bidi="ar-SA"/>
        </w:rPr>
        <w:t xml:space="preserve"> </w:t>
      </w:r>
      <w:r>
        <w:t xml:space="preserve">(Brooks &amp; Clark, 2019; </w:t>
      </w:r>
      <w:proofErr w:type="spellStart"/>
      <w:r>
        <w:t>Cerulli</w:t>
      </w:r>
      <w:proofErr w:type="spellEnd"/>
      <w:r>
        <w:t xml:space="preserve">-Harms et al., 2020; Kristiansen &amp; Severin, 2020b; </w:t>
      </w:r>
      <w:proofErr w:type="spellStart"/>
      <w:r>
        <w:t>Gainsbury</w:t>
      </w:r>
      <w:proofErr w:type="spellEnd"/>
      <w:r w:rsidR="003313E1">
        <w:t>,</w:t>
      </w:r>
      <w:r w:rsidR="003313E1" w:rsidRPr="003313E1">
        <w:rPr>
          <w:lang w:bidi="ar-SA"/>
        </w:rPr>
        <w:t xml:space="preserve"> </w:t>
      </w:r>
      <w:r w:rsidR="003313E1">
        <w:t xml:space="preserve">King, </w:t>
      </w:r>
      <w:proofErr w:type="spellStart"/>
      <w:r w:rsidR="003313E1">
        <w:t>D</w:t>
      </w:r>
      <w:r w:rsidR="0021428E">
        <w:t>elfabbro</w:t>
      </w:r>
      <w:proofErr w:type="spellEnd"/>
      <w:r>
        <w:t xml:space="preserve"> et al., 2015; Ide et al., 2021; King, 2018; King &amp; </w:t>
      </w:r>
      <w:proofErr w:type="spellStart"/>
      <w:r>
        <w:t>Delfabbro</w:t>
      </w:r>
      <w:proofErr w:type="spellEnd"/>
      <w:r>
        <w:t>, 2016; Stevens et al., 2021). Some advocated for the removal of loot boxes, microtransactions and pay-to-win features (</w:t>
      </w:r>
      <w:proofErr w:type="spellStart"/>
      <w:r>
        <w:t>Gainsbury</w:t>
      </w:r>
      <w:proofErr w:type="spellEnd"/>
      <w:r w:rsidR="0021428E">
        <w:t>,</w:t>
      </w:r>
      <w:r w:rsidR="0021428E" w:rsidRPr="0021428E">
        <w:rPr>
          <w:lang w:bidi="ar-SA"/>
        </w:rPr>
        <w:t xml:space="preserve"> </w:t>
      </w:r>
      <w:r w:rsidR="0021428E">
        <w:t xml:space="preserve">King, </w:t>
      </w:r>
      <w:proofErr w:type="spellStart"/>
      <w:r w:rsidR="0021428E">
        <w:t>De</w:t>
      </w:r>
      <w:r w:rsidR="00D11171">
        <w:t>lfabbro</w:t>
      </w:r>
      <w:proofErr w:type="spellEnd"/>
      <w:r>
        <w:t xml:space="preserve"> et al., 2015; Ide et al., 2021; King, 2018; King &amp; </w:t>
      </w:r>
      <w:proofErr w:type="spellStart"/>
      <w:r>
        <w:t>Delfabbro</w:t>
      </w:r>
      <w:proofErr w:type="spellEnd"/>
      <w:r>
        <w:t>, 2016; Stevens et al., 2021)</w:t>
      </w:r>
      <w:r w:rsidR="00244ED8">
        <w:t>, while o</w:t>
      </w:r>
      <w:r>
        <w:t>thers suggested changes to in-game purchasing that limit the rarity of items in loot boxes (Brooks &amp; Clark, 2019), restrict or prohibit the ability to trade or sell items from loot boxes (Brooks &amp; Clark, 2019; Kristiansen &amp; Severin, 2020b), increase the transparency of virtual currencies and price composition (</w:t>
      </w:r>
      <w:proofErr w:type="spellStart"/>
      <w:r>
        <w:t>Cerulli</w:t>
      </w:r>
      <w:proofErr w:type="spellEnd"/>
      <w:r>
        <w:t xml:space="preserve">-Harms et al., 2020), and provide avenues for reimbursement of unspent virtual currency in simulated gambling (King &amp; </w:t>
      </w:r>
      <w:proofErr w:type="spellStart"/>
      <w:r>
        <w:t>Delfabbro</w:t>
      </w:r>
      <w:proofErr w:type="spellEnd"/>
      <w:r>
        <w:t xml:space="preserve">, 2016). </w:t>
      </w:r>
    </w:p>
    <w:p w14:paraId="4FC11558" w14:textId="77777777" w:rsidR="00C42AF9" w:rsidRDefault="0023695F" w:rsidP="0023695F">
      <w:pPr>
        <w:pStyle w:val="BodyText"/>
      </w:pPr>
      <w:r>
        <w:t>As a part of the gaming industry engaging in prevention and harm minimisation strategies, two Australian studies suggested player data be shared with researchers and health professionals (King, 2018; Stevens et al., 2021).</w:t>
      </w:r>
    </w:p>
    <w:p w14:paraId="3D5CB8BF" w14:textId="77777777" w:rsidR="00707F8A" w:rsidRPr="00D345D9" w:rsidRDefault="00707F8A" w:rsidP="00D91E50">
      <w:pPr>
        <w:pStyle w:val="Heading3"/>
      </w:pPr>
      <w:r>
        <w:lastRenderedPageBreak/>
        <w:t>Regulati</w:t>
      </w:r>
      <w:r w:rsidR="00D70790">
        <w:t>on</w:t>
      </w:r>
      <w:r>
        <w:t xml:space="preserve"> via gambling laws</w:t>
      </w:r>
    </w:p>
    <w:p w14:paraId="075AB29B" w14:textId="77777777" w:rsidR="004E09AF" w:rsidRDefault="00095596" w:rsidP="00897FF2">
      <w:pPr>
        <w:pStyle w:val="BodyText"/>
      </w:pPr>
      <w:r>
        <w:t xml:space="preserve">Regulating loot boxes as a form of gambling was </w:t>
      </w:r>
      <w:r w:rsidR="005448C7">
        <w:t xml:space="preserve">also </w:t>
      </w:r>
      <w:r w:rsidR="00337F74">
        <w:t>suggest</w:t>
      </w:r>
      <w:r w:rsidR="004C15E5">
        <w:t>ed</w:t>
      </w:r>
      <w:r w:rsidR="00707F8A">
        <w:t xml:space="preserve"> (</w:t>
      </w:r>
      <w:r w:rsidR="005448C7">
        <w:t xml:space="preserve">e.g. </w:t>
      </w:r>
      <w:r w:rsidR="00707F8A">
        <w:t xml:space="preserve">Children’s Commissioner for England, 2019; Hing et al., 2020, 2021; </w:t>
      </w:r>
      <w:proofErr w:type="spellStart"/>
      <w:r w:rsidR="00707F8A">
        <w:t>Zendle</w:t>
      </w:r>
      <w:proofErr w:type="spellEnd"/>
      <w:r w:rsidR="001D3F7E">
        <w:t>, Cairns</w:t>
      </w:r>
      <w:r w:rsidR="00707F8A">
        <w:t xml:space="preserve"> et al., 2019)</w:t>
      </w:r>
      <w:r w:rsidR="00993059">
        <w:t xml:space="preserve">. </w:t>
      </w:r>
      <w:r w:rsidR="00D414B9">
        <w:t xml:space="preserve">A report by the Children’s </w:t>
      </w:r>
      <w:r w:rsidR="006F53F7">
        <w:t>Commissioner</w:t>
      </w:r>
      <w:r w:rsidR="00D414B9">
        <w:t xml:space="preserve"> for England (2019)</w:t>
      </w:r>
      <w:r w:rsidR="006F53F7">
        <w:t xml:space="preserve"> recommended that </w:t>
      </w:r>
      <w:r w:rsidR="000755C4">
        <w:t xml:space="preserve">the </w:t>
      </w:r>
      <w:r w:rsidR="00E22C67">
        <w:t xml:space="preserve">legal </w:t>
      </w:r>
      <w:r w:rsidR="000755C4">
        <w:t xml:space="preserve">definition of gambling be reviewed </w:t>
      </w:r>
      <w:r w:rsidR="00E22C67">
        <w:t xml:space="preserve">to </w:t>
      </w:r>
      <w:r w:rsidR="00AD2AD7">
        <w:t xml:space="preserve">reflect new forms of gambling, such as simulated gambling and gambling-like features in video games. </w:t>
      </w:r>
    </w:p>
    <w:p w14:paraId="084B6C11" w14:textId="3E84CA89" w:rsidR="00707F8A" w:rsidRDefault="00967E11" w:rsidP="00897FF2">
      <w:pPr>
        <w:pStyle w:val="BodyText"/>
      </w:pPr>
      <w:r>
        <w:t>Authors</w:t>
      </w:r>
      <w:r w:rsidR="00071DCD">
        <w:t xml:space="preserve"> also recommended that </w:t>
      </w:r>
      <w:r w:rsidR="005A758D">
        <w:t>gambling policies should</w:t>
      </w:r>
      <w:r w:rsidR="00707F8A">
        <w:t xml:space="preserve"> prohibit</w:t>
      </w:r>
      <w:r w:rsidR="006835DF">
        <w:t xml:space="preserve"> the</w:t>
      </w:r>
      <w:r w:rsidR="00707F8A">
        <w:t xml:space="preserve"> advertising or marketing of monetary gambling within </w:t>
      </w:r>
      <w:r w:rsidR="005A758D">
        <w:t>game</w:t>
      </w:r>
      <w:r w:rsidR="00B9765D">
        <w:t>s</w:t>
      </w:r>
      <w:r w:rsidR="00707F8A">
        <w:t xml:space="preserve">, which are often present in simulated gambling </w:t>
      </w:r>
      <w:r w:rsidR="00B63EEB">
        <w:t>products</w:t>
      </w:r>
      <w:r w:rsidR="005A758D">
        <w:t xml:space="preserve"> </w:t>
      </w:r>
      <w:r w:rsidR="00707F8A">
        <w:t>(</w:t>
      </w:r>
      <w:proofErr w:type="spellStart"/>
      <w:r w:rsidR="00707F8A">
        <w:t>Gainsbury</w:t>
      </w:r>
      <w:proofErr w:type="spellEnd"/>
      <w:r w:rsidR="004030AF">
        <w:t>, King, Abarbanel</w:t>
      </w:r>
      <w:r w:rsidR="004030AF" w:rsidRPr="00014C13">
        <w:rPr>
          <w:lang w:bidi="ar-SA"/>
        </w:rPr>
        <w:t xml:space="preserve"> </w:t>
      </w:r>
      <w:r w:rsidR="00707F8A">
        <w:t>et al., 2015;</w:t>
      </w:r>
      <w:r w:rsidR="00707F8A" w:rsidRPr="00754FE4">
        <w:t xml:space="preserve"> </w:t>
      </w:r>
      <w:r w:rsidR="00707F8A">
        <w:t xml:space="preserve">King &amp; </w:t>
      </w:r>
      <w:proofErr w:type="spellStart"/>
      <w:r w:rsidR="00707F8A">
        <w:t>Delfabbro</w:t>
      </w:r>
      <w:proofErr w:type="spellEnd"/>
      <w:r w:rsidR="00707F8A">
        <w:t>, 2016; Shi et al., 2021)</w:t>
      </w:r>
      <w:r w:rsidR="005A758D">
        <w:t>.</w:t>
      </w:r>
    </w:p>
    <w:p w14:paraId="507D8F5B" w14:textId="77777777" w:rsidR="00924AEC" w:rsidRPr="006E41C6" w:rsidRDefault="00924AEC" w:rsidP="006E41C6">
      <w:pPr>
        <w:pStyle w:val="BodyText"/>
      </w:pPr>
      <w:bookmarkStart w:id="58" w:name="_Toc97649962"/>
      <w:r w:rsidRPr="006E41C6">
        <w:br w:type="page"/>
      </w:r>
    </w:p>
    <w:p w14:paraId="7BF18553" w14:textId="77777777" w:rsidR="0049258A" w:rsidRDefault="00F714D3" w:rsidP="00CA09E1">
      <w:pPr>
        <w:pStyle w:val="Heading1"/>
        <w:spacing w:after="240"/>
      </w:pPr>
      <w:bookmarkStart w:id="59" w:name="_Toc106359524"/>
      <w:r>
        <w:lastRenderedPageBreak/>
        <w:t>Discussion</w:t>
      </w:r>
      <w:bookmarkEnd w:id="58"/>
      <w:bookmarkEnd w:id="59"/>
    </w:p>
    <w:p w14:paraId="687DB40D" w14:textId="2D857336" w:rsidR="005E7ED7" w:rsidRPr="005E7ED7" w:rsidRDefault="002B1305" w:rsidP="005E7ED7">
      <w:pPr>
        <w:pStyle w:val="Heading2"/>
        <w:spacing w:before="120"/>
      </w:pPr>
      <w:bookmarkStart w:id="60" w:name="_Toc97649963"/>
      <w:bookmarkStart w:id="61" w:name="_Toc106359525"/>
      <w:r>
        <w:t>Loot boxes</w:t>
      </w:r>
      <w:r w:rsidR="00A01700">
        <w:t xml:space="preserve">, simulated gambling, </w:t>
      </w:r>
      <w:r w:rsidR="00A66FF9">
        <w:t>other in-game</w:t>
      </w:r>
      <w:r w:rsidR="00A01700">
        <w:t xml:space="preserve"> </w:t>
      </w:r>
      <w:proofErr w:type="gramStart"/>
      <w:r w:rsidR="00A01700">
        <w:t>purchases</w:t>
      </w:r>
      <w:proofErr w:type="gramEnd"/>
      <w:r>
        <w:t xml:space="preserve"> and harm</w:t>
      </w:r>
      <w:bookmarkEnd w:id="60"/>
      <w:bookmarkEnd w:id="61"/>
    </w:p>
    <w:p w14:paraId="5C47F81A" w14:textId="77777777" w:rsidR="005E7ED7" w:rsidRPr="00897FF2" w:rsidRDefault="005E7ED7" w:rsidP="005E7ED7">
      <w:pPr>
        <w:pStyle w:val="BodyText"/>
        <w:spacing w:before="240"/>
      </w:pPr>
      <w:r w:rsidRPr="00897FF2">
        <w:t>Th</w:t>
      </w:r>
      <w:r>
        <w:t>e</w:t>
      </w:r>
      <w:r w:rsidRPr="00897FF2">
        <w:t xml:space="preserve"> review found reliable evidence that:</w:t>
      </w:r>
    </w:p>
    <w:p w14:paraId="5005EA2A" w14:textId="77777777" w:rsidR="005E7ED7" w:rsidRPr="00332F4E" w:rsidRDefault="005E7ED7" w:rsidP="000B2101">
      <w:pPr>
        <w:pStyle w:val="ListBullet"/>
      </w:pPr>
      <w:r w:rsidRPr="00332F4E">
        <w:rPr>
          <w:b/>
          <w:bCs/>
        </w:rPr>
        <w:t>L</w:t>
      </w:r>
      <w:r w:rsidRPr="00332F4E">
        <w:rPr>
          <w:b/>
        </w:rPr>
        <w:t>oot box</w:t>
      </w:r>
      <w:r w:rsidRPr="00332F4E">
        <w:t xml:space="preserve"> engagement</w:t>
      </w:r>
      <w:r>
        <w:t>, including viewing, opening, and especially purchasing,</w:t>
      </w:r>
      <w:r w:rsidRPr="00332F4E">
        <w:t xml:space="preserve"> was associated with problem gambling and internet gaming disorder</w:t>
      </w:r>
      <w:r w:rsidRPr="00332F4E" w:rsidDel="00526F0B">
        <w:t>.</w:t>
      </w:r>
    </w:p>
    <w:p w14:paraId="0DF53C9B" w14:textId="77777777" w:rsidR="005E7ED7" w:rsidRPr="00332F4E" w:rsidRDefault="005E7ED7" w:rsidP="000B2101">
      <w:pPr>
        <w:pStyle w:val="ListBullet"/>
      </w:pPr>
      <w:r w:rsidRPr="00332F4E">
        <w:rPr>
          <w:b/>
        </w:rPr>
        <w:t>Simulated gambling</w:t>
      </w:r>
      <w:r w:rsidRPr="00332F4E">
        <w:t xml:space="preserve"> </w:t>
      </w:r>
      <w:r>
        <w:t xml:space="preserve">engagement, especially </w:t>
      </w:r>
      <w:r w:rsidRPr="00AF4763">
        <w:t>in-game purchasing in social casino games</w:t>
      </w:r>
      <w:r>
        <w:t xml:space="preserve">, </w:t>
      </w:r>
      <w:r w:rsidRPr="00332F4E">
        <w:t>was associated with problem gambling.</w:t>
      </w:r>
    </w:p>
    <w:p w14:paraId="1422B6A4" w14:textId="77777777" w:rsidR="005E7ED7" w:rsidRPr="00332F4E" w:rsidRDefault="005E7ED7" w:rsidP="000B2101">
      <w:pPr>
        <w:pStyle w:val="ListBullet"/>
      </w:pPr>
      <w:r>
        <w:rPr>
          <w:b/>
        </w:rPr>
        <w:t>Other i</w:t>
      </w:r>
      <w:r w:rsidRPr="00332F4E">
        <w:rPr>
          <w:b/>
        </w:rPr>
        <w:t>n-game purchasing</w:t>
      </w:r>
      <w:r>
        <w:rPr>
          <w:b/>
        </w:rPr>
        <w:t xml:space="preserve"> </w:t>
      </w:r>
      <w:r w:rsidRPr="00526F0B">
        <w:t xml:space="preserve">(not </w:t>
      </w:r>
      <w:r>
        <w:t xml:space="preserve">including expenditure </w:t>
      </w:r>
      <w:r w:rsidRPr="00526F0B">
        <w:t xml:space="preserve">on loot boxes or in simulated gambling games) </w:t>
      </w:r>
      <w:r w:rsidRPr="00332F4E">
        <w:t>was associated with problem gambling.</w:t>
      </w:r>
    </w:p>
    <w:p w14:paraId="12C56B20" w14:textId="2C835430" w:rsidR="005E7ED7" w:rsidRDefault="005E7ED7" w:rsidP="000B2101">
      <w:pPr>
        <w:pStyle w:val="BodyText"/>
      </w:pPr>
      <w:r>
        <w:t xml:space="preserve">In addition, while there was limited research examining other types of harm associated with these products, there was some evidence of </w:t>
      </w:r>
      <w:r w:rsidR="00142B05">
        <w:t>a relationship</w:t>
      </w:r>
      <w:r>
        <w:t xml:space="preserve"> between:</w:t>
      </w:r>
    </w:p>
    <w:p w14:paraId="3AAB7148" w14:textId="62F6538E" w:rsidR="005E7ED7" w:rsidRPr="00897FF2" w:rsidRDefault="005E7ED7" w:rsidP="005E7ED7">
      <w:pPr>
        <w:pStyle w:val="ListBullet"/>
      </w:pPr>
      <w:r>
        <w:t>Loot</w:t>
      </w:r>
      <w:r w:rsidRPr="00897FF2">
        <w:t xml:space="preserve"> box purchasing and </w:t>
      </w:r>
      <w:r>
        <w:t>increased</w:t>
      </w:r>
      <w:r w:rsidRPr="00897FF2">
        <w:t xml:space="preserve"> psychological distress and financial harm</w:t>
      </w:r>
      <w:r>
        <w:t>.</w:t>
      </w:r>
    </w:p>
    <w:p w14:paraId="5E25BC02" w14:textId="1EF0607B" w:rsidR="005E7ED7" w:rsidRPr="00897FF2" w:rsidRDefault="005E7ED7" w:rsidP="005E7ED7">
      <w:pPr>
        <w:pStyle w:val="ListBullet"/>
      </w:pPr>
      <w:r>
        <w:t>Simulated</w:t>
      </w:r>
      <w:r w:rsidRPr="00897FF2">
        <w:t xml:space="preserve"> gambling </w:t>
      </w:r>
      <w:r>
        <w:t>involvement</w:t>
      </w:r>
      <w:r w:rsidRPr="00897FF2">
        <w:t xml:space="preserve"> with internet gaming disorder, psychological/emotional harm, and other negative consequences</w:t>
      </w:r>
      <w:r>
        <w:t>.</w:t>
      </w:r>
    </w:p>
    <w:p w14:paraId="29ED0FA4" w14:textId="3963D274" w:rsidR="005E7ED7" w:rsidRDefault="005E7ED7" w:rsidP="005E7ED7">
      <w:pPr>
        <w:pStyle w:val="ListBullet"/>
      </w:pPr>
      <w:r>
        <w:t>Other in</w:t>
      </w:r>
      <w:r w:rsidRPr="00897FF2">
        <w:t>-game purchasing and internet gaming disorder and financial harm</w:t>
      </w:r>
      <w:r w:rsidR="00F1479C">
        <w:t>,</w:t>
      </w:r>
      <w:r w:rsidRPr="00897FF2" w:rsidDel="009A2440">
        <w:t xml:space="preserve"> </w:t>
      </w:r>
      <w:r>
        <w:t xml:space="preserve">and </w:t>
      </w:r>
      <w:r w:rsidRPr="00897FF2">
        <w:t xml:space="preserve">emotional and behavioural problems among adolescents. </w:t>
      </w:r>
    </w:p>
    <w:p w14:paraId="13468331" w14:textId="1D8C4984" w:rsidR="00F872A2" w:rsidRPr="00F872A2" w:rsidRDefault="00F872A2" w:rsidP="00562C71">
      <w:pPr>
        <w:pStyle w:val="TableCaption"/>
        <w:numPr>
          <w:ilvl w:val="0"/>
          <w:numId w:val="0"/>
        </w:numPr>
        <w:jc w:val="left"/>
      </w:pPr>
      <w:r w:rsidRPr="00F872A2">
        <w:t xml:space="preserve">Table </w:t>
      </w:r>
      <w:r w:rsidR="001B045E">
        <w:t>6</w:t>
      </w:r>
      <w:r w:rsidRPr="00F872A2">
        <w:t xml:space="preserve">: Assessment </w:t>
      </w:r>
      <w:r w:rsidR="00F834BD">
        <w:t>of loot boxes, simulated gambling and</w:t>
      </w:r>
      <w:r w:rsidRPr="00F872A2">
        <w:t xml:space="preserve"> </w:t>
      </w:r>
      <w:r w:rsidR="00A66FF9">
        <w:t>other in-game</w:t>
      </w:r>
      <w:r w:rsidRPr="00F872A2">
        <w:t xml:space="preserve"> purchases </w:t>
      </w:r>
      <w:r w:rsidR="005A75A0">
        <w:t>and</w:t>
      </w:r>
      <w:r w:rsidRPr="00F872A2">
        <w:t xml:space="preserve"> harm</w:t>
      </w:r>
    </w:p>
    <w:tbl>
      <w:tblPr>
        <w:tblW w:w="84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2825"/>
        <w:gridCol w:w="2835"/>
        <w:gridCol w:w="2835"/>
      </w:tblGrid>
      <w:tr w:rsidR="004A10DD" w:rsidRPr="009A3331" w14:paraId="604AD215" w14:textId="77777777" w:rsidTr="004A10DD">
        <w:trPr>
          <w:trHeight w:val="476"/>
        </w:trPr>
        <w:tc>
          <w:tcPr>
            <w:tcW w:w="2825" w:type="dxa"/>
            <w:vMerge w:val="restart"/>
            <w:shd w:val="clear" w:color="000000" w:fill="62136D"/>
            <w:noWrap/>
            <w:vAlign w:val="center"/>
            <w:hideMark/>
          </w:tcPr>
          <w:p w14:paraId="1323B529" w14:textId="77777777" w:rsidR="004A10DD" w:rsidRPr="005F3B05" w:rsidRDefault="004A10DD" w:rsidP="00806A22">
            <w:pPr>
              <w:spacing w:before="0" w:line="240" w:lineRule="auto"/>
              <w:jc w:val="left"/>
              <w:rPr>
                <w:rFonts w:eastAsia="Times New Roman" w:cs="Arial"/>
                <w:b/>
                <w:bCs/>
                <w:color w:val="FFFFFF"/>
                <w:sz w:val="18"/>
                <w:szCs w:val="18"/>
                <w:lang w:eastAsia="en-AU"/>
              </w:rPr>
            </w:pPr>
            <w:r w:rsidRPr="005F3B05">
              <w:rPr>
                <w:rFonts w:eastAsia="Times New Roman" w:cs="Arial"/>
                <w:b/>
                <w:bCs/>
                <w:color w:val="FFFFFF" w:themeColor="background1"/>
                <w:sz w:val="16"/>
                <w:szCs w:val="16"/>
                <w:lang w:eastAsia="en-AU"/>
              </w:rPr>
              <w:t>Harm type</w:t>
            </w:r>
          </w:p>
        </w:tc>
        <w:tc>
          <w:tcPr>
            <w:tcW w:w="2835" w:type="dxa"/>
            <w:shd w:val="clear" w:color="000000" w:fill="62136D"/>
            <w:vAlign w:val="center"/>
            <w:hideMark/>
          </w:tcPr>
          <w:p w14:paraId="5BE9AEE0" w14:textId="07716C7C" w:rsidR="004A10DD" w:rsidRPr="009A3331" w:rsidRDefault="004A10DD" w:rsidP="00806A22">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and </w:t>
            </w:r>
            <w:r w:rsidR="007716EA">
              <w:rPr>
                <w:rFonts w:eastAsia="Times New Roman" w:cs="Arial"/>
                <w:b/>
                <w:bCs/>
                <w:color w:val="FFFFFF"/>
                <w:sz w:val="18"/>
                <w:szCs w:val="18"/>
                <w:lang w:eastAsia="en-AU"/>
              </w:rPr>
              <w:t>value</w:t>
            </w:r>
            <w:r w:rsidR="007716EA" w:rsidRPr="009A3331">
              <w:rPr>
                <w:rFonts w:eastAsia="Times New Roman" w:cs="Arial"/>
                <w:b/>
                <w:bCs/>
                <w:color w:val="FFFFFF"/>
                <w:sz w:val="18"/>
                <w:szCs w:val="18"/>
                <w:lang w:eastAsia="en-AU"/>
              </w:rPr>
              <w:t xml:space="preserve"> </w:t>
            </w:r>
            <w:r w:rsidRPr="009A3331">
              <w:rPr>
                <w:rFonts w:eastAsia="Times New Roman" w:cs="Arial"/>
                <w:b/>
                <w:bCs/>
                <w:color w:val="FFFFFF"/>
                <w:sz w:val="18"/>
                <w:szCs w:val="18"/>
                <w:lang w:eastAsia="en-AU"/>
              </w:rPr>
              <w:t>of evidence</w:t>
            </w:r>
          </w:p>
        </w:tc>
        <w:tc>
          <w:tcPr>
            <w:tcW w:w="2835" w:type="dxa"/>
            <w:shd w:val="clear" w:color="000000" w:fill="62136D"/>
            <w:vAlign w:val="center"/>
            <w:hideMark/>
          </w:tcPr>
          <w:p w14:paraId="2EE69E12" w14:textId="181CEE17" w:rsidR="004A10DD" w:rsidRPr="009A3331" w:rsidRDefault="004A10DD" w:rsidP="00806A22">
            <w:pPr>
              <w:suppressAutoHyphens w:val="0"/>
              <w:spacing w:before="0" w:line="240" w:lineRule="auto"/>
              <w:jc w:val="center"/>
              <w:rPr>
                <w:rFonts w:eastAsia="Times New Roman" w:cs="Arial"/>
                <w:b/>
                <w:bCs/>
                <w:color w:val="FFFFFF"/>
                <w:sz w:val="18"/>
                <w:szCs w:val="18"/>
                <w:lang w:eastAsia="en-AU"/>
              </w:rPr>
            </w:pPr>
            <w:r w:rsidRPr="009A3331">
              <w:rPr>
                <w:rFonts w:eastAsia="Times New Roman" w:cs="Arial"/>
                <w:b/>
                <w:bCs/>
                <w:color w:val="FFFFFF"/>
                <w:sz w:val="18"/>
                <w:szCs w:val="18"/>
                <w:lang w:eastAsia="en-AU"/>
              </w:rPr>
              <w:t xml:space="preserve">Assessment of the strength of </w:t>
            </w:r>
            <w:r w:rsidR="00142B05">
              <w:rPr>
                <w:rFonts w:eastAsia="Times New Roman" w:cs="Arial"/>
                <w:b/>
                <w:bCs/>
                <w:color w:val="FFFFFF"/>
                <w:sz w:val="18"/>
                <w:szCs w:val="18"/>
                <w:lang w:eastAsia="en-AU"/>
              </w:rPr>
              <w:t>relationship</w:t>
            </w:r>
          </w:p>
        </w:tc>
      </w:tr>
      <w:tr w:rsidR="004A10DD" w:rsidRPr="009A3331" w14:paraId="50DE9EDA" w14:textId="77777777" w:rsidTr="004A10DD">
        <w:trPr>
          <w:trHeight w:val="411"/>
        </w:trPr>
        <w:tc>
          <w:tcPr>
            <w:tcW w:w="2825" w:type="dxa"/>
            <w:vMerge/>
            <w:shd w:val="clear" w:color="000000" w:fill="62136D"/>
            <w:noWrap/>
            <w:vAlign w:val="center"/>
          </w:tcPr>
          <w:p w14:paraId="316A5CA7" w14:textId="77777777" w:rsidR="004A10DD" w:rsidRPr="00C20705" w:rsidRDefault="004A10DD" w:rsidP="00806A22">
            <w:pPr>
              <w:suppressAutoHyphens w:val="0"/>
              <w:spacing w:before="0" w:line="240" w:lineRule="auto"/>
              <w:jc w:val="left"/>
              <w:rPr>
                <w:rFonts w:eastAsia="Times New Roman" w:cs="Arial"/>
                <w:b/>
                <w:bCs/>
                <w:color w:val="FFFFFF" w:themeColor="background1"/>
                <w:sz w:val="18"/>
                <w:szCs w:val="18"/>
                <w:lang w:eastAsia="en-AU"/>
              </w:rPr>
            </w:pPr>
          </w:p>
        </w:tc>
        <w:tc>
          <w:tcPr>
            <w:tcW w:w="2835" w:type="dxa"/>
            <w:shd w:val="clear" w:color="000000" w:fill="62136D"/>
            <w:vAlign w:val="center"/>
          </w:tcPr>
          <w:p w14:paraId="58713128" w14:textId="5011E02E" w:rsidR="004A10DD" w:rsidRPr="00C20705" w:rsidRDefault="004A10DD" w:rsidP="00806A22">
            <w:pPr>
              <w:suppressAutoHyphens w:val="0"/>
              <w:spacing w:before="0" w:line="240" w:lineRule="auto"/>
              <w:jc w:val="center"/>
              <w:rPr>
                <w:rFonts w:eastAsia="Times New Roman" w:cs="Arial"/>
                <w:b/>
                <w:bCs/>
                <w:color w:val="FFFFFF" w:themeColor="background1"/>
                <w:sz w:val="18"/>
                <w:szCs w:val="18"/>
                <w:lang w:eastAsia="en-AU"/>
              </w:rPr>
            </w:pPr>
            <w:r>
              <w:rPr>
                <w:rFonts w:eastAsia="Times New Roman" w:cs="Arial"/>
                <w:i/>
                <w:iCs/>
                <w:color w:val="FFFFFF" w:themeColor="background1"/>
                <w:sz w:val="16"/>
                <w:szCs w:val="16"/>
                <w:lang w:eastAsia="en-AU"/>
              </w:rPr>
              <w:t xml:space="preserve">Strength and </w:t>
            </w:r>
            <w:r w:rsidR="007716EA">
              <w:rPr>
                <w:rFonts w:eastAsia="Times New Roman" w:cs="Arial"/>
                <w:i/>
                <w:iCs/>
                <w:color w:val="FFFFFF" w:themeColor="background1"/>
                <w:sz w:val="16"/>
                <w:szCs w:val="16"/>
                <w:lang w:eastAsia="en-AU"/>
              </w:rPr>
              <w:t>value</w:t>
            </w:r>
            <w:r>
              <w:rPr>
                <w:rFonts w:eastAsia="Times New Roman" w:cs="Arial"/>
                <w:i/>
                <w:iCs/>
                <w:color w:val="FFFFFF" w:themeColor="background1"/>
                <w:sz w:val="16"/>
                <w:szCs w:val="16"/>
                <w:lang w:eastAsia="en-AU"/>
              </w:rPr>
              <w:t xml:space="preserve"> of evidence of </w:t>
            </w:r>
            <w:r w:rsidRPr="00C20705">
              <w:rPr>
                <w:rFonts w:eastAsia="Times New Roman" w:cs="Arial"/>
                <w:i/>
                <w:iCs/>
                <w:color w:val="FFFFFF" w:themeColor="background1"/>
                <w:sz w:val="16"/>
                <w:szCs w:val="16"/>
                <w:lang w:eastAsia="en-AU"/>
              </w:rPr>
              <w:t>a</w:t>
            </w:r>
            <w:r>
              <w:rPr>
                <w:rFonts w:eastAsia="Times New Roman" w:cs="Arial"/>
                <w:i/>
                <w:iCs/>
                <w:color w:val="FFFFFF" w:themeColor="background1"/>
                <w:sz w:val="16"/>
                <w:szCs w:val="16"/>
                <w:lang w:eastAsia="en-AU"/>
              </w:rPr>
              <w:t>n association between the product and</w:t>
            </w:r>
            <w:r w:rsidRPr="00C20705">
              <w:rPr>
                <w:rFonts w:eastAsia="Times New Roman" w:cs="Arial"/>
                <w:i/>
                <w:iCs/>
                <w:color w:val="FFFFFF" w:themeColor="background1"/>
                <w:sz w:val="16"/>
                <w:szCs w:val="16"/>
                <w:lang w:eastAsia="en-AU"/>
              </w:rPr>
              <w:t xml:space="preserve"> harm</w:t>
            </w:r>
          </w:p>
        </w:tc>
        <w:tc>
          <w:tcPr>
            <w:tcW w:w="2835" w:type="dxa"/>
            <w:shd w:val="clear" w:color="000000" w:fill="62136D"/>
            <w:vAlign w:val="center"/>
          </w:tcPr>
          <w:p w14:paraId="0977B81B" w14:textId="591C8693" w:rsidR="004A10DD" w:rsidRPr="00C20705" w:rsidRDefault="00F0667E" w:rsidP="00806A22">
            <w:pPr>
              <w:suppressAutoHyphens w:val="0"/>
              <w:spacing w:before="0" w:line="240" w:lineRule="auto"/>
              <w:jc w:val="center"/>
              <w:rPr>
                <w:rFonts w:eastAsia="Times New Roman" w:cs="Arial"/>
                <w:b/>
                <w:bCs/>
                <w:color w:val="FFFFFF" w:themeColor="background1"/>
                <w:sz w:val="18"/>
                <w:szCs w:val="18"/>
                <w:lang w:eastAsia="en-AU"/>
              </w:rPr>
            </w:pPr>
            <w:r>
              <w:rPr>
                <w:rFonts w:eastAsia="Times New Roman" w:cs="Arial"/>
                <w:i/>
                <w:iCs/>
                <w:color w:val="FFFFFF" w:themeColor="background1"/>
                <w:sz w:val="16"/>
                <w:szCs w:val="16"/>
                <w:lang w:eastAsia="en-AU"/>
              </w:rPr>
              <w:t>S</w:t>
            </w:r>
            <w:r w:rsidR="00142B05">
              <w:rPr>
                <w:rFonts w:eastAsia="Times New Roman" w:cs="Arial"/>
                <w:i/>
                <w:iCs/>
                <w:color w:val="FFFFFF" w:themeColor="background1"/>
                <w:sz w:val="16"/>
                <w:szCs w:val="16"/>
                <w:lang w:eastAsia="en-AU"/>
              </w:rPr>
              <w:t>trength of the relationship</w:t>
            </w:r>
            <w:r w:rsidR="004A10DD">
              <w:rPr>
                <w:rFonts w:eastAsia="Times New Roman" w:cs="Arial"/>
                <w:i/>
                <w:iCs/>
                <w:color w:val="FFFFFF" w:themeColor="background1"/>
                <w:sz w:val="16"/>
                <w:szCs w:val="16"/>
                <w:lang w:eastAsia="en-AU"/>
              </w:rPr>
              <w:t xml:space="preserve"> between the product and harm</w:t>
            </w:r>
          </w:p>
        </w:tc>
      </w:tr>
      <w:tr w:rsidR="004A10DD" w:rsidRPr="009A3331" w14:paraId="3AFDDC82" w14:textId="77777777" w:rsidTr="007C6AB5">
        <w:trPr>
          <w:trHeight w:val="454"/>
        </w:trPr>
        <w:tc>
          <w:tcPr>
            <w:tcW w:w="2825" w:type="dxa"/>
            <w:shd w:val="clear" w:color="000000" w:fill="62136D"/>
            <w:noWrap/>
            <w:vAlign w:val="center"/>
          </w:tcPr>
          <w:p w14:paraId="0780F022" w14:textId="77777777" w:rsidR="004A10DD" w:rsidRPr="009A3331" w:rsidRDefault="004A10DD" w:rsidP="00806A22">
            <w:pPr>
              <w:suppressAutoHyphens w:val="0"/>
              <w:spacing w:before="0" w:line="240" w:lineRule="auto"/>
              <w:rPr>
                <w:rFonts w:eastAsia="Times New Roman" w:cs="Arial"/>
                <w:b/>
                <w:bCs/>
                <w:color w:val="FFFFFF"/>
                <w:sz w:val="18"/>
                <w:szCs w:val="18"/>
                <w:lang w:eastAsia="en-AU"/>
              </w:rPr>
            </w:pPr>
          </w:p>
        </w:tc>
        <w:tc>
          <w:tcPr>
            <w:tcW w:w="5670" w:type="dxa"/>
            <w:gridSpan w:val="2"/>
            <w:shd w:val="clear" w:color="000000" w:fill="62136D"/>
            <w:vAlign w:val="center"/>
          </w:tcPr>
          <w:p w14:paraId="78890125" w14:textId="77777777" w:rsidR="004A10DD" w:rsidRPr="009A3331" w:rsidRDefault="004A10DD" w:rsidP="00806A22">
            <w:pPr>
              <w:suppressAutoHyphens w:val="0"/>
              <w:spacing w:before="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Loot boxes</w:t>
            </w:r>
          </w:p>
        </w:tc>
      </w:tr>
      <w:tr w:rsidR="004A10DD" w:rsidRPr="009A3331" w14:paraId="22DDA6D5" w14:textId="77777777" w:rsidTr="007C6AB5">
        <w:trPr>
          <w:trHeight w:val="454"/>
        </w:trPr>
        <w:tc>
          <w:tcPr>
            <w:tcW w:w="2825" w:type="dxa"/>
            <w:shd w:val="clear" w:color="000000" w:fill="F2F2F2"/>
            <w:noWrap/>
            <w:vAlign w:val="center"/>
            <w:hideMark/>
          </w:tcPr>
          <w:p w14:paraId="380128A4"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Problem gambling</w:t>
            </w:r>
          </w:p>
        </w:tc>
        <w:tc>
          <w:tcPr>
            <w:tcW w:w="2835" w:type="dxa"/>
            <w:shd w:val="clear" w:color="000000" w:fill="A9D08E"/>
            <w:vAlign w:val="center"/>
            <w:hideMark/>
          </w:tcPr>
          <w:p w14:paraId="1F80E503"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High</w:t>
            </w:r>
          </w:p>
        </w:tc>
        <w:tc>
          <w:tcPr>
            <w:tcW w:w="2835" w:type="dxa"/>
            <w:shd w:val="clear" w:color="000000" w:fill="F4B084"/>
            <w:vAlign w:val="center"/>
            <w:hideMark/>
          </w:tcPr>
          <w:p w14:paraId="2EDE57DE"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r>
      <w:tr w:rsidR="004A10DD" w:rsidRPr="009A3331" w14:paraId="00A88DF3" w14:textId="77777777" w:rsidTr="007C6AB5">
        <w:trPr>
          <w:trHeight w:val="454"/>
        </w:trPr>
        <w:tc>
          <w:tcPr>
            <w:tcW w:w="2825" w:type="dxa"/>
            <w:shd w:val="clear" w:color="000000" w:fill="F2F2F2"/>
            <w:noWrap/>
            <w:vAlign w:val="center"/>
            <w:hideMark/>
          </w:tcPr>
          <w:p w14:paraId="2C560249"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Pr>
                <w:rFonts w:eastAsia="Times New Roman" w:cs="Arial"/>
                <w:b/>
                <w:bCs/>
                <w:color w:val="auto"/>
                <w:sz w:val="16"/>
                <w:szCs w:val="16"/>
                <w:lang w:eastAsia="en-AU"/>
              </w:rPr>
              <w:t>Internet gaming disorder</w:t>
            </w:r>
          </w:p>
        </w:tc>
        <w:tc>
          <w:tcPr>
            <w:tcW w:w="2835" w:type="dxa"/>
            <w:shd w:val="clear" w:color="000000" w:fill="F4B084"/>
            <w:vAlign w:val="center"/>
            <w:hideMark/>
          </w:tcPr>
          <w:p w14:paraId="7AA27A3D"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shd w:val="clear" w:color="auto" w:fill="D6E3BC" w:themeFill="accent3" w:themeFillTint="66"/>
            <w:vAlign w:val="center"/>
            <w:hideMark/>
          </w:tcPr>
          <w:p w14:paraId="4638808D"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r w:rsidRPr="002D3B47">
              <w:rPr>
                <w:rFonts w:eastAsia="Times New Roman" w:cs="Arial"/>
                <w:b/>
                <w:color w:val="000000"/>
                <w:sz w:val="16"/>
                <w:szCs w:val="16"/>
                <w:lang w:eastAsia="en-AU"/>
              </w:rPr>
              <w:t>-</w:t>
            </w:r>
            <w:r>
              <w:rPr>
                <w:rFonts w:eastAsia="Times New Roman" w:cs="Arial"/>
                <w:b/>
                <w:color w:val="000000"/>
                <w:sz w:val="16"/>
                <w:szCs w:val="16"/>
                <w:lang w:eastAsia="en-AU"/>
              </w:rPr>
              <w:t>high</w:t>
            </w:r>
          </w:p>
        </w:tc>
      </w:tr>
      <w:tr w:rsidR="004A10DD" w:rsidRPr="009A3331" w14:paraId="65700409" w14:textId="77777777" w:rsidTr="007C6AB5">
        <w:trPr>
          <w:trHeight w:val="454"/>
        </w:trPr>
        <w:tc>
          <w:tcPr>
            <w:tcW w:w="2825" w:type="dxa"/>
            <w:shd w:val="clear" w:color="000000" w:fill="F2F2F2"/>
            <w:noWrap/>
            <w:vAlign w:val="center"/>
            <w:hideMark/>
          </w:tcPr>
          <w:p w14:paraId="5D5A45E5"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Other types of harm</w:t>
            </w:r>
          </w:p>
        </w:tc>
        <w:tc>
          <w:tcPr>
            <w:tcW w:w="2835" w:type="dxa"/>
            <w:shd w:val="clear" w:color="000000" w:fill="FFB3B3"/>
            <w:vAlign w:val="center"/>
            <w:hideMark/>
          </w:tcPr>
          <w:p w14:paraId="6B3838E2"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35" w:type="dxa"/>
            <w:shd w:val="clear" w:color="auto" w:fill="D9D9D9" w:themeFill="background1" w:themeFillShade="D9"/>
            <w:vAlign w:val="center"/>
          </w:tcPr>
          <w:p w14:paraId="66EB2179"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r w:rsidR="004A10DD" w:rsidRPr="009A3331" w14:paraId="5A977600" w14:textId="77777777" w:rsidTr="007C6AB5">
        <w:trPr>
          <w:trHeight w:val="454"/>
        </w:trPr>
        <w:tc>
          <w:tcPr>
            <w:tcW w:w="2825" w:type="dxa"/>
            <w:shd w:val="clear" w:color="000000" w:fill="62136D"/>
            <w:noWrap/>
            <w:vAlign w:val="center"/>
            <w:hideMark/>
          </w:tcPr>
          <w:p w14:paraId="1557A863" w14:textId="77777777" w:rsidR="004A10DD" w:rsidRPr="009A3331" w:rsidRDefault="004A10DD" w:rsidP="00806A22">
            <w:pPr>
              <w:suppressAutoHyphens w:val="0"/>
              <w:spacing w:before="0" w:line="240" w:lineRule="auto"/>
              <w:jc w:val="center"/>
              <w:rPr>
                <w:rFonts w:eastAsia="Times New Roman" w:cs="Arial"/>
                <w:b/>
                <w:bCs/>
                <w:color w:val="FFFFFF"/>
                <w:sz w:val="18"/>
                <w:szCs w:val="18"/>
                <w:lang w:eastAsia="en-AU"/>
              </w:rPr>
            </w:pPr>
          </w:p>
        </w:tc>
        <w:tc>
          <w:tcPr>
            <w:tcW w:w="5670" w:type="dxa"/>
            <w:gridSpan w:val="2"/>
            <w:shd w:val="clear" w:color="000000" w:fill="62136D"/>
            <w:vAlign w:val="center"/>
          </w:tcPr>
          <w:p w14:paraId="5EE38CA5" w14:textId="77777777" w:rsidR="004A10DD" w:rsidRPr="009A3331" w:rsidRDefault="004A10DD" w:rsidP="00806A22">
            <w:pPr>
              <w:suppressAutoHyphens w:val="0"/>
              <w:spacing w:before="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Simulated gambling</w:t>
            </w:r>
          </w:p>
        </w:tc>
      </w:tr>
      <w:tr w:rsidR="004A10DD" w:rsidRPr="009A3331" w14:paraId="4715DC9B" w14:textId="77777777" w:rsidTr="00D346CB">
        <w:trPr>
          <w:trHeight w:val="454"/>
        </w:trPr>
        <w:tc>
          <w:tcPr>
            <w:tcW w:w="2825" w:type="dxa"/>
            <w:shd w:val="clear" w:color="000000" w:fill="F2F2F2"/>
            <w:noWrap/>
            <w:vAlign w:val="center"/>
            <w:hideMark/>
          </w:tcPr>
          <w:p w14:paraId="7F96B297"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Problem gambling</w:t>
            </w:r>
          </w:p>
        </w:tc>
        <w:tc>
          <w:tcPr>
            <w:tcW w:w="2835" w:type="dxa"/>
            <w:shd w:val="clear" w:color="000000" w:fill="F4B084"/>
            <w:vAlign w:val="center"/>
            <w:hideMark/>
          </w:tcPr>
          <w:p w14:paraId="534E4DD4"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shd w:val="clear" w:color="auto" w:fill="D6E3BC" w:themeFill="accent3" w:themeFillTint="66"/>
            <w:vAlign w:val="center"/>
            <w:hideMark/>
          </w:tcPr>
          <w:p w14:paraId="7E0CAB55"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r w:rsidRPr="002D3B47">
              <w:rPr>
                <w:rFonts w:eastAsia="Times New Roman" w:cs="Arial"/>
                <w:b/>
                <w:color w:val="000000"/>
                <w:sz w:val="16"/>
                <w:szCs w:val="16"/>
                <w:lang w:eastAsia="en-AU"/>
              </w:rPr>
              <w:t>-</w:t>
            </w:r>
            <w:r>
              <w:rPr>
                <w:rFonts w:eastAsia="Times New Roman" w:cs="Arial"/>
                <w:b/>
                <w:color w:val="000000"/>
                <w:sz w:val="16"/>
                <w:szCs w:val="16"/>
                <w:lang w:eastAsia="en-AU"/>
              </w:rPr>
              <w:t>high</w:t>
            </w:r>
          </w:p>
        </w:tc>
      </w:tr>
      <w:tr w:rsidR="004A10DD" w:rsidRPr="009A3331" w14:paraId="2ED7F2D5" w14:textId="77777777" w:rsidTr="007C6AB5">
        <w:trPr>
          <w:trHeight w:val="454"/>
        </w:trPr>
        <w:tc>
          <w:tcPr>
            <w:tcW w:w="2825" w:type="dxa"/>
            <w:shd w:val="clear" w:color="000000" w:fill="F2F2F2"/>
            <w:noWrap/>
            <w:vAlign w:val="center"/>
            <w:hideMark/>
          </w:tcPr>
          <w:p w14:paraId="2CBD028C"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Pr>
                <w:rFonts w:eastAsia="Times New Roman" w:cs="Arial"/>
                <w:b/>
                <w:bCs/>
                <w:color w:val="auto"/>
                <w:sz w:val="16"/>
                <w:szCs w:val="16"/>
                <w:lang w:eastAsia="en-AU"/>
              </w:rPr>
              <w:t>Internet gaming disorder</w:t>
            </w:r>
          </w:p>
        </w:tc>
        <w:tc>
          <w:tcPr>
            <w:tcW w:w="2835" w:type="dxa"/>
            <w:shd w:val="clear" w:color="000000" w:fill="F4B084"/>
            <w:vAlign w:val="center"/>
            <w:hideMark/>
          </w:tcPr>
          <w:p w14:paraId="6A177F56"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shd w:val="clear" w:color="000000" w:fill="FFB3B3"/>
            <w:vAlign w:val="center"/>
            <w:hideMark/>
          </w:tcPr>
          <w:p w14:paraId="227CF537"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r>
      <w:tr w:rsidR="004A10DD" w:rsidRPr="009A3331" w14:paraId="6372880F" w14:textId="77777777" w:rsidTr="007C6AB5">
        <w:trPr>
          <w:trHeight w:val="454"/>
        </w:trPr>
        <w:tc>
          <w:tcPr>
            <w:tcW w:w="2825" w:type="dxa"/>
            <w:shd w:val="clear" w:color="000000" w:fill="F2F2F2"/>
            <w:noWrap/>
            <w:vAlign w:val="center"/>
            <w:hideMark/>
          </w:tcPr>
          <w:p w14:paraId="2D8BA388"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Other types of harm</w:t>
            </w:r>
          </w:p>
        </w:tc>
        <w:tc>
          <w:tcPr>
            <w:tcW w:w="2835" w:type="dxa"/>
            <w:shd w:val="clear" w:color="000000" w:fill="FFB3B3"/>
            <w:vAlign w:val="center"/>
            <w:hideMark/>
          </w:tcPr>
          <w:p w14:paraId="610D5D30"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35" w:type="dxa"/>
            <w:shd w:val="clear" w:color="auto" w:fill="D9D9D9" w:themeFill="background1" w:themeFillShade="D9"/>
            <w:vAlign w:val="center"/>
          </w:tcPr>
          <w:p w14:paraId="58BCF0E6"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r w:rsidR="004A10DD" w:rsidRPr="009A3331" w14:paraId="44478C9E" w14:textId="77777777" w:rsidTr="007C6AB5">
        <w:trPr>
          <w:trHeight w:val="454"/>
        </w:trPr>
        <w:tc>
          <w:tcPr>
            <w:tcW w:w="2825" w:type="dxa"/>
            <w:shd w:val="clear" w:color="000000" w:fill="62136D"/>
            <w:noWrap/>
            <w:vAlign w:val="center"/>
            <w:hideMark/>
          </w:tcPr>
          <w:p w14:paraId="3BDAA5DB" w14:textId="77777777" w:rsidR="004A10DD" w:rsidRPr="009A3331" w:rsidRDefault="004A10DD" w:rsidP="00806A22">
            <w:pPr>
              <w:suppressAutoHyphens w:val="0"/>
              <w:spacing w:before="0" w:line="240" w:lineRule="auto"/>
              <w:jc w:val="center"/>
              <w:rPr>
                <w:rFonts w:eastAsia="Times New Roman" w:cs="Arial"/>
                <w:b/>
                <w:bCs/>
                <w:color w:val="FFFFFF"/>
                <w:sz w:val="18"/>
                <w:szCs w:val="18"/>
                <w:lang w:eastAsia="en-AU"/>
              </w:rPr>
            </w:pPr>
          </w:p>
        </w:tc>
        <w:tc>
          <w:tcPr>
            <w:tcW w:w="5670" w:type="dxa"/>
            <w:gridSpan w:val="2"/>
            <w:shd w:val="clear" w:color="000000" w:fill="62136D"/>
            <w:vAlign w:val="center"/>
          </w:tcPr>
          <w:p w14:paraId="4E198671" w14:textId="77777777" w:rsidR="004A10DD" w:rsidRPr="009A3331" w:rsidRDefault="00A66FF9" w:rsidP="00806A22">
            <w:pPr>
              <w:suppressAutoHyphens w:val="0"/>
              <w:spacing w:before="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Other in-game</w:t>
            </w:r>
            <w:r w:rsidR="004A10DD">
              <w:rPr>
                <w:rFonts w:eastAsia="Times New Roman" w:cs="Arial"/>
                <w:b/>
                <w:bCs/>
                <w:color w:val="FFFFFF"/>
                <w:sz w:val="18"/>
                <w:szCs w:val="18"/>
                <w:lang w:eastAsia="en-AU"/>
              </w:rPr>
              <w:t xml:space="preserve"> purchases</w:t>
            </w:r>
          </w:p>
        </w:tc>
      </w:tr>
      <w:tr w:rsidR="004A10DD" w:rsidRPr="009A3331" w14:paraId="503613D9" w14:textId="77777777" w:rsidTr="007C6AB5">
        <w:trPr>
          <w:trHeight w:val="454"/>
        </w:trPr>
        <w:tc>
          <w:tcPr>
            <w:tcW w:w="2825" w:type="dxa"/>
            <w:shd w:val="clear" w:color="000000" w:fill="F2F2F2"/>
            <w:noWrap/>
            <w:vAlign w:val="center"/>
            <w:hideMark/>
          </w:tcPr>
          <w:p w14:paraId="07EA7500"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Problem gambling</w:t>
            </w:r>
          </w:p>
        </w:tc>
        <w:tc>
          <w:tcPr>
            <w:tcW w:w="2835" w:type="dxa"/>
            <w:shd w:val="clear" w:color="auto" w:fill="FABF8F" w:themeFill="accent6" w:themeFillTint="99"/>
            <w:vAlign w:val="center"/>
            <w:hideMark/>
          </w:tcPr>
          <w:p w14:paraId="48972E2E"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Medium</w:t>
            </w:r>
          </w:p>
        </w:tc>
        <w:tc>
          <w:tcPr>
            <w:tcW w:w="2835" w:type="dxa"/>
            <w:shd w:val="clear" w:color="auto" w:fill="FFB3B3"/>
            <w:vAlign w:val="center"/>
            <w:hideMark/>
          </w:tcPr>
          <w:p w14:paraId="6AD388DA"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r>
      <w:tr w:rsidR="004A10DD" w:rsidRPr="009A3331" w14:paraId="39198B64" w14:textId="77777777" w:rsidTr="007C6AB5">
        <w:trPr>
          <w:trHeight w:val="454"/>
        </w:trPr>
        <w:tc>
          <w:tcPr>
            <w:tcW w:w="2825" w:type="dxa"/>
            <w:shd w:val="clear" w:color="000000" w:fill="F2F2F2"/>
            <w:noWrap/>
            <w:vAlign w:val="center"/>
            <w:hideMark/>
          </w:tcPr>
          <w:p w14:paraId="45A44107"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Pr>
                <w:rFonts w:eastAsia="Times New Roman" w:cs="Arial"/>
                <w:b/>
                <w:bCs/>
                <w:color w:val="auto"/>
                <w:sz w:val="16"/>
                <w:szCs w:val="16"/>
                <w:lang w:eastAsia="en-AU"/>
              </w:rPr>
              <w:t>Internet gaming disorder</w:t>
            </w:r>
          </w:p>
        </w:tc>
        <w:tc>
          <w:tcPr>
            <w:tcW w:w="2835" w:type="dxa"/>
            <w:shd w:val="clear" w:color="auto" w:fill="FFB3B3"/>
            <w:vAlign w:val="center"/>
            <w:hideMark/>
          </w:tcPr>
          <w:p w14:paraId="495F712D"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35" w:type="dxa"/>
            <w:shd w:val="clear" w:color="auto" w:fill="D9D9D9" w:themeFill="background1" w:themeFillShade="D9"/>
            <w:vAlign w:val="center"/>
            <w:hideMark/>
          </w:tcPr>
          <w:p w14:paraId="6D8597B2"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r w:rsidR="004A10DD" w:rsidRPr="009A3331" w14:paraId="7CB6B7C3" w14:textId="77777777" w:rsidTr="007C6AB5">
        <w:trPr>
          <w:trHeight w:val="454"/>
        </w:trPr>
        <w:tc>
          <w:tcPr>
            <w:tcW w:w="2825" w:type="dxa"/>
            <w:shd w:val="clear" w:color="000000" w:fill="F2F2F2"/>
            <w:noWrap/>
            <w:vAlign w:val="center"/>
            <w:hideMark/>
          </w:tcPr>
          <w:p w14:paraId="24053B65" w14:textId="77777777" w:rsidR="004A10DD" w:rsidRPr="009A3331" w:rsidRDefault="004A10DD" w:rsidP="00806A22">
            <w:pPr>
              <w:suppressAutoHyphens w:val="0"/>
              <w:spacing w:before="0" w:line="240" w:lineRule="auto"/>
              <w:jc w:val="left"/>
              <w:rPr>
                <w:rFonts w:eastAsia="Times New Roman" w:cs="Arial"/>
                <w:b/>
                <w:bCs/>
                <w:color w:val="auto"/>
                <w:sz w:val="16"/>
                <w:szCs w:val="16"/>
                <w:lang w:eastAsia="en-AU"/>
              </w:rPr>
            </w:pPr>
            <w:r w:rsidRPr="002D3B47">
              <w:rPr>
                <w:rFonts w:eastAsia="Times New Roman" w:cs="Arial"/>
                <w:b/>
                <w:bCs/>
                <w:color w:val="auto"/>
                <w:sz w:val="16"/>
                <w:szCs w:val="16"/>
                <w:lang w:eastAsia="en-AU"/>
              </w:rPr>
              <w:t>Other types of harm</w:t>
            </w:r>
          </w:p>
        </w:tc>
        <w:tc>
          <w:tcPr>
            <w:tcW w:w="2835" w:type="dxa"/>
            <w:shd w:val="clear" w:color="auto" w:fill="FFB3B3"/>
            <w:vAlign w:val="center"/>
            <w:hideMark/>
          </w:tcPr>
          <w:p w14:paraId="77C450C7"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Low-medium</w:t>
            </w:r>
          </w:p>
        </w:tc>
        <w:tc>
          <w:tcPr>
            <w:tcW w:w="2835" w:type="dxa"/>
            <w:shd w:val="clear" w:color="auto" w:fill="D9D9D9" w:themeFill="background1" w:themeFillShade="D9"/>
            <w:vAlign w:val="center"/>
            <w:hideMark/>
          </w:tcPr>
          <w:p w14:paraId="415BE03F" w14:textId="77777777" w:rsidR="004A10DD" w:rsidRPr="002D3B47" w:rsidRDefault="004A10DD" w:rsidP="00806A22">
            <w:pPr>
              <w:suppressAutoHyphens w:val="0"/>
              <w:spacing w:before="0" w:line="240" w:lineRule="auto"/>
              <w:jc w:val="center"/>
              <w:rPr>
                <w:rFonts w:eastAsia="Times New Roman" w:cs="Arial"/>
                <w:b/>
                <w:color w:val="000000"/>
                <w:sz w:val="16"/>
                <w:szCs w:val="16"/>
                <w:lang w:eastAsia="en-AU"/>
              </w:rPr>
            </w:pPr>
            <w:r>
              <w:rPr>
                <w:rFonts w:eastAsia="Times New Roman" w:cs="Arial"/>
                <w:b/>
                <w:color w:val="000000"/>
                <w:sz w:val="16"/>
                <w:szCs w:val="16"/>
                <w:lang w:eastAsia="en-AU"/>
              </w:rPr>
              <w:t>Insufficient evidence</w:t>
            </w:r>
          </w:p>
        </w:tc>
      </w:tr>
    </w:tbl>
    <w:p w14:paraId="4FFC8BD2" w14:textId="7EEC1A77" w:rsidR="00193F48" w:rsidRDefault="006E63CF" w:rsidP="00717B75">
      <w:pPr>
        <w:pStyle w:val="Heading3"/>
      </w:pPr>
      <w:r>
        <w:lastRenderedPageBreak/>
        <w:t>Direction of r</w:t>
      </w:r>
      <w:r w:rsidR="00193F48">
        <w:t>elationships</w:t>
      </w:r>
      <w:r>
        <w:t xml:space="preserve"> between products and harm</w:t>
      </w:r>
    </w:p>
    <w:p w14:paraId="21D7861C" w14:textId="3CD3D778" w:rsidR="009E6CEA" w:rsidRDefault="00B86F90" w:rsidP="000B2101">
      <w:pPr>
        <w:pStyle w:val="BodyText"/>
      </w:pPr>
      <w:r>
        <w:t>Findings of an association between these products and harm were usually based on cross-sectional studies</w:t>
      </w:r>
      <w:r w:rsidR="00124FB1">
        <w:t xml:space="preserve"> and d</w:t>
      </w:r>
      <w:r>
        <w:t xml:space="preserve">irectionality or causality of the relationship </w:t>
      </w:r>
      <w:r w:rsidR="005C5742">
        <w:t xml:space="preserve">cannot be inferred. </w:t>
      </w:r>
      <w:r w:rsidR="00124FB1">
        <w:t>For example</w:t>
      </w:r>
      <w:r w:rsidR="00C407ED">
        <w:t>,</w:t>
      </w:r>
      <w:r w:rsidR="00124FB1">
        <w:t xml:space="preserve"> w</w:t>
      </w:r>
      <w:r w:rsidR="00475C11">
        <w:t>hile engagement</w:t>
      </w:r>
      <w:r w:rsidR="00124FB1">
        <w:t xml:space="preserve"> with loot boxes </w:t>
      </w:r>
      <w:r w:rsidR="00A80849">
        <w:t>c</w:t>
      </w:r>
      <w:r w:rsidR="00920D4C">
        <w:t xml:space="preserve">ould </w:t>
      </w:r>
      <w:r w:rsidR="003D0270">
        <w:t xml:space="preserve">directly </w:t>
      </w:r>
      <w:r w:rsidR="00920D4C">
        <w:t>contribute to gambling problems</w:t>
      </w:r>
      <w:r w:rsidR="00194BBA">
        <w:t xml:space="preserve">, </w:t>
      </w:r>
      <w:r w:rsidR="008E1451">
        <w:t xml:space="preserve">it could also be that </w:t>
      </w:r>
      <w:r w:rsidR="00633513">
        <w:t xml:space="preserve">people </w:t>
      </w:r>
      <w:r w:rsidR="00150BF0">
        <w:t xml:space="preserve">already </w:t>
      </w:r>
      <w:r w:rsidR="00633513">
        <w:t xml:space="preserve">experiencing </w:t>
      </w:r>
      <w:r w:rsidR="00E51FD8">
        <w:t>gambling problems are more likely</w:t>
      </w:r>
      <w:r w:rsidR="00150BF0">
        <w:t xml:space="preserve"> to</w:t>
      </w:r>
      <w:r w:rsidR="009778E4">
        <w:t xml:space="preserve"> </w:t>
      </w:r>
      <w:r w:rsidR="00A112F9">
        <w:t xml:space="preserve">purchase </w:t>
      </w:r>
      <w:r w:rsidR="00C407ED">
        <w:t>these products</w:t>
      </w:r>
      <w:r w:rsidR="00A112F9">
        <w:t xml:space="preserve"> </w:t>
      </w:r>
      <w:r w:rsidR="00F15444">
        <w:t xml:space="preserve">as the chance-based element of winning items approximates </w:t>
      </w:r>
      <w:r w:rsidR="00CB0C8D">
        <w:t xml:space="preserve">a common </w:t>
      </w:r>
      <w:r w:rsidR="00F15444">
        <w:t>gambling experience</w:t>
      </w:r>
      <w:r w:rsidR="009778E4">
        <w:t xml:space="preserve">. Likewise, </w:t>
      </w:r>
      <w:r w:rsidR="0058439D">
        <w:t xml:space="preserve">people classified as </w:t>
      </w:r>
      <w:r w:rsidR="006E738F">
        <w:t>experiencing problem gambling</w:t>
      </w:r>
      <w:r w:rsidR="009778E4">
        <w:t xml:space="preserve"> may be more likely to </w:t>
      </w:r>
      <w:r w:rsidR="00E530C0">
        <w:t xml:space="preserve">engage in simulated gambling due to its </w:t>
      </w:r>
      <w:r w:rsidR="00CD7FCD">
        <w:t>structural similarity to monetary gambling activities (e.g. EGMs</w:t>
      </w:r>
      <w:r w:rsidR="00F1479C">
        <w:t>/pokies</w:t>
      </w:r>
      <w:r w:rsidR="00AD50E3">
        <w:t>, casino games).</w:t>
      </w:r>
      <w:r w:rsidR="009778E4">
        <w:t xml:space="preserve"> </w:t>
      </w:r>
      <w:r w:rsidR="006E7FB9" w:rsidRPr="006E7FB9">
        <w:t>This is partially supported by evidence that people at</w:t>
      </w:r>
      <w:r w:rsidR="001F7A11">
        <w:t xml:space="preserve"> </w:t>
      </w:r>
      <w:r w:rsidR="006E7FB9" w:rsidRPr="006E7FB9">
        <w:t xml:space="preserve">risk of gambling problems reported greater experiences of harm associated with loot boxes </w:t>
      </w:r>
      <w:r w:rsidR="00511B9D">
        <w:t xml:space="preserve">and simulated gambling </w:t>
      </w:r>
      <w:r w:rsidR="006E7FB9" w:rsidRPr="006E7FB9">
        <w:t xml:space="preserve">than </w:t>
      </w:r>
      <w:r w:rsidR="00C407ED">
        <w:t xml:space="preserve">those classified as </w:t>
      </w:r>
      <w:r w:rsidR="006E7FB9" w:rsidRPr="006E7FB9">
        <w:t>lower-risk or non-problem gamblers (</w:t>
      </w:r>
      <w:proofErr w:type="spellStart"/>
      <w:r w:rsidR="00854D79">
        <w:t>Gainsbury</w:t>
      </w:r>
      <w:proofErr w:type="spellEnd"/>
      <w:r w:rsidR="005E57E5">
        <w:t xml:space="preserve">, King, </w:t>
      </w:r>
      <w:proofErr w:type="spellStart"/>
      <w:r w:rsidR="005E57E5">
        <w:t>De</w:t>
      </w:r>
      <w:r w:rsidR="001D3DB3">
        <w:t>lfabbro</w:t>
      </w:r>
      <w:proofErr w:type="spellEnd"/>
      <w:r w:rsidR="00854D79">
        <w:t xml:space="preserve"> et al., 2015; </w:t>
      </w:r>
      <w:r w:rsidR="006E7FB9" w:rsidRPr="006E7FB9">
        <w:t>Hing et al., 2021; King et al., 2021).</w:t>
      </w:r>
      <w:r w:rsidR="002D4234">
        <w:t xml:space="preserve"> </w:t>
      </w:r>
    </w:p>
    <w:p w14:paraId="6440AE78" w14:textId="5BEBE217" w:rsidR="006A2C27" w:rsidRDefault="00135677" w:rsidP="000B2101">
      <w:pPr>
        <w:pStyle w:val="BodyText"/>
      </w:pPr>
      <w:r>
        <w:t>T</w:t>
      </w:r>
      <w:r w:rsidR="000E66D2">
        <w:t>h</w:t>
      </w:r>
      <w:r w:rsidR="000906F0">
        <w:t>is</w:t>
      </w:r>
      <w:r w:rsidR="000E66D2">
        <w:t xml:space="preserve"> evidence </w:t>
      </w:r>
      <w:proofErr w:type="gramStart"/>
      <w:r w:rsidR="008130F7">
        <w:t>review</w:t>
      </w:r>
      <w:proofErr w:type="gramEnd"/>
      <w:r w:rsidR="0057133E">
        <w:t xml:space="preserve"> also</w:t>
      </w:r>
      <w:r w:rsidR="000E66D2">
        <w:t xml:space="preserve"> highlighted</w:t>
      </w:r>
      <w:r w:rsidR="00F1479C">
        <w:t xml:space="preserve"> the</w:t>
      </w:r>
      <w:r w:rsidR="000E66D2">
        <w:t xml:space="preserve"> </w:t>
      </w:r>
      <w:r w:rsidR="00AA6DE8">
        <w:t>author</w:t>
      </w:r>
      <w:r w:rsidR="009E6CEA">
        <w:t>s</w:t>
      </w:r>
      <w:r w:rsidR="006E738F">
        <w:t>’</w:t>
      </w:r>
      <w:r w:rsidR="009E6CEA">
        <w:t xml:space="preserve"> concerns that i</w:t>
      </w:r>
      <w:r w:rsidR="006A2C27">
        <w:t xml:space="preserve">nvolvement in simulated gambling could encourage </w:t>
      </w:r>
      <w:r w:rsidR="004B7F36">
        <w:t xml:space="preserve">young </w:t>
      </w:r>
      <w:r w:rsidR="006A2C27">
        <w:t>players to progress to</w:t>
      </w:r>
      <w:r w:rsidR="00AA6DE8">
        <w:t>,</w:t>
      </w:r>
      <w:r w:rsidR="006A2C27">
        <w:t xml:space="preserve"> or intensify</w:t>
      </w:r>
      <w:r w:rsidR="00AA6DE8">
        <w:t>,</w:t>
      </w:r>
      <w:r w:rsidR="006A2C27">
        <w:t xml:space="preserve"> their monetary gambling</w:t>
      </w:r>
      <w:r w:rsidR="00AA6DE8">
        <w:t xml:space="preserve"> and </w:t>
      </w:r>
      <w:r w:rsidR="006A2C27">
        <w:t>lead to or exacerbate harmful gambling (</w:t>
      </w:r>
      <w:r w:rsidR="006A2C27" w:rsidRPr="007D278F">
        <w:t xml:space="preserve">Armstrong et al., 2018; Dickins &amp; Thomas, 2016; </w:t>
      </w:r>
      <w:proofErr w:type="spellStart"/>
      <w:r w:rsidR="006A2C27" w:rsidRPr="007D278F">
        <w:t>Gainsbury</w:t>
      </w:r>
      <w:proofErr w:type="spellEnd"/>
      <w:r w:rsidR="00C03110">
        <w:t xml:space="preserve">, King, </w:t>
      </w:r>
      <w:r w:rsidR="008A2AC4" w:rsidRPr="008A2AC4">
        <w:t>Abarbanel</w:t>
      </w:r>
      <w:r w:rsidR="006A2C27" w:rsidRPr="007D278F">
        <w:t xml:space="preserve"> et al., 2015; </w:t>
      </w:r>
      <w:proofErr w:type="spellStart"/>
      <w:r w:rsidR="006A2C27" w:rsidRPr="007D278F">
        <w:t>Kolandai-Matchett</w:t>
      </w:r>
      <w:proofErr w:type="spellEnd"/>
      <w:r w:rsidR="006A2C27" w:rsidRPr="007D278F">
        <w:t xml:space="preserve"> &amp; Abbott, 2021</w:t>
      </w:r>
      <w:r w:rsidR="006A2C27">
        <w:t>). Several factors</w:t>
      </w:r>
      <w:r w:rsidR="006A2C27" w:rsidDel="00A90CAA">
        <w:t xml:space="preserve"> </w:t>
      </w:r>
      <w:r w:rsidR="00331851">
        <w:t>could</w:t>
      </w:r>
      <w:r w:rsidR="00A90CAA">
        <w:t xml:space="preserve"> </w:t>
      </w:r>
      <w:r w:rsidR="006A2C27">
        <w:t xml:space="preserve">influence this, </w:t>
      </w:r>
      <w:r w:rsidR="00331851">
        <w:t>including</w:t>
      </w:r>
      <w:r w:rsidR="006A2C27">
        <w:t xml:space="preserve"> simulated gambling increasing the exposure and normalisation of gambling, providing opportunities to practice</w:t>
      </w:r>
      <w:r w:rsidR="006A2C27" w:rsidRPr="00CC3D8D">
        <w:t xml:space="preserve"> for monetary gambling, </w:t>
      </w:r>
      <w:r w:rsidR="006A2C27">
        <w:t xml:space="preserve">or misrepresenting the real gambling experience (e.g. higher payouts, early big wins) so players overestimate their chance of winning (Armstrong et al., 2018; King &amp; </w:t>
      </w:r>
      <w:proofErr w:type="spellStart"/>
      <w:r w:rsidR="006A2C27">
        <w:t>Delfabbro</w:t>
      </w:r>
      <w:proofErr w:type="spellEnd"/>
      <w:r w:rsidR="006A2C27">
        <w:t xml:space="preserve">, 2016). </w:t>
      </w:r>
    </w:p>
    <w:p w14:paraId="20722AAE" w14:textId="46AF006B" w:rsidR="00CE1A94" w:rsidRDefault="00331851" w:rsidP="000B2101">
      <w:pPr>
        <w:pStyle w:val="BodyText"/>
      </w:pPr>
      <w:r>
        <w:t>T</w:t>
      </w:r>
      <w:r w:rsidR="0072407A">
        <w:t xml:space="preserve">he relationship between engagement in loot boxes, simulated gambling, </w:t>
      </w:r>
      <w:r w:rsidR="00A66FF9">
        <w:t>other in-game</w:t>
      </w:r>
      <w:r w:rsidR="0072407A">
        <w:t xml:space="preserve"> </w:t>
      </w:r>
      <w:proofErr w:type="gramStart"/>
      <w:r w:rsidR="00B02E54">
        <w:t>purchasing</w:t>
      </w:r>
      <w:proofErr w:type="gramEnd"/>
      <w:r w:rsidR="0072407A">
        <w:t xml:space="preserve"> and harm could </w:t>
      </w:r>
      <w:r w:rsidR="004D7E9C">
        <w:t xml:space="preserve">also </w:t>
      </w:r>
      <w:r w:rsidR="0072407A">
        <w:t>be bidirectional in nature</w:t>
      </w:r>
      <w:r w:rsidR="004C7E0C">
        <w:t xml:space="preserve"> or, as some evidence suggests, influenced by other factors</w:t>
      </w:r>
      <w:r w:rsidR="00FF0F7B">
        <w:t>. These include</w:t>
      </w:r>
      <w:r w:rsidR="002507AC">
        <w:t>, but are not limited to</w:t>
      </w:r>
      <w:r w:rsidR="008A2AC4">
        <w:t>,</w:t>
      </w:r>
      <w:r w:rsidR="008A2AC4" w:rsidDel="00FF0F7B">
        <w:t xml:space="preserve"> </w:t>
      </w:r>
      <w:r w:rsidR="002960DF">
        <w:t>demographic differences (gender, age</w:t>
      </w:r>
      <w:r w:rsidR="007E256B">
        <w:t>, ethnicity</w:t>
      </w:r>
      <w:r w:rsidR="002960DF">
        <w:t xml:space="preserve">), impulsivity, </w:t>
      </w:r>
      <w:r w:rsidR="004D7E9C">
        <w:t xml:space="preserve">distorted cognitions, </w:t>
      </w:r>
      <w:r w:rsidR="002960DF">
        <w:t xml:space="preserve">video gaming behaviours, </w:t>
      </w:r>
      <w:r w:rsidR="008A2AC4">
        <w:t>‘</w:t>
      </w:r>
      <w:r w:rsidR="00B82E1D">
        <w:t>pay-to-win</w:t>
      </w:r>
      <w:r w:rsidR="008A2AC4">
        <w:t>’</w:t>
      </w:r>
      <w:r w:rsidR="00B82E1D">
        <w:t xml:space="preserve"> </w:t>
      </w:r>
      <w:r w:rsidR="00A55362">
        <w:t xml:space="preserve">gaming </w:t>
      </w:r>
      <w:r w:rsidR="002960DF">
        <w:t xml:space="preserve">or </w:t>
      </w:r>
      <w:r w:rsidR="00C163D6">
        <w:t>‘</w:t>
      </w:r>
      <w:r w:rsidR="002960DF">
        <w:t>nudges</w:t>
      </w:r>
      <w:r w:rsidR="00C163D6">
        <w:t>’</w:t>
      </w:r>
      <w:r w:rsidR="002960DF">
        <w:t xml:space="preserve"> from the structural game design</w:t>
      </w:r>
      <w:r w:rsidR="00E133D2">
        <w:t>,</w:t>
      </w:r>
      <w:r w:rsidR="004D7E9C">
        <w:t xml:space="preserve"> and</w:t>
      </w:r>
      <w:r w:rsidR="002960DF">
        <w:t xml:space="preserve"> </w:t>
      </w:r>
      <w:r w:rsidR="004D7E9C">
        <w:t>monetary gambling involvemen</w:t>
      </w:r>
      <w:r w:rsidR="0021525A">
        <w:t>t</w:t>
      </w:r>
      <w:r w:rsidR="004D7E9C">
        <w:t xml:space="preserve"> </w:t>
      </w:r>
      <w:r w:rsidR="002960DF">
        <w:t xml:space="preserve">(Brooks &amp; Clark, 2019; Hing et al., 2021; King et al., </w:t>
      </w:r>
      <w:r w:rsidR="007E0E63">
        <w:t xml:space="preserve">2014, </w:t>
      </w:r>
      <w:r w:rsidR="002960DF">
        <w:t xml:space="preserve">2019; </w:t>
      </w:r>
      <w:r w:rsidR="002960DF" w:rsidRPr="004C3830">
        <w:t>Kristiansen &amp; Severin, 2020b</w:t>
      </w:r>
      <w:r w:rsidR="002960DF">
        <w:t xml:space="preserve">; </w:t>
      </w:r>
      <w:proofErr w:type="spellStart"/>
      <w:r w:rsidR="002960DF">
        <w:t>Rockloff</w:t>
      </w:r>
      <w:proofErr w:type="spellEnd"/>
      <w:r w:rsidR="002960DF">
        <w:t xml:space="preserve"> et al., 2020; Russell et al., 2020; </w:t>
      </w:r>
      <w:r w:rsidR="00653883" w:rsidRPr="003C2499">
        <w:t>Steinmetz et al., 2021</w:t>
      </w:r>
      <w:r w:rsidR="00653883">
        <w:t xml:space="preserve">; </w:t>
      </w:r>
      <w:r w:rsidR="00696B30" w:rsidRPr="003C2499">
        <w:t xml:space="preserve">von </w:t>
      </w:r>
      <w:proofErr w:type="spellStart"/>
      <w:r w:rsidR="00696B30" w:rsidRPr="003C2499">
        <w:t>Meduna</w:t>
      </w:r>
      <w:proofErr w:type="spellEnd"/>
      <w:r w:rsidR="00696B30" w:rsidRPr="003C2499">
        <w:t xml:space="preserve"> et al., 2020</w:t>
      </w:r>
      <w:r w:rsidR="00696B30">
        <w:t xml:space="preserve">; </w:t>
      </w:r>
      <w:r w:rsidR="002960DF">
        <w:t xml:space="preserve">Wardle &amp; </w:t>
      </w:r>
      <w:proofErr w:type="spellStart"/>
      <w:r w:rsidR="002960DF">
        <w:t>Zendle</w:t>
      </w:r>
      <w:proofErr w:type="spellEnd"/>
      <w:r w:rsidR="002960DF">
        <w:t xml:space="preserve">, 2021; </w:t>
      </w:r>
      <w:proofErr w:type="spellStart"/>
      <w:r w:rsidR="002960DF">
        <w:t>Zendle</w:t>
      </w:r>
      <w:proofErr w:type="spellEnd"/>
      <w:r w:rsidR="002960DF">
        <w:t>, 2020).</w:t>
      </w:r>
      <w:r w:rsidR="00E84EFB">
        <w:t xml:space="preserve"> </w:t>
      </w:r>
    </w:p>
    <w:p w14:paraId="56DC1D11" w14:textId="5E3F6681" w:rsidR="008545C1" w:rsidRDefault="00F34CFE" w:rsidP="000B2101">
      <w:pPr>
        <w:pStyle w:val="BodyText"/>
      </w:pPr>
      <w:r>
        <w:t xml:space="preserve">The review </w:t>
      </w:r>
      <w:r w:rsidR="006B460C">
        <w:t>also found</w:t>
      </w:r>
      <w:r w:rsidR="00CE7113">
        <w:t xml:space="preserve"> that g</w:t>
      </w:r>
      <w:r w:rsidR="00C978AD">
        <w:t xml:space="preserve">aps in evidence exist </w:t>
      </w:r>
      <w:r w:rsidR="003157F3">
        <w:t xml:space="preserve">about </w:t>
      </w:r>
      <w:r w:rsidR="00C978AD">
        <w:t xml:space="preserve">which </w:t>
      </w:r>
      <w:r w:rsidR="00045CA3">
        <w:t>sub</w:t>
      </w:r>
      <w:r w:rsidR="001336D8">
        <w:t>populations</w:t>
      </w:r>
      <w:r w:rsidR="00C978AD">
        <w:t xml:space="preserve"> are most at</w:t>
      </w:r>
      <w:r w:rsidR="00C163D6">
        <w:t xml:space="preserve"> </w:t>
      </w:r>
      <w:r w:rsidR="00C978AD">
        <w:t xml:space="preserve">risk for experiencing harms associated with </w:t>
      </w:r>
      <w:r w:rsidR="00E133D2">
        <w:t>these products</w:t>
      </w:r>
      <w:r w:rsidR="00965EDF">
        <w:t>,</w:t>
      </w:r>
      <w:r w:rsidR="0021525A">
        <w:t xml:space="preserve"> but that </w:t>
      </w:r>
      <w:r w:rsidR="0021525A" w:rsidRPr="0021525A">
        <w:t>children/adolescents, females</w:t>
      </w:r>
      <w:r w:rsidR="008B08DE">
        <w:t xml:space="preserve"> (loot boxes)</w:t>
      </w:r>
      <w:r w:rsidR="0021525A" w:rsidRPr="0021525A">
        <w:t>,</w:t>
      </w:r>
      <w:r w:rsidR="008B08DE">
        <w:t xml:space="preserve"> males (other in-game purchases),</w:t>
      </w:r>
      <w:r w:rsidR="0021525A" w:rsidRPr="0021525A">
        <w:t xml:space="preserve"> pay-to-win gamers, and people at-risk of gambling problems may be more likely to experience harm</w:t>
      </w:r>
      <w:r w:rsidR="00EB16AF">
        <w:t>.</w:t>
      </w:r>
    </w:p>
    <w:p w14:paraId="5553F66F" w14:textId="77777777" w:rsidR="00B50D5B" w:rsidRDefault="00B50D5B" w:rsidP="00B50D5B">
      <w:pPr>
        <w:pStyle w:val="Heading2"/>
        <w:spacing w:before="360"/>
      </w:pPr>
      <w:bookmarkStart w:id="62" w:name="_Toc97649964"/>
      <w:bookmarkStart w:id="63" w:name="_Toc106359526"/>
      <w:r>
        <w:t>Mitigation and regulation</w:t>
      </w:r>
      <w:bookmarkEnd w:id="62"/>
      <w:bookmarkEnd w:id="63"/>
    </w:p>
    <w:p w14:paraId="59681E30" w14:textId="2032299C" w:rsidR="005051F1" w:rsidRDefault="00BE68D6" w:rsidP="000B2101">
      <w:pPr>
        <w:pStyle w:val="BodyText"/>
      </w:pPr>
      <w:r>
        <w:t>Th</w:t>
      </w:r>
      <w:r w:rsidR="00D64884">
        <w:t>e</w:t>
      </w:r>
      <w:r>
        <w:t xml:space="preserve"> review identified several areas for harm mitigation and regulation. </w:t>
      </w:r>
      <w:r w:rsidR="00333D45">
        <w:t>One overarching recommendation was for stronger consumer protection measures in video gaming</w:t>
      </w:r>
      <w:r w:rsidR="00D36BAA">
        <w:t xml:space="preserve">. Suggestions included restricting </w:t>
      </w:r>
      <w:r w:rsidR="0083188C">
        <w:t>engagement</w:t>
      </w:r>
      <w:r w:rsidR="0083521F">
        <w:t xml:space="preserve"> in these activities, </w:t>
      </w:r>
      <w:r w:rsidR="002564F0">
        <w:t>especially in-game purchasing, to adults</w:t>
      </w:r>
      <w:r w:rsidR="002B4F14">
        <w:t xml:space="preserve"> aged 18 and above</w:t>
      </w:r>
      <w:r w:rsidR="0063146B">
        <w:t xml:space="preserve">; </w:t>
      </w:r>
      <w:r w:rsidR="00A42D86">
        <w:t xml:space="preserve">limit setting </w:t>
      </w:r>
      <w:r w:rsidR="0013537C">
        <w:t xml:space="preserve">or restrictions on spending and excessive play; </w:t>
      </w:r>
      <w:r w:rsidR="00A80641">
        <w:t xml:space="preserve">self-exclusion options; </w:t>
      </w:r>
      <w:r w:rsidR="008C6101">
        <w:t xml:space="preserve">clear </w:t>
      </w:r>
      <w:r w:rsidR="00375FB5">
        <w:t xml:space="preserve">and prominent display </w:t>
      </w:r>
      <w:r w:rsidR="00632019">
        <w:t xml:space="preserve">of </w:t>
      </w:r>
      <w:r w:rsidR="00591CCC">
        <w:t>the odds/</w:t>
      </w:r>
      <w:r w:rsidR="008E690D">
        <w:t xml:space="preserve">chances </w:t>
      </w:r>
      <w:r w:rsidR="00591CCC">
        <w:t xml:space="preserve">of winning; </w:t>
      </w:r>
      <w:r w:rsidR="00522C65">
        <w:t xml:space="preserve">clear labelling </w:t>
      </w:r>
      <w:r w:rsidR="00E460DD">
        <w:t xml:space="preserve">and </w:t>
      </w:r>
      <w:r w:rsidR="00591CCC">
        <w:t xml:space="preserve">messages of </w:t>
      </w:r>
      <w:r w:rsidR="00D64884">
        <w:t xml:space="preserve">the </w:t>
      </w:r>
      <w:r w:rsidR="00591CCC">
        <w:t>risks associated with these products</w:t>
      </w:r>
      <w:r w:rsidR="00F70E80">
        <w:t>, and the provision of support information</w:t>
      </w:r>
      <w:r w:rsidR="00854764">
        <w:t xml:space="preserve">, especially for those </w:t>
      </w:r>
      <w:r w:rsidR="00965EDF">
        <w:t xml:space="preserve">who may be </w:t>
      </w:r>
      <w:r w:rsidR="00854764">
        <w:t>at risk or vulnerable to harm</w:t>
      </w:r>
      <w:r w:rsidR="00591CCC">
        <w:t xml:space="preserve">. </w:t>
      </w:r>
    </w:p>
    <w:p w14:paraId="0A5B0AC1" w14:textId="0E6442B0" w:rsidR="00A81D9B" w:rsidRDefault="00B928A7" w:rsidP="000B2101">
      <w:pPr>
        <w:pStyle w:val="BodyText"/>
      </w:pPr>
      <w:r>
        <w:t>Public health messaging and educational campaigns</w:t>
      </w:r>
      <w:r w:rsidR="00F839D6">
        <w:t xml:space="preserve"> on these products and their associated risks were also </w:t>
      </w:r>
      <w:r w:rsidR="00965EDF">
        <w:t>recommended</w:t>
      </w:r>
      <w:r w:rsidR="00750702">
        <w:t xml:space="preserve">, along with </w:t>
      </w:r>
      <w:r w:rsidR="00D509A3">
        <w:t xml:space="preserve">clinical </w:t>
      </w:r>
      <w:r w:rsidR="00750702">
        <w:t xml:space="preserve">intervention and treatment </w:t>
      </w:r>
      <w:r w:rsidR="005051F1">
        <w:t xml:space="preserve">that </w:t>
      </w:r>
      <w:r w:rsidR="00D509A3">
        <w:t>acknowledges the interplay between simulated gambling</w:t>
      </w:r>
      <w:r w:rsidR="00196B04">
        <w:t xml:space="preserve">, </w:t>
      </w:r>
      <w:r w:rsidR="00D509A3">
        <w:t xml:space="preserve">financial </w:t>
      </w:r>
      <w:proofErr w:type="gramStart"/>
      <w:r w:rsidR="00D509A3">
        <w:t>gambling</w:t>
      </w:r>
      <w:proofErr w:type="gramEnd"/>
      <w:r w:rsidR="00196B04">
        <w:t xml:space="preserve"> and harm</w:t>
      </w:r>
      <w:r w:rsidR="00D509A3">
        <w:t xml:space="preserve">. </w:t>
      </w:r>
      <w:r w:rsidR="00350BAB">
        <w:t>Several studies</w:t>
      </w:r>
      <w:r w:rsidR="002C0257">
        <w:t xml:space="preserve"> </w:t>
      </w:r>
      <w:r w:rsidR="00950B94">
        <w:t>discussed the r</w:t>
      </w:r>
      <w:r w:rsidR="00950B94" w:rsidRPr="00950B94">
        <w:t>ole of the gaming industry</w:t>
      </w:r>
      <w:r w:rsidR="00950B94">
        <w:t xml:space="preserve"> </w:t>
      </w:r>
      <w:r w:rsidR="004F7F99">
        <w:t xml:space="preserve">in </w:t>
      </w:r>
      <w:r w:rsidR="00F32EE5">
        <w:t>ensuring</w:t>
      </w:r>
      <w:r w:rsidR="005051F1">
        <w:t xml:space="preserve"> the</w:t>
      </w:r>
      <w:r w:rsidR="00950B94">
        <w:t xml:space="preserve"> </w:t>
      </w:r>
      <w:r w:rsidR="00F84BF3" w:rsidRPr="00F84BF3">
        <w:t>transparent and</w:t>
      </w:r>
      <w:r w:rsidR="002C0257" w:rsidRPr="002C0257">
        <w:t xml:space="preserve"> ethical design of games </w:t>
      </w:r>
      <w:r w:rsidR="009404D2">
        <w:t>that</w:t>
      </w:r>
      <w:r w:rsidR="009404D2" w:rsidRPr="002C0257">
        <w:t xml:space="preserve"> </w:t>
      </w:r>
      <w:r w:rsidR="002C0257" w:rsidRPr="002C0257">
        <w:t>remove or reduce features and techniques that encourage excessive expenditure</w:t>
      </w:r>
      <w:r w:rsidR="00B07D55">
        <w:t xml:space="preserve">. </w:t>
      </w:r>
      <w:r w:rsidR="00B07D55">
        <w:lastRenderedPageBreak/>
        <w:t>S</w:t>
      </w:r>
      <w:r w:rsidR="00CB3C33">
        <w:t xml:space="preserve">ome </w:t>
      </w:r>
      <w:r w:rsidR="000402AF">
        <w:t>authors</w:t>
      </w:r>
      <w:r w:rsidR="00CB3C33">
        <w:t xml:space="preserve"> </w:t>
      </w:r>
      <w:r w:rsidR="00B07D55">
        <w:t xml:space="preserve">also </w:t>
      </w:r>
      <w:r w:rsidR="00CB3C33">
        <w:t>suggested that</w:t>
      </w:r>
      <w:r w:rsidR="002C0257" w:rsidRPr="002C0257">
        <w:t xml:space="preserve"> </w:t>
      </w:r>
      <w:r w:rsidR="000222BF" w:rsidRPr="000222BF">
        <w:t xml:space="preserve">player data </w:t>
      </w:r>
      <w:r w:rsidR="00B07D55">
        <w:t xml:space="preserve">should </w:t>
      </w:r>
      <w:r w:rsidR="000222BF" w:rsidRPr="000222BF">
        <w:t>be shared with researchers and health professionals</w:t>
      </w:r>
      <w:r w:rsidR="00CB3C33">
        <w:t>.</w:t>
      </w:r>
      <w:r w:rsidR="000222BF" w:rsidRPr="000222BF">
        <w:t xml:space="preserve"> </w:t>
      </w:r>
      <w:r w:rsidR="00253854">
        <w:t xml:space="preserve">Variations for regulation under </w:t>
      </w:r>
      <w:r w:rsidR="005726DE">
        <w:t xml:space="preserve">current gambling legislation were also </w:t>
      </w:r>
      <w:r w:rsidR="002E5012">
        <w:t>mentioned</w:t>
      </w:r>
      <w:r w:rsidR="005726DE">
        <w:t>.</w:t>
      </w:r>
      <w:r w:rsidR="00A47A85" w:rsidRPr="00A47A85">
        <w:t xml:space="preserve"> </w:t>
      </w:r>
    </w:p>
    <w:p w14:paraId="61B8567E" w14:textId="3874331E" w:rsidR="00D03FD1" w:rsidRDefault="00337A01" w:rsidP="000B2101">
      <w:pPr>
        <w:pStyle w:val="BodyText"/>
      </w:pPr>
      <w:r>
        <w:t xml:space="preserve">Other published </w:t>
      </w:r>
      <w:r w:rsidR="00C33A63">
        <w:t>opinion pieces</w:t>
      </w:r>
      <w:r w:rsidR="0019244D">
        <w:t xml:space="preserve"> and commentaries</w:t>
      </w:r>
      <w:r w:rsidR="00410EDC">
        <w:t xml:space="preserve"> </w:t>
      </w:r>
      <w:r w:rsidR="005429FF">
        <w:t xml:space="preserve">beyond the scope of the current review </w:t>
      </w:r>
      <w:r>
        <w:t xml:space="preserve">have </w:t>
      </w:r>
      <w:r w:rsidR="00785FAE">
        <w:t>made</w:t>
      </w:r>
      <w:r>
        <w:t xml:space="preserve"> </w:t>
      </w:r>
      <w:r w:rsidR="00C02B9A">
        <w:t>similar</w:t>
      </w:r>
      <w:r>
        <w:t xml:space="preserve"> </w:t>
      </w:r>
      <w:r w:rsidR="00DB6F8E" w:rsidRPr="00DB6F8E">
        <w:t xml:space="preserve">recommendations for mitigation and regulation of harm associated with these products </w:t>
      </w:r>
      <w:r w:rsidR="00EF2B35">
        <w:t>(</w:t>
      </w:r>
      <w:r w:rsidR="00E62262">
        <w:t xml:space="preserve">i.e. </w:t>
      </w:r>
      <w:proofErr w:type="spellStart"/>
      <w:r w:rsidR="0000021A">
        <w:t>De</w:t>
      </w:r>
      <w:r w:rsidR="00F47267">
        <w:t>rev</w:t>
      </w:r>
      <w:r w:rsidR="004B2789">
        <w:t>en</w:t>
      </w:r>
      <w:r w:rsidR="003E4D9D">
        <w:t>sky</w:t>
      </w:r>
      <w:proofErr w:type="spellEnd"/>
      <w:r w:rsidR="004B2789">
        <w:t xml:space="preserve"> &amp; </w:t>
      </w:r>
      <w:proofErr w:type="spellStart"/>
      <w:r w:rsidR="00DA1CCE">
        <w:t>Gainsbury</w:t>
      </w:r>
      <w:proofErr w:type="spellEnd"/>
      <w:r w:rsidR="00DA1CCE">
        <w:t xml:space="preserve">, 2016; </w:t>
      </w:r>
      <w:proofErr w:type="spellStart"/>
      <w:r w:rsidR="0000021A">
        <w:t>De</w:t>
      </w:r>
      <w:r w:rsidR="00F47267">
        <w:t>rev</w:t>
      </w:r>
      <w:r w:rsidR="004B2789">
        <w:t>en</w:t>
      </w:r>
      <w:r w:rsidR="003E4D9D">
        <w:t>sky</w:t>
      </w:r>
      <w:proofErr w:type="spellEnd"/>
      <w:r w:rsidR="004B2789">
        <w:t xml:space="preserve"> &amp; Griffiths, 2019;</w:t>
      </w:r>
      <w:r w:rsidR="00E62262">
        <w:t xml:space="preserve"> </w:t>
      </w:r>
      <w:proofErr w:type="spellStart"/>
      <w:r w:rsidR="00D60FD2">
        <w:t>Derrington</w:t>
      </w:r>
      <w:proofErr w:type="spellEnd"/>
      <w:r w:rsidR="00D60FD2">
        <w:t xml:space="preserve">, Star, &amp; Kelly, 2021; </w:t>
      </w:r>
      <w:proofErr w:type="spellStart"/>
      <w:r w:rsidR="00010507">
        <w:t>Gainsbury</w:t>
      </w:r>
      <w:proofErr w:type="spellEnd"/>
      <w:r w:rsidR="00010507">
        <w:t xml:space="preserve">, 2019; </w:t>
      </w:r>
      <w:r w:rsidR="00E62262">
        <w:t xml:space="preserve">King &amp; </w:t>
      </w:r>
      <w:proofErr w:type="spellStart"/>
      <w:r w:rsidR="00E62262">
        <w:t>Delfabbro</w:t>
      </w:r>
      <w:proofErr w:type="spellEnd"/>
      <w:r w:rsidR="00E62262">
        <w:t>, 2018</w:t>
      </w:r>
      <w:r w:rsidR="00962FAF">
        <w:t>b</w:t>
      </w:r>
      <w:r w:rsidR="00E62262">
        <w:t>)</w:t>
      </w:r>
      <w:r w:rsidR="00B66100">
        <w:t>.</w:t>
      </w:r>
      <w:r w:rsidR="00E2372C">
        <w:t xml:space="preserve"> </w:t>
      </w:r>
      <w:r w:rsidR="00032424">
        <w:t xml:space="preserve">King &amp; </w:t>
      </w:r>
      <w:proofErr w:type="spellStart"/>
      <w:r w:rsidR="00032424">
        <w:t>Delfabbro</w:t>
      </w:r>
      <w:r w:rsidR="00AA38EE">
        <w:t>’s</w:t>
      </w:r>
      <w:proofErr w:type="spellEnd"/>
      <w:r w:rsidR="00032424">
        <w:t xml:space="preserve"> (2018b) </w:t>
      </w:r>
      <w:r w:rsidR="0014661F">
        <w:t xml:space="preserve">conceptual </w:t>
      </w:r>
      <w:r w:rsidR="00AA38EE">
        <w:t xml:space="preserve">paper on </w:t>
      </w:r>
      <w:r w:rsidR="00AE44E7">
        <w:t xml:space="preserve">a </w:t>
      </w:r>
      <w:r w:rsidR="006F37F7">
        <w:t>potential</w:t>
      </w:r>
      <w:r w:rsidR="00AA38EE">
        <w:t xml:space="preserve"> </w:t>
      </w:r>
      <w:r w:rsidR="005D1A5A">
        <w:t xml:space="preserve">regulatory and consumer </w:t>
      </w:r>
      <w:r w:rsidR="000E7F36">
        <w:t xml:space="preserve">protection </w:t>
      </w:r>
      <w:r w:rsidR="005D1A5A">
        <w:t xml:space="preserve">framework for </w:t>
      </w:r>
      <w:r w:rsidR="005C1C77">
        <w:t xml:space="preserve">video game monetisation </w:t>
      </w:r>
      <w:r w:rsidR="00913FA3">
        <w:t xml:space="preserve">made additional recommendations </w:t>
      </w:r>
      <w:r w:rsidR="00773AC6">
        <w:t>to those captured in this review</w:t>
      </w:r>
      <w:r w:rsidR="001E3125">
        <w:t>, including</w:t>
      </w:r>
      <w:r w:rsidR="00913FA3">
        <w:t xml:space="preserve"> a two-step purchasing process</w:t>
      </w:r>
      <w:r w:rsidR="00F64CB3">
        <w:t xml:space="preserve"> for all microtransactions</w:t>
      </w:r>
      <w:r w:rsidR="004B6EFA">
        <w:t xml:space="preserve">; </w:t>
      </w:r>
      <w:r w:rsidR="004A2E32">
        <w:t xml:space="preserve">voluntary </w:t>
      </w:r>
      <w:r w:rsidR="00F64CB3">
        <w:t>breaks in play or cooldowns</w:t>
      </w:r>
      <w:r w:rsidR="004B6EFA">
        <w:t xml:space="preserve">; </w:t>
      </w:r>
      <w:r w:rsidR="00EB6D3F">
        <w:t xml:space="preserve">ensuring all </w:t>
      </w:r>
      <w:r w:rsidR="00A214FC">
        <w:t>loot box items are also obtainable via standard play</w:t>
      </w:r>
      <w:r w:rsidR="004B6EFA">
        <w:t xml:space="preserve">; </w:t>
      </w:r>
      <w:r w:rsidR="00036B8A">
        <w:t xml:space="preserve">microtransactions </w:t>
      </w:r>
      <w:r w:rsidR="00A11154">
        <w:t>do</w:t>
      </w:r>
      <w:r w:rsidR="00F64041">
        <w:t xml:space="preserve"> </w:t>
      </w:r>
      <w:r w:rsidR="00036B8A">
        <w:t>not confer gameplay advantages</w:t>
      </w:r>
      <w:r w:rsidR="00F64041">
        <w:t xml:space="preserve">; </w:t>
      </w:r>
      <w:r w:rsidR="00752A76">
        <w:t>loot box probability</w:t>
      </w:r>
      <w:r w:rsidR="00A11154">
        <w:t xml:space="preserve"> </w:t>
      </w:r>
      <w:r w:rsidR="00752A76">
        <w:t>not be determined by player behaviour</w:t>
      </w:r>
      <w:r w:rsidR="00F64041">
        <w:t xml:space="preserve">; </w:t>
      </w:r>
      <w:r w:rsidR="00E90DB2">
        <w:t>microtransactions</w:t>
      </w:r>
      <w:r w:rsidR="00F64041">
        <w:t xml:space="preserve"> be </w:t>
      </w:r>
      <w:r w:rsidR="00E90DB2">
        <w:t xml:space="preserve">located in a separate space </w:t>
      </w:r>
      <w:r w:rsidR="00554154">
        <w:t>to or outside of</w:t>
      </w:r>
      <w:r w:rsidR="00E90DB2">
        <w:t xml:space="preserve"> the game</w:t>
      </w:r>
      <w:r w:rsidR="00F64041">
        <w:t xml:space="preserve">; </w:t>
      </w:r>
      <w:r w:rsidR="00E90DB2">
        <w:t>removal of repeat or duplicate rewards</w:t>
      </w:r>
      <w:r w:rsidR="00F64041">
        <w:t xml:space="preserve">; removal of </w:t>
      </w:r>
      <w:r w:rsidR="00724AC3">
        <w:t xml:space="preserve">audio-visual </w:t>
      </w:r>
      <w:r w:rsidR="000111F8">
        <w:t>cues of loot box openings</w:t>
      </w:r>
      <w:r w:rsidR="00F64041">
        <w:t xml:space="preserve">; </w:t>
      </w:r>
      <w:r w:rsidR="00AC6F75">
        <w:t>a checklist for problematic gaming use</w:t>
      </w:r>
      <w:r w:rsidR="00F64041">
        <w:t xml:space="preserve">; </w:t>
      </w:r>
      <w:r w:rsidR="00AC6F75">
        <w:t>access to records of in-game spending</w:t>
      </w:r>
      <w:r w:rsidR="00F64041">
        <w:t xml:space="preserve">; </w:t>
      </w:r>
      <w:r w:rsidR="00AC6F75">
        <w:t>notification of changes to microtransaction systems</w:t>
      </w:r>
      <w:r w:rsidR="00F64041">
        <w:t xml:space="preserve">; </w:t>
      </w:r>
      <w:r w:rsidR="00773AC6">
        <w:t xml:space="preserve">and </w:t>
      </w:r>
      <w:r w:rsidR="00AC6F75">
        <w:t>tips to maintain healthy playing behaviour</w:t>
      </w:r>
      <w:r w:rsidR="00773AC6">
        <w:t>.</w:t>
      </w:r>
    </w:p>
    <w:p w14:paraId="47E2A952" w14:textId="77777777" w:rsidR="00376ABA" w:rsidRDefault="00376ABA" w:rsidP="000B2101">
      <w:pPr>
        <w:pStyle w:val="BodyText"/>
      </w:pPr>
      <w:r>
        <w:t xml:space="preserve">This review highlighted inconsistencies in how loot boxes, simulated gambling and other in-game purchases have previously been defined in the literature. While clarity and consistency in product definitions and measurement have improved in recent years, it will be important for researchers, policy makers, industry, peak </w:t>
      </w:r>
      <w:proofErr w:type="gramStart"/>
      <w:r>
        <w:t>bodies</w:t>
      </w:r>
      <w:proofErr w:type="gramEnd"/>
      <w:r>
        <w:t xml:space="preserve"> and other stakeholders to ensure consistency in definition and application of classification and regulation as new products emerge. </w:t>
      </w:r>
    </w:p>
    <w:p w14:paraId="6DA4E41E" w14:textId="77777777" w:rsidR="007E6261" w:rsidRDefault="00304714" w:rsidP="00EB631E">
      <w:pPr>
        <w:pStyle w:val="Heading2"/>
        <w:spacing w:before="360"/>
      </w:pPr>
      <w:bookmarkStart w:id="64" w:name="_Toc97649965"/>
      <w:bookmarkStart w:id="65" w:name="_Toc106359527"/>
      <w:r>
        <w:t>Limitations</w:t>
      </w:r>
      <w:r w:rsidR="00125F42">
        <w:t xml:space="preserve"> </w:t>
      </w:r>
      <w:r w:rsidR="00C748CF">
        <w:t xml:space="preserve">of the </w:t>
      </w:r>
      <w:r w:rsidR="00970221">
        <w:t>current evidence base</w:t>
      </w:r>
      <w:bookmarkEnd w:id="64"/>
      <w:bookmarkEnd w:id="65"/>
    </w:p>
    <w:p w14:paraId="69D053EC" w14:textId="77777777" w:rsidR="00A64A7D" w:rsidRDefault="00C40F4C" w:rsidP="000B2101">
      <w:pPr>
        <w:pStyle w:val="BodyText"/>
      </w:pPr>
      <w:r>
        <w:t>While th</w:t>
      </w:r>
      <w:r w:rsidR="00970221">
        <w:t>is evidence</w:t>
      </w:r>
      <w:r>
        <w:t xml:space="preserve"> </w:t>
      </w:r>
      <w:r w:rsidR="00067A89">
        <w:t xml:space="preserve">review </w:t>
      </w:r>
      <w:r>
        <w:t>provide</w:t>
      </w:r>
      <w:r w:rsidR="00B84DAF">
        <w:t>s</w:t>
      </w:r>
      <w:r>
        <w:t xml:space="preserve"> </w:t>
      </w:r>
      <w:r w:rsidR="005D60E1">
        <w:t xml:space="preserve">valuable </w:t>
      </w:r>
      <w:r w:rsidR="00970221">
        <w:t>insights</w:t>
      </w:r>
      <w:r w:rsidR="005D60E1">
        <w:t xml:space="preserve"> to inform policy </w:t>
      </w:r>
      <w:r w:rsidR="00C91E2D">
        <w:t>response</w:t>
      </w:r>
      <w:r w:rsidR="00655CB6">
        <w:t>s</w:t>
      </w:r>
      <w:r w:rsidR="00323D75">
        <w:t xml:space="preserve">, there </w:t>
      </w:r>
      <w:r w:rsidR="00522722">
        <w:t xml:space="preserve">are </w:t>
      </w:r>
      <w:r w:rsidR="00655CB6">
        <w:t>several</w:t>
      </w:r>
      <w:r w:rsidR="00522722">
        <w:t xml:space="preserve"> limitations </w:t>
      </w:r>
      <w:r w:rsidR="00323D75">
        <w:t xml:space="preserve">that </w:t>
      </w:r>
      <w:r w:rsidR="002B1050">
        <w:t>should be considered</w:t>
      </w:r>
      <w:r w:rsidR="00C91E2D">
        <w:t xml:space="preserve">, </w:t>
      </w:r>
      <w:r w:rsidR="003B158B">
        <w:t>includ</w:t>
      </w:r>
      <w:r w:rsidR="00C91E2D">
        <w:t>ing</w:t>
      </w:r>
      <w:r w:rsidR="003B158B">
        <w:t>:</w:t>
      </w:r>
      <w:r w:rsidR="00522722">
        <w:t xml:space="preserve"> </w:t>
      </w:r>
    </w:p>
    <w:p w14:paraId="079AD3DD" w14:textId="7B2B73AB" w:rsidR="00376ABA" w:rsidRDefault="00376ABA" w:rsidP="00376ABA">
      <w:pPr>
        <w:pStyle w:val="ListBullet"/>
      </w:pPr>
      <w:r>
        <w:t>While most</w:t>
      </w:r>
      <w:r w:rsidRPr="003B22BD">
        <w:t xml:space="preserve"> of the evidence supports an association between loot boxes</w:t>
      </w:r>
      <w:r>
        <w:t xml:space="preserve"> and </w:t>
      </w:r>
      <w:r w:rsidRPr="003B22BD">
        <w:t xml:space="preserve">social casino games </w:t>
      </w:r>
      <w:r>
        <w:t>and</w:t>
      </w:r>
      <w:r w:rsidRPr="003B22BD">
        <w:t xml:space="preserve"> harm</w:t>
      </w:r>
      <w:r>
        <w:t>, specifically problem gambling risk and internet gaming disorder, findings were usually based on</w:t>
      </w:r>
      <w:r w:rsidRPr="00623B67">
        <w:t xml:space="preserve"> cross-sectional</w:t>
      </w:r>
      <w:r>
        <w:t xml:space="preserve"> studies. C</w:t>
      </w:r>
      <w:r w:rsidRPr="00623B67">
        <w:t>ausality, or directionality</w:t>
      </w:r>
      <w:r>
        <w:t>,</w:t>
      </w:r>
      <w:r w:rsidRPr="00623B67">
        <w:t xml:space="preserve"> of the relationship</w:t>
      </w:r>
      <w:r w:rsidR="00A11154">
        <w:t>s</w:t>
      </w:r>
      <w:r>
        <w:t xml:space="preserve"> </w:t>
      </w:r>
      <w:r w:rsidRPr="00623B67">
        <w:t>can</w:t>
      </w:r>
      <w:r>
        <w:t xml:space="preserve"> therefore </w:t>
      </w:r>
      <w:r w:rsidRPr="00623B67">
        <w:t>not</w:t>
      </w:r>
      <w:r>
        <w:t xml:space="preserve"> </w:t>
      </w:r>
      <w:r w:rsidRPr="00623B67">
        <w:t>be inferred</w:t>
      </w:r>
      <w:r>
        <w:t>.</w:t>
      </w:r>
    </w:p>
    <w:p w14:paraId="78307CD7" w14:textId="5826A0F3" w:rsidR="00C860E4" w:rsidRDefault="795A25BF" w:rsidP="00176B57">
      <w:pPr>
        <w:pStyle w:val="ListBullet"/>
      </w:pPr>
      <w:r>
        <w:t>Most studies were conducted with adolescents (12</w:t>
      </w:r>
      <w:r w:rsidR="6DFB7D5B">
        <w:t>–</w:t>
      </w:r>
      <w:r>
        <w:t>17 years) or young adults (18</w:t>
      </w:r>
      <w:r w:rsidR="6DFB7D5B">
        <w:t>–</w:t>
      </w:r>
      <w:r>
        <w:t xml:space="preserve">29), but there was limited research conducted with children under 12 years, older </w:t>
      </w:r>
      <w:proofErr w:type="gramStart"/>
      <w:r>
        <w:t>adults</w:t>
      </w:r>
      <w:proofErr w:type="gramEnd"/>
      <w:r>
        <w:t xml:space="preserve"> or nationally representative samples of Australians.</w:t>
      </w:r>
    </w:p>
    <w:p w14:paraId="77324AD3" w14:textId="77777777" w:rsidR="005B5462" w:rsidRDefault="005B5462" w:rsidP="00176B57">
      <w:pPr>
        <w:pStyle w:val="ListBullet"/>
      </w:pPr>
      <w:r>
        <w:t>T</w:t>
      </w:r>
      <w:r w:rsidRPr="006776C7">
        <w:t xml:space="preserve">here was a lack of consistency in how different </w:t>
      </w:r>
      <w:r>
        <w:t>products</w:t>
      </w:r>
      <w:r w:rsidRPr="006776C7">
        <w:t xml:space="preserve"> </w:t>
      </w:r>
      <w:r>
        <w:t xml:space="preserve">(especially simulated gambling products) </w:t>
      </w:r>
      <w:r w:rsidRPr="006776C7">
        <w:t>were defined</w:t>
      </w:r>
      <w:r>
        <w:t xml:space="preserve"> and measured, sometimes making direct comparisons between study results or an overall assessment of harm</w:t>
      </w:r>
      <w:r w:rsidR="00C860E4">
        <w:t xml:space="preserve"> difficult.</w:t>
      </w:r>
    </w:p>
    <w:p w14:paraId="5F6D7145" w14:textId="4D01515E" w:rsidR="003D69C1" w:rsidRDefault="00E52484" w:rsidP="00176B57">
      <w:pPr>
        <w:pStyle w:val="ListBullet"/>
      </w:pPr>
      <w:r>
        <w:t>M</w:t>
      </w:r>
      <w:r w:rsidR="00862CA3">
        <w:t xml:space="preserve">ost studies </w:t>
      </w:r>
      <w:r w:rsidR="006462FB">
        <w:t xml:space="preserve">examined </w:t>
      </w:r>
      <w:r w:rsidR="00285C17">
        <w:t xml:space="preserve">clinical </w:t>
      </w:r>
      <w:r w:rsidR="006462FB">
        <w:t>associations with problem gambling (using the Problem Gambling Sev</w:t>
      </w:r>
      <w:r w:rsidR="002970F0">
        <w:t>erity Index; PGSI) or internet gaming disorder (IGD)</w:t>
      </w:r>
      <w:r w:rsidR="00000236">
        <w:t xml:space="preserve">. However, other studies used modified versions of these measures, or different </w:t>
      </w:r>
      <w:r w:rsidR="00A2692F">
        <w:t>measure</w:t>
      </w:r>
      <w:r w:rsidR="00B84CF1">
        <w:t>s</w:t>
      </w:r>
      <w:r w:rsidR="00A2692F">
        <w:t xml:space="preserve"> of gambling </w:t>
      </w:r>
      <w:r w:rsidR="000C5C40">
        <w:t xml:space="preserve">participation </w:t>
      </w:r>
      <w:r w:rsidR="00A2692F">
        <w:t>or gaming harm. This inconsistency in measurements</w:t>
      </w:r>
      <w:r w:rsidR="00357147">
        <w:t xml:space="preserve"> makes it difficult to directly compare study results, and any differences in results may be due to differences in measures used.</w:t>
      </w:r>
      <w:r w:rsidR="00000236">
        <w:t xml:space="preserve"> </w:t>
      </w:r>
      <w:r w:rsidR="003814F7">
        <w:t xml:space="preserve"> </w:t>
      </w:r>
    </w:p>
    <w:p w14:paraId="049F3E36" w14:textId="7ECB2EEB" w:rsidR="006776C7" w:rsidRDefault="003D69C1" w:rsidP="00176B57">
      <w:pPr>
        <w:pStyle w:val="ListBullet"/>
      </w:pPr>
      <w:r>
        <w:t>O</w:t>
      </w:r>
      <w:r w:rsidR="006C0782">
        <w:t>ther</w:t>
      </w:r>
      <w:r w:rsidR="003814F7">
        <w:t xml:space="preserve"> </w:t>
      </w:r>
      <w:r w:rsidR="00D738FE">
        <w:t xml:space="preserve">specific types of harm </w:t>
      </w:r>
      <w:r>
        <w:t xml:space="preserve">directly </w:t>
      </w:r>
      <w:r w:rsidR="00D738FE">
        <w:t xml:space="preserve">related </w:t>
      </w:r>
      <w:r w:rsidR="002B70DB">
        <w:t xml:space="preserve">to loot boxes, simulated </w:t>
      </w:r>
      <w:proofErr w:type="gramStart"/>
      <w:r w:rsidR="002B70DB">
        <w:t>gambling</w:t>
      </w:r>
      <w:proofErr w:type="gramEnd"/>
      <w:r w:rsidR="002B70DB">
        <w:t xml:space="preserve"> or </w:t>
      </w:r>
      <w:r w:rsidR="00A66FF9">
        <w:t>other in-game</w:t>
      </w:r>
      <w:r w:rsidR="002B70DB">
        <w:t xml:space="preserve"> purchasing </w:t>
      </w:r>
      <w:r w:rsidR="00D738FE">
        <w:t xml:space="preserve">(e.g. financial, emotional, relationship, health </w:t>
      </w:r>
      <w:r w:rsidR="002B70DB">
        <w:t xml:space="preserve">or </w:t>
      </w:r>
      <w:r w:rsidR="00D738FE">
        <w:t>work/school</w:t>
      </w:r>
      <w:r w:rsidR="002B70DB">
        <w:t xml:space="preserve"> harms</w:t>
      </w:r>
      <w:r w:rsidR="00D738FE">
        <w:t>)</w:t>
      </w:r>
      <w:r w:rsidR="006C0782">
        <w:t xml:space="preserve"> we</w:t>
      </w:r>
      <w:r w:rsidR="009249F2">
        <w:t>re</w:t>
      </w:r>
      <w:r w:rsidR="006C0782">
        <w:t xml:space="preserve"> rarely </w:t>
      </w:r>
      <w:r w:rsidR="00201865">
        <w:t>investigated</w:t>
      </w:r>
      <w:r w:rsidR="00A11154">
        <w:t xml:space="preserve"> in the reviewed </w:t>
      </w:r>
      <w:r w:rsidDel="00A11154">
        <w:t>liter</w:t>
      </w:r>
      <w:r w:rsidR="00F32DFC">
        <w:t>a</w:t>
      </w:r>
      <w:r w:rsidDel="00A11154">
        <w:t>ture</w:t>
      </w:r>
      <w:r w:rsidR="00E52484">
        <w:t>.</w:t>
      </w:r>
    </w:p>
    <w:p w14:paraId="78C21797" w14:textId="2050AD51" w:rsidR="00432A1A" w:rsidRDefault="51770FAE" w:rsidP="34ECA987">
      <w:pPr>
        <w:pStyle w:val="ListBullet"/>
        <w:rPr>
          <w:lang w:bidi="ar-SA"/>
        </w:rPr>
      </w:pPr>
      <w:r w:rsidRPr="34ECA987">
        <w:rPr>
          <w:lang w:bidi="ar-SA"/>
        </w:rPr>
        <w:t xml:space="preserve">The strength of the relationship between these products and </w:t>
      </w:r>
      <w:r w:rsidR="19338E1D" w:rsidRPr="34ECA987">
        <w:rPr>
          <w:lang w:bidi="ar-SA"/>
        </w:rPr>
        <w:t xml:space="preserve">the harms measured </w:t>
      </w:r>
      <w:r w:rsidRPr="34ECA987">
        <w:rPr>
          <w:lang w:bidi="ar-SA"/>
        </w:rPr>
        <w:t xml:space="preserve">varies </w:t>
      </w:r>
      <w:r w:rsidR="553F25B6" w:rsidRPr="34ECA987">
        <w:rPr>
          <w:lang w:bidi="ar-SA"/>
        </w:rPr>
        <w:t>based</w:t>
      </w:r>
      <w:r w:rsidRPr="34ECA987">
        <w:rPr>
          <w:lang w:bidi="ar-SA"/>
        </w:rPr>
        <w:t xml:space="preserve"> on sample, product and type of harm, and few studies accounted for other factors </w:t>
      </w:r>
      <w:r w:rsidR="6DFB7D5B" w:rsidRPr="34ECA987">
        <w:rPr>
          <w:lang w:bidi="ar-SA"/>
        </w:rPr>
        <w:t xml:space="preserve">that </w:t>
      </w:r>
      <w:r w:rsidRPr="34ECA987">
        <w:rPr>
          <w:lang w:bidi="ar-SA"/>
        </w:rPr>
        <w:t xml:space="preserve">could contribute to harm (e.g. participation in monetary gambling). </w:t>
      </w:r>
    </w:p>
    <w:p w14:paraId="490FF204" w14:textId="64BBE9AF" w:rsidR="0063002E" w:rsidRDefault="00937725" w:rsidP="00176B57">
      <w:pPr>
        <w:pStyle w:val="ListBullet"/>
      </w:pPr>
      <w:r w:rsidRPr="00937725">
        <w:rPr>
          <w:lang w:bidi="ar-SA"/>
        </w:rPr>
        <w:lastRenderedPageBreak/>
        <w:t xml:space="preserve">The recommendations made in the literature for the regulation and mitigation of harm associated with these products were usually based on strategies employed for similar activities, such as gambling. </w:t>
      </w:r>
      <w:r w:rsidR="00986E0B">
        <w:rPr>
          <w:lang w:bidi="ar-SA"/>
        </w:rPr>
        <w:t>E</w:t>
      </w:r>
      <w:r w:rsidRPr="00937725">
        <w:rPr>
          <w:lang w:bidi="ar-SA"/>
        </w:rPr>
        <w:t>vidence-informed</w:t>
      </w:r>
      <w:r w:rsidR="00834579">
        <w:rPr>
          <w:lang w:bidi="ar-SA"/>
        </w:rPr>
        <w:t xml:space="preserve"> </w:t>
      </w:r>
      <w:r w:rsidRPr="00937725">
        <w:rPr>
          <w:lang w:bidi="ar-SA"/>
        </w:rPr>
        <w:t>information about the feasibility, implementation, and effectiveness of these mitigation strategies for loot boxes, simulated gambling and other in-game purchases is required.</w:t>
      </w:r>
      <w:r w:rsidRPr="00937725" w:rsidDel="00937725">
        <w:rPr>
          <w:lang w:bidi="ar-SA"/>
        </w:rPr>
        <w:t xml:space="preserve"> </w:t>
      </w:r>
    </w:p>
    <w:p w14:paraId="03C46E88" w14:textId="77777777" w:rsidR="00002D63" w:rsidRDefault="00155245" w:rsidP="00EB631E">
      <w:pPr>
        <w:pStyle w:val="Heading2"/>
        <w:spacing w:before="360"/>
      </w:pPr>
      <w:bookmarkStart w:id="66" w:name="_Toc97649966"/>
      <w:bookmarkStart w:id="67" w:name="_Toc106359528"/>
      <w:r>
        <w:t>Gaps in evidence</w:t>
      </w:r>
      <w:bookmarkEnd w:id="66"/>
      <w:bookmarkEnd w:id="67"/>
    </w:p>
    <w:p w14:paraId="21D0FA2D" w14:textId="77777777" w:rsidR="00D870B5" w:rsidRDefault="00295BF8" w:rsidP="00897FF2">
      <w:pPr>
        <w:pStyle w:val="BodyText"/>
      </w:pPr>
      <w:r>
        <w:t>T</w:t>
      </w:r>
      <w:r w:rsidR="005306E2">
        <w:t xml:space="preserve">his evidence review </w:t>
      </w:r>
      <w:r>
        <w:t xml:space="preserve">highlights </w:t>
      </w:r>
      <w:r w:rsidR="00D633A8">
        <w:t xml:space="preserve">the need to </w:t>
      </w:r>
      <w:r w:rsidR="00323E7C">
        <w:t xml:space="preserve">improve understanding of the </w:t>
      </w:r>
      <w:r w:rsidR="00424D18">
        <w:t xml:space="preserve">harms </w:t>
      </w:r>
      <w:r w:rsidR="00A125B6" w:rsidRPr="00A125B6">
        <w:t>associated with</w:t>
      </w:r>
      <w:r w:rsidR="004B58AB">
        <w:t xml:space="preserve"> engagement with</w:t>
      </w:r>
      <w:r w:rsidR="00A125B6" w:rsidRPr="00A125B6">
        <w:t xml:space="preserve"> </w:t>
      </w:r>
      <w:r w:rsidR="00B97CB8" w:rsidRPr="00B97CB8">
        <w:t xml:space="preserve">loot boxes, simulated </w:t>
      </w:r>
      <w:proofErr w:type="gramStart"/>
      <w:r w:rsidR="00B97CB8" w:rsidRPr="00B97CB8">
        <w:t>gambling</w:t>
      </w:r>
      <w:proofErr w:type="gramEnd"/>
      <w:r w:rsidR="00B97CB8" w:rsidRPr="00B97CB8">
        <w:t xml:space="preserve"> and </w:t>
      </w:r>
      <w:r w:rsidR="00A66FF9">
        <w:t>other in-game</w:t>
      </w:r>
      <w:r w:rsidR="000B5ABC">
        <w:t xml:space="preserve"> purchase</w:t>
      </w:r>
      <w:r w:rsidR="00B97CB8" w:rsidRPr="00B97CB8">
        <w:t>s</w:t>
      </w:r>
      <w:r w:rsidR="00CC0D04">
        <w:t>, including:</w:t>
      </w:r>
    </w:p>
    <w:p w14:paraId="31D0B537" w14:textId="72BD3780" w:rsidR="00A56B6A" w:rsidRDefault="00A56B6A" w:rsidP="00176B57">
      <w:pPr>
        <w:pStyle w:val="ListBullet"/>
      </w:pPr>
      <w:r>
        <w:t>Determining directionality/causality of observed relationships between loot boxes and simulated gambling products with harm</w:t>
      </w:r>
      <w:r w:rsidR="008F419C">
        <w:t>.</w:t>
      </w:r>
    </w:p>
    <w:p w14:paraId="691A4E9C" w14:textId="60070FC7" w:rsidR="00844393" w:rsidRDefault="553F25B6" w:rsidP="00176B57">
      <w:pPr>
        <w:pStyle w:val="ListBullet"/>
      </w:pPr>
      <w:r>
        <w:t>U</w:t>
      </w:r>
      <w:r w:rsidR="6DFB7D5B">
        <w:t xml:space="preserve">nderstanding </w:t>
      </w:r>
      <w:r w:rsidR="3E5555FC">
        <w:t>c</w:t>
      </w:r>
      <w:r w:rsidR="2702BC31">
        <w:t>hildren and their parent’s experiences of harm</w:t>
      </w:r>
      <w:r w:rsidR="5D9A45BF">
        <w:t>s</w:t>
      </w:r>
      <w:r w:rsidR="2702BC31">
        <w:t xml:space="preserve"> associated with loot boxes, simulated </w:t>
      </w:r>
      <w:proofErr w:type="gramStart"/>
      <w:r w:rsidR="2702BC31">
        <w:t>gambling</w:t>
      </w:r>
      <w:proofErr w:type="gramEnd"/>
      <w:r w:rsidR="2702BC31">
        <w:t xml:space="preserve"> and </w:t>
      </w:r>
      <w:r w:rsidR="00A66FF9">
        <w:t>other in-game</w:t>
      </w:r>
      <w:r w:rsidR="2702BC31">
        <w:t xml:space="preserve"> purchases</w:t>
      </w:r>
      <w:r w:rsidR="03E15656">
        <w:t>.</w:t>
      </w:r>
    </w:p>
    <w:p w14:paraId="3146B4B4" w14:textId="09F51CE3" w:rsidR="00877DA7" w:rsidRDefault="00FB5E34" w:rsidP="00176B57">
      <w:pPr>
        <w:pStyle w:val="ListBullet"/>
      </w:pPr>
      <w:r>
        <w:t>U</w:t>
      </w:r>
      <w:r w:rsidR="009B7C4D">
        <w:t xml:space="preserve">nderstanding </w:t>
      </w:r>
      <w:r w:rsidR="00CA3439">
        <w:t xml:space="preserve">the </w:t>
      </w:r>
      <w:r w:rsidR="00A94992">
        <w:t xml:space="preserve">different types of harm experienced by people who use these </w:t>
      </w:r>
      <w:r w:rsidR="00155245">
        <w:t>products</w:t>
      </w:r>
      <w:r w:rsidR="00D633A8">
        <w:t>, including</w:t>
      </w:r>
      <w:r w:rsidR="00D870B5">
        <w:t xml:space="preserve"> financial, emotional/psychological, relationship, health</w:t>
      </w:r>
      <w:r w:rsidR="001857F4">
        <w:t>,</w:t>
      </w:r>
      <w:r w:rsidR="00D870B5">
        <w:t xml:space="preserve"> </w:t>
      </w:r>
      <w:r w:rsidR="004F6FB8">
        <w:t xml:space="preserve">and </w:t>
      </w:r>
      <w:r w:rsidR="00D870B5">
        <w:t>work or s</w:t>
      </w:r>
      <w:r w:rsidR="004F6FB8">
        <w:t>tudy</w:t>
      </w:r>
      <w:r w:rsidR="00D633A8">
        <w:t xml:space="preserve"> harm</w:t>
      </w:r>
      <w:r w:rsidR="004D2594">
        <w:t>.</w:t>
      </w:r>
    </w:p>
    <w:p w14:paraId="008F24CD" w14:textId="1DD6BF01" w:rsidR="00877DA7" w:rsidRDefault="00FB5E34" w:rsidP="00176B57">
      <w:pPr>
        <w:pStyle w:val="ListBullet"/>
      </w:pPr>
      <w:r>
        <w:t>I</w:t>
      </w:r>
      <w:r w:rsidR="002A1B70">
        <w:t xml:space="preserve">mproving </w:t>
      </w:r>
      <w:r w:rsidR="00297FCB">
        <w:t xml:space="preserve">understanding of </w:t>
      </w:r>
      <w:r w:rsidR="00877DA7" w:rsidRPr="00877DA7">
        <w:t xml:space="preserve">other factors </w:t>
      </w:r>
      <w:r w:rsidR="00297FCB">
        <w:t xml:space="preserve">that </w:t>
      </w:r>
      <w:r w:rsidR="00877DA7" w:rsidRPr="00877DA7">
        <w:t>may contribute to</w:t>
      </w:r>
      <w:r w:rsidR="002A21CB">
        <w:t>, moderate or mediate</w:t>
      </w:r>
      <w:r w:rsidR="00877DA7" w:rsidRPr="00877DA7">
        <w:t xml:space="preserve"> harm</w:t>
      </w:r>
      <w:r w:rsidR="002A21CB">
        <w:t xml:space="preserve"> related to these products</w:t>
      </w:r>
      <w:r w:rsidR="00877DA7" w:rsidRPr="00877DA7">
        <w:t>, such as demographic</w:t>
      </w:r>
      <w:r w:rsidR="00973762">
        <w:t xml:space="preserve"> characteristics</w:t>
      </w:r>
      <w:r w:rsidR="00877DA7" w:rsidRPr="00877DA7">
        <w:t xml:space="preserve">, </w:t>
      </w:r>
      <w:r w:rsidR="00973762">
        <w:t>peer</w:t>
      </w:r>
      <w:r w:rsidR="00877DA7" w:rsidRPr="00877DA7">
        <w:t xml:space="preserve"> influences, marketing of these products</w:t>
      </w:r>
      <w:r w:rsidR="003042B7">
        <w:t xml:space="preserve"> and</w:t>
      </w:r>
      <w:r w:rsidR="00877DA7" w:rsidRPr="00877DA7">
        <w:t xml:space="preserve"> </w:t>
      </w:r>
      <w:r w:rsidR="00973762" w:rsidRPr="00973762">
        <w:t xml:space="preserve">participation </w:t>
      </w:r>
      <w:r w:rsidR="000231F4">
        <w:t xml:space="preserve">in </w:t>
      </w:r>
      <w:r w:rsidR="00973762" w:rsidRPr="00973762">
        <w:t>monetary gambling</w:t>
      </w:r>
      <w:r w:rsidR="004D2594">
        <w:t>.</w:t>
      </w:r>
    </w:p>
    <w:p w14:paraId="0E8383EC" w14:textId="6746E849" w:rsidR="005A2959" w:rsidRDefault="00FB5E34" w:rsidP="00176B57">
      <w:pPr>
        <w:pStyle w:val="ListBullet"/>
      </w:pPr>
      <w:r>
        <w:t>E</w:t>
      </w:r>
      <w:r w:rsidR="002A1B70">
        <w:t xml:space="preserve">xploration </w:t>
      </w:r>
      <w:r w:rsidR="00D633A8">
        <w:t>of w</w:t>
      </w:r>
      <w:r w:rsidR="00420377">
        <w:t xml:space="preserve">hich groups may be </w:t>
      </w:r>
      <w:r w:rsidR="001857F4">
        <w:t xml:space="preserve">most </w:t>
      </w:r>
      <w:r w:rsidR="00420377">
        <w:t>at</w:t>
      </w:r>
      <w:r w:rsidR="002A1B70">
        <w:t xml:space="preserve"> </w:t>
      </w:r>
      <w:r w:rsidR="00420377">
        <w:t xml:space="preserve">risk </w:t>
      </w:r>
      <w:r w:rsidR="00D633A8">
        <w:t>or vulnerable</w:t>
      </w:r>
      <w:r w:rsidR="00420377">
        <w:t xml:space="preserve"> to</w:t>
      </w:r>
      <w:r w:rsidR="00311004">
        <w:t xml:space="preserve"> experiencing </w:t>
      </w:r>
      <w:r w:rsidR="005A2959" w:rsidRPr="009915B4">
        <w:t xml:space="preserve">harm due to engagement with </w:t>
      </w:r>
      <w:r w:rsidR="00FD3116">
        <w:t>these products</w:t>
      </w:r>
      <w:r w:rsidR="004D2594">
        <w:t>.</w:t>
      </w:r>
      <w:r w:rsidR="005A2959" w:rsidRPr="009915B4">
        <w:t xml:space="preserve"> </w:t>
      </w:r>
    </w:p>
    <w:p w14:paraId="6668B818" w14:textId="584C50AC" w:rsidR="00D633A8" w:rsidRDefault="76C9E994" w:rsidP="00176B57">
      <w:pPr>
        <w:pStyle w:val="ListBullet"/>
      </w:pPr>
      <w:r>
        <w:t>P</w:t>
      </w:r>
      <w:r w:rsidR="66F41F2D">
        <w:t>rospective</w:t>
      </w:r>
      <w:r w:rsidR="3E5555FC">
        <w:t xml:space="preserve"> longitudinal research on how people’s engagement in and </w:t>
      </w:r>
      <w:r w:rsidR="6082C73A">
        <w:t xml:space="preserve">experience of </w:t>
      </w:r>
      <w:r w:rsidR="3E5555FC">
        <w:t xml:space="preserve">harm associated with </w:t>
      </w:r>
      <w:r w:rsidR="65E65E67">
        <w:t>these products</w:t>
      </w:r>
      <w:r w:rsidR="3E5555FC">
        <w:t xml:space="preserve"> changes over time (i.e. from childhood to adolescence, through to adulthood, and later in life).</w:t>
      </w:r>
    </w:p>
    <w:p w14:paraId="5A6B615F" w14:textId="77777777" w:rsidR="008D37CC" w:rsidRPr="00777330" w:rsidRDefault="76C9E994" w:rsidP="00176B57">
      <w:pPr>
        <w:pStyle w:val="ListBullet"/>
      </w:pPr>
      <w:r>
        <w:t>U</w:t>
      </w:r>
      <w:r w:rsidR="6082C73A">
        <w:t xml:space="preserve">nderstanding </w:t>
      </w:r>
      <w:r w:rsidR="3E5555FC">
        <w:t>t</w:t>
      </w:r>
      <w:r w:rsidR="16EA9308">
        <w:t xml:space="preserve">he effectiveness of different types of </w:t>
      </w:r>
      <w:r w:rsidR="72FBBA8D">
        <w:t>mitigation and regulatory responses</w:t>
      </w:r>
      <w:r w:rsidR="16EA9308">
        <w:t xml:space="preserve"> in preventing and/or reducing harm associated with loot boxes, simulated </w:t>
      </w:r>
      <w:proofErr w:type="gramStart"/>
      <w:r w:rsidR="16EA9308">
        <w:t>gambling</w:t>
      </w:r>
      <w:proofErr w:type="gramEnd"/>
      <w:r w:rsidR="16EA9308">
        <w:t xml:space="preserve"> and </w:t>
      </w:r>
      <w:r w:rsidR="00A66FF9">
        <w:t>other in-game</w:t>
      </w:r>
      <w:r w:rsidR="16EA9308">
        <w:t xml:space="preserve"> purchasing</w:t>
      </w:r>
      <w:r w:rsidR="72FBBA8D">
        <w:t xml:space="preserve">. </w:t>
      </w:r>
    </w:p>
    <w:p w14:paraId="64836A34" w14:textId="77777777" w:rsidR="005E2246" w:rsidRDefault="005E2246" w:rsidP="005E2246">
      <w:pPr>
        <w:pStyle w:val="Heading2"/>
        <w:spacing w:before="360"/>
      </w:pPr>
      <w:bookmarkStart w:id="68" w:name="_Toc97649967"/>
      <w:bookmarkStart w:id="69" w:name="_Toc106359529"/>
      <w:r>
        <w:t>Conclusions</w:t>
      </w:r>
      <w:bookmarkEnd w:id="68"/>
      <w:bookmarkEnd w:id="69"/>
    </w:p>
    <w:p w14:paraId="208E2DED" w14:textId="138B2098" w:rsidR="00495429" w:rsidRPr="00310A7F" w:rsidRDefault="00495429" w:rsidP="00897FF2">
      <w:pPr>
        <w:pStyle w:val="BodyText"/>
        <w:rPr>
          <w:rFonts w:cs="Arial"/>
          <w:szCs w:val="20"/>
        </w:rPr>
      </w:pPr>
      <w:r>
        <w:t xml:space="preserve">This review aimed to evaluate the evidence on harms associated with loot boxes, simulated </w:t>
      </w:r>
      <w:proofErr w:type="gramStart"/>
      <w:r>
        <w:t>gambling</w:t>
      </w:r>
      <w:proofErr w:type="gramEnd"/>
      <w:r>
        <w:t xml:space="preserve"> and </w:t>
      </w:r>
      <w:r w:rsidR="00D179E6">
        <w:t>other in</w:t>
      </w:r>
      <w:r w:rsidR="00A66FF9">
        <w:t>-game</w:t>
      </w:r>
      <w:r>
        <w:t xml:space="preserve"> purchases, as well as identify </w:t>
      </w:r>
      <w:r w:rsidR="00534065">
        <w:t>r</w:t>
      </w:r>
      <w:r w:rsidRPr="00310A7F">
        <w:rPr>
          <w:rFonts w:cs="Arial"/>
          <w:szCs w:val="20"/>
        </w:rPr>
        <w:t xml:space="preserve">ecommendations for </w:t>
      </w:r>
      <w:r w:rsidR="00534065">
        <w:rPr>
          <w:rFonts w:cs="Arial"/>
          <w:szCs w:val="20"/>
        </w:rPr>
        <w:t xml:space="preserve">harm </w:t>
      </w:r>
      <w:r w:rsidRPr="00310A7F">
        <w:rPr>
          <w:rFonts w:cs="Arial"/>
          <w:szCs w:val="20"/>
        </w:rPr>
        <w:t>mitigation and regulat</w:t>
      </w:r>
      <w:r w:rsidR="00534065">
        <w:rPr>
          <w:rFonts w:cs="Arial"/>
          <w:szCs w:val="20"/>
        </w:rPr>
        <w:t>ion.</w:t>
      </w:r>
      <w:r w:rsidR="0093612F">
        <w:rPr>
          <w:rFonts w:cs="Arial"/>
          <w:szCs w:val="20"/>
        </w:rPr>
        <w:t xml:space="preserve"> The </w:t>
      </w:r>
      <w:r w:rsidR="00E00AAF">
        <w:rPr>
          <w:rFonts w:cs="Arial"/>
          <w:szCs w:val="20"/>
        </w:rPr>
        <w:t xml:space="preserve">main </w:t>
      </w:r>
      <w:r w:rsidR="0093612F">
        <w:rPr>
          <w:rFonts w:cs="Arial"/>
          <w:szCs w:val="20"/>
        </w:rPr>
        <w:t>finding</w:t>
      </w:r>
      <w:r w:rsidR="006A3CB0">
        <w:rPr>
          <w:rFonts w:cs="Arial"/>
          <w:szCs w:val="20"/>
        </w:rPr>
        <w:t>s</w:t>
      </w:r>
      <w:r w:rsidR="0093612F">
        <w:rPr>
          <w:rFonts w:cs="Arial"/>
          <w:szCs w:val="20"/>
        </w:rPr>
        <w:t xml:space="preserve"> suggest that</w:t>
      </w:r>
      <w:r w:rsidR="004128C6">
        <w:rPr>
          <w:rFonts w:cs="Arial"/>
          <w:szCs w:val="20"/>
        </w:rPr>
        <w:t xml:space="preserve"> loot boxes, </w:t>
      </w:r>
      <w:r w:rsidR="005E4DD9">
        <w:rPr>
          <w:rFonts w:cs="Arial"/>
          <w:szCs w:val="20"/>
        </w:rPr>
        <w:t xml:space="preserve">simulated gambling and </w:t>
      </w:r>
      <w:r w:rsidR="00A66FF9">
        <w:rPr>
          <w:rFonts w:cs="Arial"/>
          <w:szCs w:val="20"/>
        </w:rPr>
        <w:t>other in-game</w:t>
      </w:r>
      <w:r w:rsidR="005E4DD9">
        <w:rPr>
          <w:rFonts w:cs="Arial"/>
          <w:szCs w:val="20"/>
        </w:rPr>
        <w:t xml:space="preserve"> purchasing are all associated with gambling problems</w:t>
      </w:r>
      <w:r w:rsidR="00352711">
        <w:rPr>
          <w:rFonts w:cs="Arial"/>
          <w:szCs w:val="20"/>
        </w:rPr>
        <w:t xml:space="preserve">, with growing evidence of an association with internet gaming disorder and </w:t>
      </w:r>
      <w:r w:rsidR="00661942">
        <w:rPr>
          <w:rFonts w:cs="Arial"/>
          <w:szCs w:val="20"/>
        </w:rPr>
        <w:t>financial</w:t>
      </w:r>
      <w:r w:rsidR="00352711">
        <w:rPr>
          <w:rFonts w:cs="Arial"/>
          <w:szCs w:val="20"/>
        </w:rPr>
        <w:t xml:space="preserve"> harm.</w:t>
      </w:r>
    </w:p>
    <w:p w14:paraId="09849932" w14:textId="394BB6D3" w:rsidR="00BF1C09" w:rsidRDefault="00BC3468" w:rsidP="00897FF2">
      <w:pPr>
        <w:pStyle w:val="BodyText"/>
        <w:rPr>
          <w:rFonts w:cs="Arial"/>
          <w:szCs w:val="20"/>
        </w:rPr>
      </w:pPr>
      <w:r>
        <w:rPr>
          <w:rFonts w:cs="Arial"/>
          <w:szCs w:val="20"/>
        </w:rPr>
        <w:t xml:space="preserve">The review also identified gaps and limitations in the existing evidence. </w:t>
      </w:r>
      <w:r w:rsidR="004C26E9">
        <w:rPr>
          <w:rFonts w:cs="Arial"/>
          <w:szCs w:val="20"/>
        </w:rPr>
        <w:t>For example,</w:t>
      </w:r>
      <w:r w:rsidR="00FB1EA4">
        <w:rPr>
          <w:rFonts w:cs="Arial"/>
          <w:szCs w:val="20"/>
        </w:rPr>
        <w:t xml:space="preserve"> an</w:t>
      </w:r>
      <w:r w:rsidR="00986E0B">
        <w:rPr>
          <w:rFonts w:cs="Arial"/>
          <w:szCs w:val="20"/>
        </w:rPr>
        <w:t xml:space="preserve"> </w:t>
      </w:r>
      <w:r w:rsidR="00D30E4A">
        <w:rPr>
          <w:rFonts w:cs="Arial"/>
          <w:szCs w:val="20"/>
        </w:rPr>
        <w:t>improve</w:t>
      </w:r>
      <w:r w:rsidR="00FB1EA4">
        <w:rPr>
          <w:rFonts w:cs="Arial"/>
          <w:szCs w:val="20"/>
        </w:rPr>
        <w:t>d</w:t>
      </w:r>
      <w:r w:rsidR="00D30E4A">
        <w:rPr>
          <w:rFonts w:cs="Arial"/>
          <w:szCs w:val="20"/>
        </w:rPr>
        <w:t xml:space="preserve"> understanding of the </w:t>
      </w:r>
      <w:r w:rsidR="00D30E4A" w:rsidRPr="00D30E4A">
        <w:rPr>
          <w:rFonts w:cs="Arial"/>
          <w:szCs w:val="20"/>
        </w:rPr>
        <w:t>direction of the relationships observed in this review</w:t>
      </w:r>
      <w:r w:rsidR="00FB1EA4">
        <w:rPr>
          <w:rFonts w:cs="Arial"/>
          <w:szCs w:val="20"/>
        </w:rPr>
        <w:t xml:space="preserve"> is required</w:t>
      </w:r>
      <w:r w:rsidR="00D30E4A" w:rsidRPr="00D30E4A">
        <w:rPr>
          <w:rFonts w:cs="Arial"/>
          <w:szCs w:val="20"/>
        </w:rPr>
        <w:t xml:space="preserve">. Specifically, do loot boxes, simulated gambling and gambling-like products </w:t>
      </w:r>
      <w:r w:rsidR="00D30E4A" w:rsidRPr="00D30E4A">
        <w:rPr>
          <w:rFonts w:cs="Arial"/>
          <w:i/>
          <w:iCs/>
          <w:szCs w:val="20"/>
        </w:rPr>
        <w:t>cause</w:t>
      </w:r>
      <w:r w:rsidR="00D30E4A" w:rsidRPr="00D30E4A">
        <w:rPr>
          <w:rFonts w:cs="Arial"/>
          <w:szCs w:val="20"/>
        </w:rPr>
        <w:t xml:space="preserve"> gambling and gaming harm, or does the experience of harm predispose individuals to increase engagement with these products? </w:t>
      </w:r>
      <w:r w:rsidR="00160B95">
        <w:rPr>
          <w:rFonts w:cs="Arial"/>
          <w:szCs w:val="20"/>
        </w:rPr>
        <w:t>F</w:t>
      </w:r>
      <w:r w:rsidR="00293F24">
        <w:rPr>
          <w:rFonts w:cs="Arial"/>
          <w:szCs w:val="20"/>
        </w:rPr>
        <w:t xml:space="preserve">urther research should </w:t>
      </w:r>
      <w:r w:rsidR="00160B95">
        <w:rPr>
          <w:rFonts w:cs="Arial"/>
          <w:szCs w:val="20"/>
        </w:rPr>
        <w:t xml:space="preserve">also </w:t>
      </w:r>
      <w:r w:rsidR="00293F24">
        <w:rPr>
          <w:rFonts w:cs="Arial"/>
          <w:szCs w:val="20"/>
        </w:rPr>
        <w:t xml:space="preserve">explore </w:t>
      </w:r>
      <w:r w:rsidR="00E26335">
        <w:rPr>
          <w:rFonts w:cs="Arial"/>
          <w:szCs w:val="20"/>
        </w:rPr>
        <w:t>the harms associated with these products among children</w:t>
      </w:r>
      <w:r w:rsidR="00202269">
        <w:rPr>
          <w:rFonts w:cs="Arial"/>
          <w:szCs w:val="20"/>
        </w:rPr>
        <w:t xml:space="preserve">, </w:t>
      </w:r>
      <w:r w:rsidR="00A32E56">
        <w:rPr>
          <w:rFonts w:cs="Arial"/>
          <w:szCs w:val="20"/>
        </w:rPr>
        <w:t>young people</w:t>
      </w:r>
      <w:r w:rsidR="00255DB4">
        <w:rPr>
          <w:rFonts w:cs="Arial"/>
          <w:szCs w:val="20"/>
        </w:rPr>
        <w:t xml:space="preserve"> and </w:t>
      </w:r>
      <w:r w:rsidR="00202269">
        <w:rPr>
          <w:rFonts w:cs="Arial"/>
          <w:szCs w:val="20"/>
        </w:rPr>
        <w:t>other</w:t>
      </w:r>
      <w:r w:rsidR="00AB418C">
        <w:rPr>
          <w:rFonts w:cs="Arial"/>
          <w:szCs w:val="20"/>
        </w:rPr>
        <w:t xml:space="preserve"> potentially</w:t>
      </w:r>
      <w:r w:rsidR="00202269">
        <w:rPr>
          <w:rFonts w:cs="Arial"/>
          <w:szCs w:val="20"/>
        </w:rPr>
        <w:t xml:space="preserve"> </w:t>
      </w:r>
      <w:r w:rsidR="002E5000">
        <w:rPr>
          <w:rFonts w:cs="Arial"/>
          <w:szCs w:val="20"/>
        </w:rPr>
        <w:t>at-ris</w:t>
      </w:r>
      <w:r w:rsidR="0015098D">
        <w:rPr>
          <w:rFonts w:cs="Arial"/>
          <w:szCs w:val="20"/>
        </w:rPr>
        <w:t>k groups</w:t>
      </w:r>
      <w:r w:rsidR="005D1071">
        <w:rPr>
          <w:rFonts w:cs="Arial"/>
          <w:szCs w:val="20"/>
        </w:rPr>
        <w:t xml:space="preserve">, </w:t>
      </w:r>
      <w:r w:rsidR="009E117F">
        <w:rPr>
          <w:rFonts w:cs="Arial"/>
          <w:szCs w:val="20"/>
        </w:rPr>
        <w:t xml:space="preserve">the impact of </w:t>
      </w:r>
      <w:r w:rsidR="000972EE">
        <w:rPr>
          <w:rFonts w:cs="Arial"/>
          <w:szCs w:val="20"/>
        </w:rPr>
        <w:t xml:space="preserve">engagement with </w:t>
      </w:r>
      <w:r w:rsidR="009E117F">
        <w:rPr>
          <w:rFonts w:cs="Arial"/>
          <w:szCs w:val="20"/>
        </w:rPr>
        <w:t xml:space="preserve">these products </w:t>
      </w:r>
      <w:r w:rsidR="00D43E03">
        <w:rPr>
          <w:rFonts w:cs="Arial"/>
          <w:szCs w:val="20"/>
        </w:rPr>
        <w:t>over time</w:t>
      </w:r>
      <w:r w:rsidR="00172A1C">
        <w:rPr>
          <w:rFonts w:cs="Arial"/>
          <w:szCs w:val="20"/>
        </w:rPr>
        <w:t xml:space="preserve">, </w:t>
      </w:r>
      <w:r w:rsidR="00665FFA">
        <w:rPr>
          <w:rFonts w:cs="Arial"/>
          <w:szCs w:val="20"/>
        </w:rPr>
        <w:t xml:space="preserve">and </w:t>
      </w:r>
      <w:r w:rsidR="00C412B5">
        <w:rPr>
          <w:rFonts w:cs="Arial"/>
          <w:szCs w:val="20"/>
        </w:rPr>
        <w:t xml:space="preserve">the influence of other factors </w:t>
      </w:r>
      <w:r w:rsidR="000972EE">
        <w:rPr>
          <w:rFonts w:cs="Arial"/>
          <w:szCs w:val="20"/>
        </w:rPr>
        <w:t xml:space="preserve">such as </w:t>
      </w:r>
      <w:r w:rsidR="007D70C9">
        <w:rPr>
          <w:rFonts w:cs="Arial"/>
          <w:szCs w:val="20"/>
        </w:rPr>
        <w:t xml:space="preserve">player characteristics, </w:t>
      </w:r>
      <w:r w:rsidR="00444B7A">
        <w:rPr>
          <w:rFonts w:cs="Arial"/>
          <w:szCs w:val="20"/>
        </w:rPr>
        <w:t xml:space="preserve">social factors, product features and monetary gambling </w:t>
      </w:r>
      <w:r w:rsidR="009E66C4">
        <w:rPr>
          <w:rFonts w:cs="Arial"/>
          <w:szCs w:val="20"/>
        </w:rPr>
        <w:t xml:space="preserve">on </w:t>
      </w:r>
      <w:r w:rsidR="00C412B5">
        <w:rPr>
          <w:rFonts w:cs="Arial"/>
          <w:szCs w:val="20"/>
        </w:rPr>
        <w:t xml:space="preserve">the relationship between these products and harm. </w:t>
      </w:r>
      <w:r w:rsidR="004067A6">
        <w:rPr>
          <w:rFonts w:cs="Arial"/>
          <w:szCs w:val="20"/>
        </w:rPr>
        <w:t>In gathering this evidence, we recommend</w:t>
      </w:r>
      <w:r w:rsidR="00342EB0">
        <w:rPr>
          <w:rFonts w:cs="Arial"/>
          <w:szCs w:val="20"/>
        </w:rPr>
        <w:t xml:space="preserve"> that</w:t>
      </w:r>
      <w:r w:rsidR="003C7BFF">
        <w:rPr>
          <w:rFonts w:cs="Arial"/>
          <w:szCs w:val="20"/>
        </w:rPr>
        <w:t xml:space="preserve"> </w:t>
      </w:r>
      <w:r w:rsidR="00342EB0">
        <w:rPr>
          <w:rFonts w:cs="Arial"/>
          <w:szCs w:val="20"/>
        </w:rPr>
        <w:t>where possible</w:t>
      </w:r>
      <w:r w:rsidR="00C141A8">
        <w:rPr>
          <w:rFonts w:cs="Arial"/>
          <w:szCs w:val="20"/>
        </w:rPr>
        <w:t>,</w:t>
      </w:r>
      <w:r w:rsidR="00342EB0">
        <w:rPr>
          <w:rFonts w:cs="Arial"/>
          <w:szCs w:val="20"/>
        </w:rPr>
        <w:t xml:space="preserve"> </w:t>
      </w:r>
      <w:r w:rsidR="008B5C60">
        <w:rPr>
          <w:rFonts w:cs="Arial"/>
          <w:szCs w:val="20"/>
        </w:rPr>
        <w:t xml:space="preserve">the definition and measurement of these products and harms </w:t>
      </w:r>
      <w:r w:rsidR="00342EB0">
        <w:rPr>
          <w:rFonts w:cs="Arial"/>
          <w:szCs w:val="20"/>
        </w:rPr>
        <w:t>remain consistent.</w:t>
      </w:r>
    </w:p>
    <w:p w14:paraId="3EF5BA34" w14:textId="7AECBEF3" w:rsidR="00ED3410" w:rsidRPr="00924AEC" w:rsidRDefault="00BF294A" w:rsidP="00897FF2">
      <w:pPr>
        <w:pStyle w:val="BodyText"/>
        <w:rPr>
          <w:rFonts w:cs="Arial"/>
          <w:szCs w:val="20"/>
        </w:rPr>
      </w:pPr>
      <w:r>
        <w:rPr>
          <w:rFonts w:cs="Arial"/>
          <w:szCs w:val="20"/>
        </w:rPr>
        <w:lastRenderedPageBreak/>
        <w:t>Finally</w:t>
      </w:r>
      <w:r w:rsidR="006A3DE2">
        <w:rPr>
          <w:rFonts w:cs="Arial"/>
          <w:szCs w:val="20"/>
        </w:rPr>
        <w:t xml:space="preserve">, this review highlighted several </w:t>
      </w:r>
      <w:r w:rsidR="005E6C41">
        <w:rPr>
          <w:rFonts w:cs="Arial"/>
          <w:szCs w:val="20"/>
        </w:rPr>
        <w:t>suggestion</w:t>
      </w:r>
      <w:r w:rsidR="001C4E9A">
        <w:rPr>
          <w:rFonts w:cs="Arial"/>
          <w:szCs w:val="20"/>
        </w:rPr>
        <w:t>s</w:t>
      </w:r>
      <w:r w:rsidR="005E6C41">
        <w:rPr>
          <w:rFonts w:cs="Arial"/>
          <w:szCs w:val="20"/>
        </w:rPr>
        <w:t xml:space="preserve"> </w:t>
      </w:r>
      <w:r w:rsidR="001C4E9A">
        <w:rPr>
          <w:rFonts w:cs="Arial"/>
          <w:szCs w:val="20"/>
        </w:rPr>
        <w:t>for harm</w:t>
      </w:r>
      <w:r w:rsidR="005E6C41">
        <w:rPr>
          <w:rFonts w:cs="Arial"/>
          <w:szCs w:val="20"/>
        </w:rPr>
        <w:t xml:space="preserve"> </w:t>
      </w:r>
      <w:r w:rsidR="00A2342D">
        <w:rPr>
          <w:rFonts w:cs="Arial"/>
          <w:szCs w:val="20"/>
        </w:rPr>
        <w:t xml:space="preserve">mitigation and </w:t>
      </w:r>
      <w:r w:rsidR="00D30C28">
        <w:rPr>
          <w:rFonts w:cs="Arial"/>
          <w:szCs w:val="20"/>
        </w:rPr>
        <w:t xml:space="preserve">regulation </w:t>
      </w:r>
      <w:r w:rsidR="00845CA1">
        <w:rPr>
          <w:rFonts w:cs="Arial"/>
          <w:szCs w:val="20"/>
        </w:rPr>
        <w:t>regarding</w:t>
      </w:r>
      <w:r w:rsidR="00D30C28">
        <w:rPr>
          <w:rFonts w:cs="Arial"/>
          <w:szCs w:val="20"/>
        </w:rPr>
        <w:t xml:space="preserve"> loot boxes</w:t>
      </w:r>
      <w:r w:rsidR="00E46732">
        <w:rPr>
          <w:rFonts w:cs="Arial"/>
          <w:szCs w:val="20"/>
        </w:rPr>
        <w:t xml:space="preserve">, simulated gambling and </w:t>
      </w:r>
      <w:r w:rsidR="00A66FF9">
        <w:rPr>
          <w:rFonts w:cs="Arial"/>
          <w:szCs w:val="20"/>
        </w:rPr>
        <w:t>other in-game</w:t>
      </w:r>
      <w:r w:rsidR="00E46732">
        <w:rPr>
          <w:rFonts w:cs="Arial"/>
          <w:szCs w:val="20"/>
        </w:rPr>
        <w:t xml:space="preserve"> purchasing </w:t>
      </w:r>
      <w:r w:rsidR="006163C5">
        <w:rPr>
          <w:rFonts w:cs="Arial"/>
          <w:szCs w:val="20"/>
        </w:rPr>
        <w:t xml:space="preserve">that </w:t>
      </w:r>
      <w:r w:rsidR="00796D8B">
        <w:rPr>
          <w:rFonts w:cs="Arial"/>
          <w:szCs w:val="20"/>
        </w:rPr>
        <w:t>policy makers,</w:t>
      </w:r>
      <w:r w:rsidR="00D7546C">
        <w:rPr>
          <w:rFonts w:cs="Arial"/>
          <w:szCs w:val="20"/>
        </w:rPr>
        <w:t xml:space="preserve"> </w:t>
      </w:r>
      <w:r w:rsidR="00796D8B">
        <w:rPr>
          <w:rFonts w:cs="Arial"/>
          <w:szCs w:val="20"/>
        </w:rPr>
        <w:t xml:space="preserve">practitioners, </w:t>
      </w:r>
      <w:r w:rsidR="00413B40">
        <w:rPr>
          <w:rFonts w:cs="Arial"/>
          <w:szCs w:val="20"/>
        </w:rPr>
        <w:t xml:space="preserve">researchers, </w:t>
      </w:r>
      <w:r w:rsidR="005668A1">
        <w:rPr>
          <w:rFonts w:cs="Arial"/>
          <w:szCs w:val="20"/>
        </w:rPr>
        <w:t>consumers</w:t>
      </w:r>
      <w:r w:rsidR="00966660">
        <w:rPr>
          <w:rFonts w:cs="Arial"/>
          <w:szCs w:val="20"/>
        </w:rPr>
        <w:t xml:space="preserve">, industry, </w:t>
      </w:r>
      <w:r w:rsidR="005668A1">
        <w:rPr>
          <w:rFonts w:cs="Arial"/>
          <w:szCs w:val="20"/>
        </w:rPr>
        <w:t>and other key stakeholders may fin</w:t>
      </w:r>
      <w:r w:rsidR="00AB0E90">
        <w:rPr>
          <w:rFonts w:cs="Arial"/>
          <w:szCs w:val="20"/>
        </w:rPr>
        <w:t>d</w:t>
      </w:r>
      <w:r w:rsidR="005668A1">
        <w:rPr>
          <w:rFonts w:cs="Arial"/>
          <w:szCs w:val="20"/>
        </w:rPr>
        <w:t xml:space="preserve"> useful. </w:t>
      </w:r>
    </w:p>
    <w:p w14:paraId="73F528B7" w14:textId="77777777" w:rsidR="00777330" w:rsidRPr="006E41C6" w:rsidRDefault="00777330" w:rsidP="006E41C6">
      <w:pPr>
        <w:pStyle w:val="BodyText"/>
      </w:pPr>
      <w:r w:rsidRPr="006E41C6">
        <w:br w:type="page"/>
      </w:r>
    </w:p>
    <w:p w14:paraId="1F27EDCB" w14:textId="41A17849" w:rsidR="00817B59" w:rsidRDefault="00BE40B6" w:rsidP="00BE40B6">
      <w:pPr>
        <w:pStyle w:val="Heading1"/>
      </w:pPr>
      <w:bookmarkStart w:id="70" w:name="_Toc97649968"/>
      <w:bookmarkStart w:id="71" w:name="_Toc106359530"/>
      <w:r>
        <w:lastRenderedPageBreak/>
        <w:t>References</w:t>
      </w:r>
      <w:bookmarkEnd w:id="70"/>
      <w:bookmarkEnd w:id="71"/>
    </w:p>
    <w:p w14:paraId="59DA3B38" w14:textId="77777777" w:rsidR="00402C3E" w:rsidRPr="0063253C" w:rsidRDefault="00402C3E" w:rsidP="00402C3E">
      <w:pPr>
        <w:pStyle w:val="References"/>
        <w:spacing w:before="0" w:line="280" w:lineRule="exact"/>
        <w:rPr>
          <w:sz w:val="20"/>
          <w:szCs w:val="20"/>
        </w:rPr>
      </w:pPr>
      <w:r w:rsidRPr="0063253C">
        <w:rPr>
          <w:rFonts w:cs="Arial"/>
          <w:sz w:val="20"/>
          <w:szCs w:val="20"/>
        </w:rPr>
        <w:t xml:space="preserve">Armstrong, T., </w:t>
      </w:r>
      <w:proofErr w:type="spellStart"/>
      <w:r w:rsidRPr="0063253C">
        <w:rPr>
          <w:rFonts w:cs="Arial"/>
          <w:sz w:val="20"/>
          <w:szCs w:val="20"/>
        </w:rPr>
        <w:t>Rockloff</w:t>
      </w:r>
      <w:proofErr w:type="spellEnd"/>
      <w:r w:rsidRPr="0063253C">
        <w:rPr>
          <w:rFonts w:cs="Arial"/>
          <w:sz w:val="20"/>
          <w:szCs w:val="20"/>
        </w:rPr>
        <w:t xml:space="preserve">, M., Browne, M., &amp; Li, E. (2018). An </w:t>
      </w:r>
      <w:r w:rsidR="000D7B16" w:rsidRPr="0063253C">
        <w:rPr>
          <w:rFonts w:cs="Arial"/>
          <w:sz w:val="20"/>
          <w:szCs w:val="20"/>
        </w:rPr>
        <w:t>exploration of how simulated gambling games may promote gambling with money</w:t>
      </w:r>
      <w:r w:rsidRPr="0063253C">
        <w:rPr>
          <w:rFonts w:cs="Arial"/>
          <w:sz w:val="20"/>
          <w:szCs w:val="20"/>
        </w:rPr>
        <w:t xml:space="preserve">. </w:t>
      </w:r>
      <w:r w:rsidRPr="0063253C">
        <w:rPr>
          <w:rFonts w:cs="Arial"/>
          <w:i/>
          <w:iCs/>
          <w:sz w:val="20"/>
          <w:szCs w:val="20"/>
        </w:rPr>
        <w:t>Journal of Gambling Studies</w:t>
      </w:r>
      <w:r w:rsidRPr="0063253C">
        <w:rPr>
          <w:rFonts w:cs="Arial"/>
          <w:sz w:val="20"/>
          <w:szCs w:val="20"/>
        </w:rPr>
        <w:t xml:space="preserve">. </w:t>
      </w:r>
      <w:hyperlink r:id="rId19" w:history="1">
        <w:r w:rsidRPr="0063253C">
          <w:rPr>
            <w:rStyle w:val="Hyperlink"/>
            <w:sz w:val="20"/>
            <w:szCs w:val="20"/>
          </w:rPr>
          <w:t>doi.org/10.1007/s10899-018-9742-6</w:t>
        </w:r>
      </w:hyperlink>
    </w:p>
    <w:p w14:paraId="13B8CD04" w14:textId="77777777" w:rsidR="000B1B5F" w:rsidRDefault="000B1B5F" w:rsidP="000B1B5F">
      <w:pPr>
        <w:pStyle w:val="References"/>
        <w:spacing w:before="0" w:line="280" w:lineRule="exact"/>
        <w:rPr>
          <w:sz w:val="20"/>
          <w:szCs w:val="20"/>
        </w:rPr>
      </w:pPr>
      <w:r w:rsidRPr="00930E15">
        <w:rPr>
          <w:sz w:val="20"/>
          <w:szCs w:val="20"/>
        </w:rPr>
        <w:t xml:space="preserve">Australian Institute of Health and Welfare (2021) </w:t>
      </w:r>
      <w:r w:rsidRPr="00930E15">
        <w:rPr>
          <w:i/>
          <w:iCs/>
          <w:sz w:val="20"/>
          <w:szCs w:val="20"/>
        </w:rPr>
        <w:t>Gambling in Australia</w:t>
      </w:r>
      <w:r w:rsidRPr="00930E15">
        <w:rPr>
          <w:sz w:val="20"/>
          <w:szCs w:val="20"/>
        </w:rPr>
        <w:t>, AIHW</w:t>
      </w:r>
      <w:r>
        <w:rPr>
          <w:sz w:val="20"/>
          <w:szCs w:val="20"/>
        </w:rPr>
        <w:t>.</w:t>
      </w:r>
      <w:r w:rsidRPr="00930E15">
        <w:rPr>
          <w:sz w:val="20"/>
          <w:szCs w:val="20"/>
        </w:rPr>
        <w:t xml:space="preserve"> Melbourne: Australian Gambling Research Centre, Australian Institute of Family Studies.</w:t>
      </w:r>
      <w:r>
        <w:rPr>
          <w:sz w:val="20"/>
          <w:szCs w:val="20"/>
        </w:rPr>
        <w:t xml:space="preserve"> </w:t>
      </w:r>
      <w:r w:rsidRPr="00930E15">
        <w:rPr>
          <w:sz w:val="20"/>
          <w:szCs w:val="20"/>
        </w:rPr>
        <w:t xml:space="preserve">Retrieved from </w:t>
      </w:r>
      <w:hyperlink r:id="rId20" w:history="1">
        <w:r w:rsidRPr="005F02C6">
          <w:rPr>
            <w:rStyle w:val="Hyperlink"/>
            <w:sz w:val="20"/>
            <w:szCs w:val="20"/>
          </w:rPr>
          <w:t>https://www.aihw.gov.au/reports/australias-welfare/gambling</w:t>
        </w:r>
      </w:hyperlink>
    </w:p>
    <w:p w14:paraId="241EAF35" w14:textId="77777777" w:rsidR="00022C37" w:rsidRDefault="00296447" w:rsidP="001B539F">
      <w:pPr>
        <w:spacing w:before="0"/>
        <w:ind w:left="284" w:hanging="284"/>
        <w:jc w:val="left"/>
      </w:pPr>
      <w:r>
        <w:t xml:space="preserve">Brady, A., &amp; Prentice, G. (2019). Are loot boxes addictive? </w:t>
      </w:r>
      <w:proofErr w:type="spellStart"/>
      <w:r>
        <w:t>Analyzing</w:t>
      </w:r>
      <w:proofErr w:type="spellEnd"/>
      <w:r>
        <w:t xml:space="preserve"> participant’s physiological arousal while opening a loot box. </w:t>
      </w:r>
      <w:r>
        <w:rPr>
          <w:i/>
        </w:rPr>
        <w:t>Games and Culture</w:t>
      </w:r>
      <w:r>
        <w:t xml:space="preserve">, 155541201989535. </w:t>
      </w:r>
      <w:hyperlink r:id="rId21" w:history="1">
        <w:r w:rsidR="00022C37" w:rsidRPr="008270B9">
          <w:rPr>
            <w:rStyle w:val="Hyperlink"/>
          </w:rPr>
          <w:t>doi.org/10.1177/1555412019895359</w:t>
        </w:r>
      </w:hyperlink>
    </w:p>
    <w:p w14:paraId="39A676DA" w14:textId="77777777" w:rsidR="003170DB" w:rsidRPr="0020367F" w:rsidRDefault="003170DB" w:rsidP="003170DB">
      <w:pPr>
        <w:pStyle w:val="References"/>
        <w:spacing w:before="0" w:line="280" w:lineRule="exact"/>
        <w:rPr>
          <w:rFonts w:cs="Arial"/>
          <w:sz w:val="20"/>
          <w:szCs w:val="20"/>
        </w:rPr>
      </w:pPr>
      <w:r w:rsidRPr="0020367F">
        <w:rPr>
          <w:rFonts w:cs="Arial"/>
          <w:sz w:val="20"/>
          <w:szCs w:val="20"/>
        </w:rPr>
        <w:t xml:space="preserve">Brand, J. E., Jervis, J., Huggins, P. M., &amp; Wilson, T. W. (2019). </w:t>
      </w:r>
      <w:r w:rsidRPr="0020367F">
        <w:rPr>
          <w:rFonts w:cs="Arial"/>
          <w:i/>
          <w:sz w:val="20"/>
          <w:szCs w:val="20"/>
        </w:rPr>
        <w:t>Digital Australia 2020</w:t>
      </w:r>
      <w:r w:rsidRPr="0020367F">
        <w:rPr>
          <w:rFonts w:cs="Arial"/>
          <w:sz w:val="20"/>
          <w:szCs w:val="20"/>
        </w:rPr>
        <w:t xml:space="preserve">. Eveleigh, NSW: IGEA. </w:t>
      </w:r>
      <w:hyperlink r:id="rId22" w:history="1">
        <w:r w:rsidRPr="0020367F">
          <w:rPr>
            <w:rStyle w:val="Hyperlink"/>
            <w:rFonts w:cs="Arial"/>
            <w:sz w:val="20"/>
            <w:szCs w:val="20"/>
          </w:rPr>
          <w:t>Retrieved from igea.net/wp-content/uploads/2019/08/DA20-Report-FINAL-Aug19.pdf</w:t>
        </w:r>
      </w:hyperlink>
    </w:p>
    <w:p w14:paraId="48345241" w14:textId="2F6133C7" w:rsidR="00022C37" w:rsidRDefault="00296447" w:rsidP="001B539F">
      <w:pPr>
        <w:spacing w:before="0"/>
        <w:ind w:left="284" w:hanging="284"/>
        <w:jc w:val="left"/>
      </w:pPr>
      <w:r>
        <w:t xml:space="preserve">Brooks, G. A., &amp; Clark, L. (2019). Associations between loot box use, problematic gaming and gambling, and gambling-related cognitions. </w:t>
      </w:r>
      <w:r>
        <w:rPr>
          <w:i/>
        </w:rPr>
        <w:t xml:space="preserve">Addictive </w:t>
      </w:r>
      <w:proofErr w:type="spellStart"/>
      <w:r>
        <w:rPr>
          <w:i/>
        </w:rPr>
        <w:t>Behaviors</w:t>
      </w:r>
      <w:proofErr w:type="spellEnd"/>
      <w:r>
        <w:t xml:space="preserve">, </w:t>
      </w:r>
      <w:r>
        <w:rPr>
          <w:i/>
        </w:rPr>
        <w:t>96</w:t>
      </w:r>
      <w:r>
        <w:t xml:space="preserve">, 26–34. </w:t>
      </w:r>
      <w:hyperlink r:id="rId23" w:history="1">
        <w:r w:rsidR="00022C37" w:rsidRPr="008270B9">
          <w:rPr>
            <w:rStyle w:val="Hyperlink"/>
          </w:rPr>
          <w:t>doi.org/10.1016/j.addbeh.2019.04.009</w:t>
        </w:r>
      </w:hyperlink>
    </w:p>
    <w:p w14:paraId="1A4464D4" w14:textId="77777777" w:rsidR="00022C37" w:rsidRDefault="00296447" w:rsidP="001B539F">
      <w:pPr>
        <w:spacing w:before="0"/>
        <w:ind w:left="284" w:hanging="284"/>
        <w:jc w:val="left"/>
      </w:pPr>
      <w:proofErr w:type="spellStart"/>
      <w:r>
        <w:t>Brosowski</w:t>
      </w:r>
      <w:proofErr w:type="spellEnd"/>
      <w:r>
        <w:t xml:space="preserve">, T., </w:t>
      </w:r>
      <w:proofErr w:type="spellStart"/>
      <w:r>
        <w:t>Turowski</w:t>
      </w:r>
      <w:proofErr w:type="spellEnd"/>
      <w:r>
        <w:t xml:space="preserve">, T., &amp; </w:t>
      </w:r>
      <w:proofErr w:type="spellStart"/>
      <w:r>
        <w:t>Hayer</w:t>
      </w:r>
      <w:proofErr w:type="spellEnd"/>
      <w:r>
        <w:t xml:space="preserve">, T. (2020). Simulated gambling consumption mediation model (SGCMM): </w:t>
      </w:r>
      <w:r w:rsidR="000D7B16">
        <w:t xml:space="preserve">Disentangling </w:t>
      </w:r>
      <w:r>
        <w:t xml:space="preserve">convergence with parallel mediation models. </w:t>
      </w:r>
      <w:r>
        <w:rPr>
          <w:i/>
        </w:rPr>
        <w:t>International Gambling Studies</w:t>
      </w:r>
      <w:r>
        <w:t xml:space="preserve">, 1–21. </w:t>
      </w:r>
      <w:hyperlink r:id="rId24" w:history="1">
        <w:r w:rsidR="00022C37" w:rsidRPr="008270B9">
          <w:rPr>
            <w:rStyle w:val="Hyperlink"/>
          </w:rPr>
          <w:t>doi.org/10.1080/14459795.2020.1799426</w:t>
        </w:r>
      </w:hyperlink>
    </w:p>
    <w:p w14:paraId="5F4F62C6" w14:textId="77777777" w:rsidR="00750A69" w:rsidRPr="0020367F" w:rsidRDefault="00750A69" w:rsidP="00750A69">
      <w:pPr>
        <w:pStyle w:val="References"/>
        <w:spacing w:before="0" w:line="280" w:lineRule="exact"/>
        <w:rPr>
          <w:rFonts w:cs="Arial"/>
          <w:sz w:val="20"/>
          <w:szCs w:val="20"/>
        </w:rPr>
      </w:pPr>
      <w:r w:rsidRPr="0020367F">
        <w:rPr>
          <w:rFonts w:cs="Arial"/>
          <w:sz w:val="20"/>
          <w:szCs w:val="20"/>
        </w:rPr>
        <w:t xml:space="preserve">Browne, M., Goodwin, B. C., &amp; </w:t>
      </w:r>
      <w:proofErr w:type="spellStart"/>
      <w:r w:rsidRPr="0020367F">
        <w:rPr>
          <w:rFonts w:cs="Arial"/>
          <w:sz w:val="20"/>
          <w:szCs w:val="20"/>
        </w:rPr>
        <w:t>Rockloff</w:t>
      </w:r>
      <w:proofErr w:type="spellEnd"/>
      <w:r w:rsidRPr="0020367F">
        <w:rPr>
          <w:rFonts w:cs="Arial"/>
          <w:sz w:val="20"/>
          <w:szCs w:val="20"/>
        </w:rPr>
        <w:t xml:space="preserve">, M. J. (2017). Validation of the Short Gambling Harm Screen (SGHS): A tool for assessment of harms from gambling. </w:t>
      </w:r>
      <w:r w:rsidRPr="0020367F">
        <w:rPr>
          <w:rFonts w:cs="Arial"/>
          <w:i/>
          <w:sz w:val="20"/>
          <w:szCs w:val="20"/>
        </w:rPr>
        <w:t>Journal of Gambling Studies</w:t>
      </w:r>
      <w:r w:rsidRPr="0020367F">
        <w:rPr>
          <w:rFonts w:cs="Arial"/>
          <w:sz w:val="20"/>
          <w:szCs w:val="20"/>
        </w:rPr>
        <w:t xml:space="preserve">. </w:t>
      </w:r>
      <w:hyperlink r:id="rId25" w:history="1">
        <w:r w:rsidRPr="0020367F">
          <w:rPr>
            <w:rStyle w:val="Hyperlink"/>
            <w:rFonts w:cs="Arial"/>
            <w:sz w:val="20"/>
            <w:szCs w:val="20"/>
          </w:rPr>
          <w:t>doi.org/10.1007/s10899-017-9698-y</w:t>
        </w:r>
      </w:hyperlink>
    </w:p>
    <w:p w14:paraId="038D1FEC" w14:textId="77777777" w:rsidR="00750A69" w:rsidRPr="0020367F" w:rsidRDefault="00750A69" w:rsidP="00750A69">
      <w:pPr>
        <w:pStyle w:val="References"/>
        <w:spacing w:before="0" w:line="280" w:lineRule="exact"/>
        <w:rPr>
          <w:rFonts w:cs="Arial"/>
          <w:sz w:val="20"/>
          <w:szCs w:val="20"/>
        </w:rPr>
      </w:pPr>
      <w:r w:rsidRPr="0020367F">
        <w:rPr>
          <w:rFonts w:cs="Arial"/>
          <w:sz w:val="20"/>
          <w:szCs w:val="20"/>
        </w:rPr>
        <w:t xml:space="preserve">Browne, M., Langham, E., Rawat, V., Greer, N., Li, E., Rose, J. et al. (2016). </w:t>
      </w:r>
      <w:r w:rsidRPr="0020367F">
        <w:rPr>
          <w:rFonts w:cs="Arial"/>
          <w:i/>
          <w:sz w:val="20"/>
          <w:szCs w:val="20"/>
        </w:rPr>
        <w:t>Assessing gambling-related harm in Victoria: A public health perspective</w:t>
      </w:r>
      <w:r w:rsidRPr="0020367F">
        <w:rPr>
          <w:rFonts w:cs="Arial"/>
          <w:sz w:val="20"/>
          <w:szCs w:val="20"/>
        </w:rPr>
        <w:t xml:space="preserve">. Melbourne: Victorian Responsible Gambling Foundation. </w:t>
      </w:r>
    </w:p>
    <w:p w14:paraId="4CDCCAFE" w14:textId="30A8E339" w:rsidR="00022C37" w:rsidRDefault="00296447" w:rsidP="001B539F">
      <w:pPr>
        <w:spacing w:before="0"/>
        <w:ind w:left="284" w:hanging="284"/>
        <w:jc w:val="left"/>
      </w:pPr>
      <w:r>
        <w:t xml:space="preserve">Carey, P. A. K., </w:t>
      </w:r>
      <w:proofErr w:type="spellStart"/>
      <w:r>
        <w:t>Delfabbro</w:t>
      </w:r>
      <w:proofErr w:type="spellEnd"/>
      <w:r>
        <w:t xml:space="preserve">, P., &amp; King, D. (2021). An </w:t>
      </w:r>
      <w:r w:rsidR="000D7B16">
        <w:t>evaluation of gaming-related harms in relation to gaming disorder and loot box involv</w:t>
      </w:r>
      <w:r>
        <w:t xml:space="preserve">ement. </w:t>
      </w:r>
      <w:r>
        <w:rPr>
          <w:i/>
        </w:rPr>
        <w:t>International Journal of Mental Health and Addiction</w:t>
      </w:r>
      <w:r>
        <w:t xml:space="preserve">. </w:t>
      </w:r>
      <w:hyperlink r:id="rId26" w:history="1">
        <w:r w:rsidR="00022C37" w:rsidRPr="008270B9">
          <w:rPr>
            <w:rStyle w:val="Hyperlink"/>
          </w:rPr>
          <w:t>doi.org/10.1007/s11469-021-00556-5</w:t>
        </w:r>
      </w:hyperlink>
    </w:p>
    <w:p w14:paraId="4D645208" w14:textId="77777777" w:rsidR="00022C37" w:rsidRDefault="00296447" w:rsidP="001B539F">
      <w:pPr>
        <w:spacing w:before="0"/>
        <w:ind w:left="284" w:hanging="284"/>
        <w:jc w:val="left"/>
      </w:pPr>
      <w:proofErr w:type="spellStart"/>
      <w:r>
        <w:t>Carran</w:t>
      </w:r>
      <w:proofErr w:type="spellEnd"/>
      <w:r>
        <w:t xml:space="preserve">, M., &amp; Griffiths, M. D. (2015). Gambling and social gambling: An exploratory study of young people’s perceptions and behaviour. </w:t>
      </w:r>
      <w:proofErr w:type="spellStart"/>
      <w:r>
        <w:rPr>
          <w:i/>
        </w:rPr>
        <w:t>Aloma</w:t>
      </w:r>
      <w:proofErr w:type="spellEnd"/>
      <w:r>
        <w:rPr>
          <w:i/>
        </w:rPr>
        <w:t xml:space="preserve">: </w:t>
      </w:r>
      <w:proofErr w:type="spellStart"/>
      <w:r w:rsidR="000D7B16">
        <w:rPr>
          <w:i/>
        </w:rPr>
        <w:t>R</w:t>
      </w:r>
      <w:r>
        <w:rPr>
          <w:i/>
        </w:rPr>
        <w:t>evista</w:t>
      </w:r>
      <w:proofErr w:type="spellEnd"/>
      <w:r>
        <w:rPr>
          <w:i/>
        </w:rPr>
        <w:t xml:space="preserve"> de </w:t>
      </w:r>
      <w:proofErr w:type="spellStart"/>
      <w:r w:rsidR="00F120C7">
        <w:rPr>
          <w:i/>
        </w:rPr>
        <w:t>Psicologia</w:t>
      </w:r>
      <w:proofErr w:type="spellEnd"/>
      <w:r w:rsidR="00F120C7">
        <w:rPr>
          <w:i/>
        </w:rPr>
        <w:t xml:space="preserve">, </w:t>
      </w:r>
      <w:proofErr w:type="spellStart"/>
      <w:r w:rsidR="00F120C7">
        <w:rPr>
          <w:i/>
        </w:rPr>
        <w:t>Ciències</w:t>
      </w:r>
      <w:proofErr w:type="spellEnd"/>
      <w:r w:rsidR="00F120C7">
        <w:rPr>
          <w:i/>
        </w:rPr>
        <w:t xml:space="preserve"> </w:t>
      </w:r>
      <w:r>
        <w:rPr>
          <w:i/>
        </w:rPr>
        <w:t xml:space="preserve">de </w:t>
      </w:r>
      <w:proofErr w:type="spellStart"/>
      <w:r w:rsidR="00F120C7">
        <w:rPr>
          <w:i/>
        </w:rPr>
        <w:t>L’edu</w:t>
      </w:r>
      <w:r>
        <w:rPr>
          <w:i/>
        </w:rPr>
        <w:t>cació</w:t>
      </w:r>
      <w:proofErr w:type="spellEnd"/>
      <w:r>
        <w:rPr>
          <w:i/>
        </w:rPr>
        <w:t xml:space="preserve"> </w:t>
      </w:r>
      <w:proofErr w:type="spellStart"/>
      <w:r>
        <w:rPr>
          <w:i/>
        </w:rPr>
        <w:t>i</w:t>
      </w:r>
      <w:proofErr w:type="spellEnd"/>
      <w:r>
        <w:rPr>
          <w:i/>
        </w:rPr>
        <w:t xml:space="preserve"> de </w:t>
      </w:r>
      <w:proofErr w:type="spellStart"/>
      <w:r w:rsidR="00F120C7">
        <w:rPr>
          <w:i/>
        </w:rPr>
        <w:t>L'esport</w:t>
      </w:r>
      <w:proofErr w:type="spellEnd"/>
      <w:r w:rsidR="00F120C7">
        <w:rPr>
          <w:i/>
        </w:rPr>
        <w:t xml:space="preserve"> </w:t>
      </w:r>
      <w:proofErr w:type="spellStart"/>
      <w:r>
        <w:rPr>
          <w:i/>
        </w:rPr>
        <w:t>Blanquerna</w:t>
      </w:r>
      <w:proofErr w:type="spellEnd"/>
      <w:r>
        <w:t xml:space="preserve">, </w:t>
      </w:r>
      <w:r>
        <w:rPr>
          <w:i/>
        </w:rPr>
        <w:t>33</w:t>
      </w:r>
      <w:r>
        <w:t xml:space="preserve">(1), 101–113. </w:t>
      </w:r>
      <w:r w:rsidR="00F120C7">
        <w:t xml:space="preserve">Retrieved from </w:t>
      </w:r>
      <w:hyperlink r:id="rId27" w:history="1">
        <w:r w:rsidR="00F120C7" w:rsidRPr="00F120C7">
          <w:rPr>
            <w:rStyle w:val="Hyperlink"/>
          </w:rPr>
          <w:t>www.raco.cat/index.php/Aloma/article/view/293258</w:t>
        </w:r>
      </w:hyperlink>
    </w:p>
    <w:p w14:paraId="6F42485E" w14:textId="77777777" w:rsidR="00EC3158" w:rsidRPr="0020367F" w:rsidRDefault="00EC3158" w:rsidP="00EC3158">
      <w:pPr>
        <w:spacing w:before="0" w:line="280" w:lineRule="exact"/>
        <w:ind w:left="284" w:hanging="284"/>
        <w:jc w:val="left"/>
        <w:rPr>
          <w:rFonts w:cs="Arial"/>
          <w:szCs w:val="20"/>
        </w:rPr>
      </w:pPr>
      <w:proofErr w:type="spellStart"/>
      <w:r w:rsidRPr="0020367F">
        <w:rPr>
          <w:rFonts w:cs="Arial"/>
          <w:szCs w:val="20"/>
        </w:rPr>
        <w:t>Castrén</w:t>
      </w:r>
      <w:proofErr w:type="spellEnd"/>
      <w:r w:rsidRPr="0020367F">
        <w:rPr>
          <w:rFonts w:cs="Arial"/>
          <w:szCs w:val="20"/>
        </w:rPr>
        <w:t xml:space="preserve">, S., </w:t>
      </w:r>
      <w:proofErr w:type="spellStart"/>
      <w:r w:rsidRPr="0020367F">
        <w:rPr>
          <w:rFonts w:cs="Arial"/>
          <w:szCs w:val="20"/>
        </w:rPr>
        <w:t>Järvinen-Tassopoulos</w:t>
      </w:r>
      <w:proofErr w:type="spellEnd"/>
      <w:r w:rsidRPr="0020367F">
        <w:rPr>
          <w:rFonts w:cs="Arial"/>
          <w:szCs w:val="20"/>
        </w:rPr>
        <w:t xml:space="preserve">, J., &amp; </w:t>
      </w:r>
      <w:proofErr w:type="spellStart"/>
      <w:r w:rsidRPr="0020367F">
        <w:rPr>
          <w:rFonts w:cs="Arial"/>
          <w:szCs w:val="20"/>
        </w:rPr>
        <w:t>Raitasalo</w:t>
      </w:r>
      <w:proofErr w:type="spellEnd"/>
      <w:r w:rsidRPr="0020367F">
        <w:rPr>
          <w:rFonts w:cs="Arial"/>
          <w:szCs w:val="20"/>
        </w:rPr>
        <w:t xml:space="preserve">, K. (2021). Money used in gaming is associated with problem gambling: Results of the ESPAD 2019 Finland. </w:t>
      </w:r>
      <w:r w:rsidRPr="0020367F">
        <w:rPr>
          <w:rFonts w:cs="Arial"/>
          <w:i/>
          <w:iCs/>
          <w:szCs w:val="20"/>
        </w:rPr>
        <w:t xml:space="preserve">Journal of </w:t>
      </w:r>
      <w:proofErr w:type="spellStart"/>
      <w:r w:rsidRPr="0020367F">
        <w:rPr>
          <w:rFonts w:cs="Arial"/>
          <w:i/>
          <w:iCs/>
          <w:szCs w:val="20"/>
        </w:rPr>
        <w:t>Behavioral</w:t>
      </w:r>
      <w:proofErr w:type="spellEnd"/>
      <w:r w:rsidRPr="0020367F">
        <w:rPr>
          <w:rFonts w:cs="Arial"/>
          <w:i/>
          <w:iCs/>
          <w:szCs w:val="20"/>
        </w:rPr>
        <w:t xml:space="preserve"> Addictions</w:t>
      </w:r>
      <w:r w:rsidRPr="0020367F">
        <w:rPr>
          <w:rFonts w:cs="Arial"/>
          <w:szCs w:val="20"/>
        </w:rPr>
        <w:t xml:space="preserve">. </w:t>
      </w:r>
      <w:hyperlink r:id="rId28" w:history="1">
        <w:r w:rsidRPr="0020367F">
          <w:rPr>
            <w:rStyle w:val="Hyperlink"/>
            <w:rFonts w:cs="Arial"/>
            <w:szCs w:val="20"/>
          </w:rPr>
          <w:t>doi.org/10.1556/2006.2021.00076</w:t>
        </w:r>
      </w:hyperlink>
    </w:p>
    <w:p w14:paraId="1CABDBFE" w14:textId="0B551616" w:rsidR="000A29AA" w:rsidRDefault="000A29AA" w:rsidP="001B539F">
      <w:pPr>
        <w:spacing w:before="0"/>
        <w:ind w:left="284" w:hanging="284"/>
        <w:jc w:val="left"/>
      </w:pPr>
      <w:proofErr w:type="spellStart"/>
      <w:r>
        <w:t>Cerulli</w:t>
      </w:r>
      <w:proofErr w:type="spellEnd"/>
      <w:r>
        <w:t xml:space="preserve">-Harms, </w:t>
      </w:r>
      <w:r w:rsidR="008D45ED">
        <w:t xml:space="preserve">A., </w:t>
      </w:r>
      <w:proofErr w:type="spellStart"/>
      <w:r w:rsidR="008D45ED">
        <w:t>Munsch</w:t>
      </w:r>
      <w:proofErr w:type="spellEnd"/>
      <w:r w:rsidR="008D45ED">
        <w:t xml:space="preserve">, M., </w:t>
      </w:r>
      <w:proofErr w:type="spellStart"/>
      <w:r w:rsidR="007C5C35">
        <w:t>Thorun</w:t>
      </w:r>
      <w:proofErr w:type="spellEnd"/>
      <w:r w:rsidR="007C5C35">
        <w:t xml:space="preserve">, C., </w:t>
      </w:r>
      <w:proofErr w:type="spellStart"/>
      <w:r w:rsidR="007C5C35">
        <w:t>Michaelsen</w:t>
      </w:r>
      <w:proofErr w:type="spellEnd"/>
      <w:r w:rsidR="007C5C35">
        <w:t xml:space="preserve">, F., </w:t>
      </w:r>
      <w:r w:rsidR="006E08E1">
        <w:t xml:space="preserve">&amp; </w:t>
      </w:r>
      <w:proofErr w:type="spellStart"/>
      <w:r w:rsidR="006E08E1">
        <w:t>Hausemer</w:t>
      </w:r>
      <w:proofErr w:type="spellEnd"/>
      <w:r w:rsidR="006E08E1">
        <w:t>, P. (2020)</w:t>
      </w:r>
      <w:r w:rsidR="00BE7EB9">
        <w:t xml:space="preserve">. </w:t>
      </w:r>
      <w:r w:rsidR="00D6639C" w:rsidRPr="00D6639C">
        <w:rPr>
          <w:i/>
          <w:iCs/>
        </w:rPr>
        <w:t>Loot boxes in online games and their effect on consumers, in particular young consumers</w:t>
      </w:r>
      <w:r w:rsidR="00D6639C">
        <w:t xml:space="preserve">. </w:t>
      </w:r>
      <w:r w:rsidR="0016681D">
        <w:t xml:space="preserve">European Parliament. Retrieved from </w:t>
      </w:r>
      <w:hyperlink r:id="rId29" w:history="1">
        <w:r w:rsidR="0002018C" w:rsidRPr="00E70905">
          <w:rPr>
            <w:rStyle w:val="Hyperlink"/>
          </w:rPr>
          <w:t>www.europarl.europa.eu/supporting-analyses</w:t>
        </w:r>
      </w:hyperlink>
    </w:p>
    <w:p w14:paraId="08236602" w14:textId="77777777" w:rsidR="00022C37" w:rsidRDefault="00296447" w:rsidP="001B539F">
      <w:pPr>
        <w:spacing w:before="0"/>
        <w:ind w:left="284" w:hanging="284"/>
        <w:jc w:val="left"/>
      </w:pPr>
      <w:r>
        <w:t xml:space="preserve">Children’s Commissioner for England. (2019). </w:t>
      </w:r>
      <w:r>
        <w:rPr>
          <w:i/>
        </w:rPr>
        <w:t>Gaming the system</w:t>
      </w:r>
      <w:r>
        <w:t xml:space="preserve">. </w:t>
      </w:r>
      <w:r w:rsidR="00E00F52">
        <w:t xml:space="preserve">London: Children’s Commissioner for England. Retrieved from </w:t>
      </w:r>
      <w:hyperlink r:id="rId30" w:history="1">
        <w:r w:rsidR="00E00F52" w:rsidRPr="00E00F52">
          <w:rPr>
            <w:rStyle w:val="Hyperlink"/>
          </w:rPr>
          <w:t>www.childrenscommissioner.gov.uk/wp-content/uploads/2019/10/CCO-Gaming-the-System-2019.pdf</w:t>
        </w:r>
      </w:hyperlink>
    </w:p>
    <w:p w14:paraId="510D202F" w14:textId="77777777" w:rsidR="00022C37" w:rsidRDefault="00296447" w:rsidP="001B539F">
      <w:pPr>
        <w:spacing w:before="0"/>
        <w:ind w:left="284" w:hanging="284"/>
        <w:jc w:val="left"/>
      </w:pPr>
      <w:r>
        <w:t xml:space="preserve">Close, J., Spicer, S. G., Nicklin, L. L., Uther, M., Lloyd, J., &amp; Lloyd, H. (2021). Secondary analysis of loot box data: Are high-spending ‘whales’ wealthy gamers or problem gamblers? </w:t>
      </w:r>
      <w:r>
        <w:rPr>
          <w:i/>
        </w:rPr>
        <w:t xml:space="preserve">Addictive </w:t>
      </w:r>
      <w:proofErr w:type="spellStart"/>
      <w:r>
        <w:rPr>
          <w:i/>
        </w:rPr>
        <w:t>Behaviors</w:t>
      </w:r>
      <w:proofErr w:type="spellEnd"/>
      <w:r>
        <w:t xml:space="preserve">, </w:t>
      </w:r>
      <w:r>
        <w:rPr>
          <w:i/>
        </w:rPr>
        <w:t>117</w:t>
      </w:r>
      <w:r>
        <w:t xml:space="preserve">, 106851. </w:t>
      </w:r>
      <w:hyperlink r:id="rId31" w:history="1">
        <w:r w:rsidR="00022C37" w:rsidRPr="008270B9">
          <w:rPr>
            <w:rStyle w:val="Hyperlink"/>
          </w:rPr>
          <w:t>doi.org/10.1016/j.addbeh.2021.106851</w:t>
        </w:r>
      </w:hyperlink>
    </w:p>
    <w:p w14:paraId="7F989385" w14:textId="77777777" w:rsidR="00C45510" w:rsidRDefault="00C45510" w:rsidP="001B539F">
      <w:pPr>
        <w:spacing w:before="0"/>
        <w:ind w:left="284" w:hanging="284"/>
        <w:jc w:val="left"/>
      </w:pPr>
      <w:proofErr w:type="spellStart"/>
      <w:r w:rsidRPr="00C45510">
        <w:t>Columb</w:t>
      </w:r>
      <w:proofErr w:type="spellEnd"/>
      <w:r w:rsidRPr="00C45510">
        <w:t xml:space="preserve">, D., Griffiths, M. D., &amp; O'Gara, C. (2020). A descriptive survey of online gaming characteristics and gaming disorder in Ireland. </w:t>
      </w:r>
      <w:r w:rsidRPr="00C45510">
        <w:rPr>
          <w:i/>
          <w:iCs/>
        </w:rPr>
        <w:t>Ir</w:t>
      </w:r>
      <w:r w:rsidR="00B3005A">
        <w:rPr>
          <w:i/>
          <w:iCs/>
        </w:rPr>
        <w:t>ish</w:t>
      </w:r>
      <w:r w:rsidRPr="00C45510">
        <w:rPr>
          <w:i/>
          <w:iCs/>
        </w:rPr>
        <w:t xml:space="preserve"> J</w:t>
      </w:r>
      <w:r w:rsidR="00B3005A">
        <w:rPr>
          <w:i/>
          <w:iCs/>
        </w:rPr>
        <w:t>ournal of</w:t>
      </w:r>
      <w:r w:rsidRPr="00C45510">
        <w:rPr>
          <w:i/>
          <w:iCs/>
        </w:rPr>
        <w:t xml:space="preserve"> Psychol</w:t>
      </w:r>
      <w:r w:rsidR="00B3005A">
        <w:rPr>
          <w:i/>
          <w:iCs/>
        </w:rPr>
        <w:t>ogical</w:t>
      </w:r>
      <w:r w:rsidRPr="00C45510">
        <w:rPr>
          <w:i/>
          <w:iCs/>
        </w:rPr>
        <w:t xml:space="preserve"> Med</w:t>
      </w:r>
      <w:r w:rsidR="00B3005A">
        <w:rPr>
          <w:i/>
          <w:iCs/>
        </w:rPr>
        <w:t>icine</w:t>
      </w:r>
      <w:r w:rsidRPr="00C45510">
        <w:t>, 1</w:t>
      </w:r>
      <w:r w:rsidR="00B3005A">
        <w:t>–</w:t>
      </w:r>
      <w:r w:rsidRPr="00C45510">
        <w:t>9. doi:10.1017/ipm.2020.5</w:t>
      </w:r>
    </w:p>
    <w:p w14:paraId="18A329C0" w14:textId="77777777" w:rsidR="00665F6C" w:rsidRPr="0020367F" w:rsidRDefault="00665F6C" w:rsidP="00665F6C">
      <w:pPr>
        <w:spacing w:before="0" w:line="280" w:lineRule="exact"/>
        <w:ind w:left="284" w:hanging="284"/>
        <w:jc w:val="left"/>
        <w:rPr>
          <w:rFonts w:cs="Arial"/>
          <w:szCs w:val="20"/>
        </w:rPr>
      </w:pPr>
      <w:r w:rsidRPr="0020367F">
        <w:rPr>
          <w:rFonts w:cs="Arial"/>
          <w:szCs w:val="20"/>
        </w:rPr>
        <w:lastRenderedPageBreak/>
        <w:t xml:space="preserve">Commonwealth of Australia. (2018). </w:t>
      </w:r>
      <w:r w:rsidRPr="0020367F">
        <w:rPr>
          <w:rFonts w:cs="Arial"/>
          <w:i/>
          <w:szCs w:val="20"/>
        </w:rPr>
        <w:t>Gaming micro-transactions for chance-based items</w:t>
      </w:r>
      <w:r w:rsidRPr="0020367F">
        <w:rPr>
          <w:rFonts w:cs="Arial"/>
          <w:szCs w:val="20"/>
        </w:rPr>
        <w:t xml:space="preserve">. Canberra: Commonwealth of Australia.  </w:t>
      </w:r>
    </w:p>
    <w:p w14:paraId="349A163F" w14:textId="77777777" w:rsidR="00A84A71" w:rsidRPr="0020367F" w:rsidRDefault="00A84A71" w:rsidP="00A84A71">
      <w:pPr>
        <w:spacing w:before="0" w:line="280" w:lineRule="exact"/>
        <w:ind w:left="284" w:hanging="284"/>
        <w:jc w:val="left"/>
        <w:rPr>
          <w:rFonts w:cs="Arial"/>
          <w:szCs w:val="20"/>
        </w:rPr>
      </w:pPr>
      <w:r w:rsidRPr="0020367F">
        <w:rPr>
          <w:rFonts w:cs="Arial"/>
          <w:szCs w:val="20"/>
        </w:rPr>
        <w:t xml:space="preserve">Currie, S. R., Hodgins, D. C., &amp; Casey, D. M. (2013). Validity of the Problem Gambling Severity Index interpretive categories. </w:t>
      </w:r>
      <w:r w:rsidRPr="0020367F">
        <w:rPr>
          <w:rFonts w:cs="Arial"/>
          <w:i/>
          <w:szCs w:val="20"/>
        </w:rPr>
        <w:t>Journal of Gambling Studies</w:t>
      </w:r>
      <w:r w:rsidRPr="0020367F">
        <w:rPr>
          <w:rFonts w:cs="Arial"/>
          <w:szCs w:val="20"/>
        </w:rPr>
        <w:t xml:space="preserve">, </w:t>
      </w:r>
      <w:r w:rsidRPr="0020367F">
        <w:rPr>
          <w:rFonts w:cs="Arial"/>
          <w:i/>
          <w:szCs w:val="20"/>
        </w:rPr>
        <w:t>29</w:t>
      </w:r>
      <w:r w:rsidRPr="0020367F">
        <w:rPr>
          <w:rFonts w:cs="Arial"/>
          <w:szCs w:val="20"/>
        </w:rPr>
        <w:t xml:space="preserve">(2), 311–327. </w:t>
      </w:r>
      <w:hyperlink r:id="rId32" w:history="1">
        <w:r w:rsidRPr="0020367F">
          <w:rPr>
            <w:rStyle w:val="Hyperlink"/>
            <w:rFonts w:cs="Arial"/>
            <w:szCs w:val="20"/>
          </w:rPr>
          <w:t>doi.org/10.1007/s10899-012-9300-6</w:t>
        </w:r>
      </w:hyperlink>
    </w:p>
    <w:p w14:paraId="44311A13" w14:textId="77777777" w:rsidR="00802C05" w:rsidRPr="0020367F" w:rsidRDefault="00802C05" w:rsidP="00802C05">
      <w:pPr>
        <w:spacing w:before="0" w:line="280" w:lineRule="exact"/>
        <w:ind w:left="284" w:hanging="284"/>
        <w:jc w:val="left"/>
        <w:rPr>
          <w:rFonts w:cs="Arial"/>
          <w:color w:val="222222"/>
          <w:szCs w:val="20"/>
          <w:shd w:val="clear" w:color="auto" w:fill="FFFFFF"/>
        </w:rPr>
      </w:pPr>
      <w:r w:rsidRPr="0020367F">
        <w:rPr>
          <w:rFonts w:cs="Arial"/>
          <w:szCs w:val="20"/>
        </w:rPr>
        <w:t xml:space="preserve">Deblaquiere, J., Carrol, M., &amp; Jenkinson, R. (2018). </w:t>
      </w:r>
      <w:r w:rsidRPr="0020367F">
        <w:rPr>
          <w:rFonts w:cs="Arial"/>
          <w:i/>
          <w:szCs w:val="20"/>
        </w:rPr>
        <w:t>Submission 10 to the Inquiry into gaming micro-transactions for chance-based items.</w:t>
      </w:r>
      <w:r w:rsidRPr="0020367F">
        <w:rPr>
          <w:rFonts w:cs="Arial"/>
          <w:szCs w:val="20"/>
        </w:rPr>
        <w:t xml:space="preserve"> Melbourne: Australian Gambling Research Centre, Australian Institute of Family Studies.</w:t>
      </w:r>
    </w:p>
    <w:p w14:paraId="5AEE535A" w14:textId="7B427CB3" w:rsidR="00022C37" w:rsidRDefault="00296447" w:rsidP="001B539F">
      <w:pPr>
        <w:spacing w:before="0"/>
        <w:ind w:left="284" w:hanging="284"/>
        <w:jc w:val="left"/>
      </w:pPr>
      <w:proofErr w:type="spellStart"/>
      <w:r>
        <w:t>Delfabbro</w:t>
      </w:r>
      <w:proofErr w:type="spellEnd"/>
      <w:r>
        <w:t xml:space="preserve">, P., &amp; King, D. L. (2020). Gaming-gambling convergence: </w:t>
      </w:r>
      <w:r w:rsidR="000E1972">
        <w:t xml:space="preserve">Evaluating </w:t>
      </w:r>
      <w:r>
        <w:t xml:space="preserve">evidence for the ‘gateway’ hypothesis. </w:t>
      </w:r>
      <w:r>
        <w:rPr>
          <w:i/>
        </w:rPr>
        <w:t>International Gambling Studies</w:t>
      </w:r>
      <w:r>
        <w:t xml:space="preserve">, </w:t>
      </w:r>
      <w:r>
        <w:rPr>
          <w:i/>
        </w:rPr>
        <w:t>20</w:t>
      </w:r>
      <w:r>
        <w:t xml:space="preserve">(3), 380–392. </w:t>
      </w:r>
      <w:hyperlink r:id="rId33" w:history="1">
        <w:r w:rsidR="00022C37" w:rsidRPr="008270B9">
          <w:rPr>
            <w:rStyle w:val="Hyperlink"/>
          </w:rPr>
          <w:t>doi.org/10.1080/14459795.2020.1768430</w:t>
        </w:r>
      </w:hyperlink>
    </w:p>
    <w:p w14:paraId="526F8CCB" w14:textId="77777777" w:rsidR="00D56290" w:rsidRPr="0020367F" w:rsidRDefault="00D56290" w:rsidP="00D56290">
      <w:pPr>
        <w:spacing w:before="0" w:line="280" w:lineRule="exact"/>
        <w:ind w:left="284" w:hanging="284"/>
        <w:jc w:val="left"/>
        <w:rPr>
          <w:rStyle w:val="Hyperlink"/>
          <w:rFonts w:cs="Arial"/>
          <w:szCs w:val="20"/>
        </w:rPr>
      </w:pPr>
      <w:proofErr w:type="spellStart"/>
      <w:r w:rsidRPr="0020367F">
        <w:rPr>
          <w:rFonts w:cs="Arial"/>
          <w:szCs w:val="20"/>
        </w:rPr>
        <w:t>Delfabbro</w:t>
      </w:r>
      <w:proofErr w:type="spellEnd"/>
      <w:r w:rsidRPr="0020367F">
        <w:rPr>
          <w:rFonts w:cs="Arial"/>
          <w:szCs w:val="20"/>
        </w:rPr>
        <w:t xml:space="preserve">, P., &amp; King, D. L. (2021). Contentious issues and future directions in adolescent gambling research. </w:t>
      </w:r>
      <w:r w:rsidRPr="0020367F">
        <w:rPr>
          <w:rFonts w:cs="Arial"/>
          <w:i/>
          <w:iCs/>
          <w:szCs w:val="20"/>
        </w:rPr>
        <w:t>International Journal of Environmental Research and Public Health</w:t>
      </w:r>
      <w:r w:rsidRPr="0020367F">
        <w:rPr>
          <w:rFonts w:cs="Arial"/>
          <w:szCs w:val="20"/>
        </w:rPr>
        <w:t xml:space="preserve">, </w:t>
      </w:r>
      <w:r w:rsidRPr="0020367F">
        <w:rPr>
          <w:rFonts w:cs="Arial"/>
          <w:i/>
          <w:iCs/>
          <w:szCs w:val="20"/>
        </w:rPr>
        <w:t>18</w:t>
      </w:r>
      <w:r w:rsidRPr="0020367F">
        <w:rPr>
          <w:rFonts w:cs="Arial"/>
          <w:szCs w:val="20"/>
        </w:rPr>
        <w:t xml:space="preserve">(21), 11482. </w:t>
      </w:r>
      <w:hyperlink r:id="rId34" w:history="1">
        <w:r w:rsidRPr="0020367F">
          <w:rPr>
            <w:rStyle w:val="Hyperlink"/>
            <w:rFonts w:cs="Arial"/>
            <w:szCs w:val="20"/>
          </w:rPr>
          <w:t>doi.org/10.3390/ijerph182111482</w:t>
        </w:r>
      </w:hyperlink>
    </w:p>
    <w:p w14:paraId="5677B421" w14:textId="77777777" w:rsidR="007C2EF2" w:rsidRPr="0020367F" w:rsidRDefault="007C2EF2" w:rsidP="007C2EF2">
      <w:pPr>
        <w:spacing w:before="0" w:line="280" w:lineRule="exact"/>
        <w:ind w:left="284" w:hanging="284"/>
        <w:rPr>
          <w:rFonts w:cs="Arial"/>
          <w:szCs w:val="20"/>
        </w:rPr>
      </w:pPr>
      <w:proofErr w:type="spellStart"/>
      <w:r w:rsidRPr="0020367F">
        <w:rPr>
          <w:rFonts w:cs="Arial"/>
          <w:szCs w:val="20"/>
        </w:rPr>
        <w:t>Derevensky</w:t>
      </w:r>
      <w:proofErr w:type="spellEnd"/>
      <w:r w:rsidRPr="0020367F">
        <w:rPr>
          <w:rFonts w:cs="Arial"/>
          <w:szCs w:val="20"/>
        </w:rPr>
        <w:t xml:space="preserve">, J. L., &amp; </w:t>
      </w:r>
      <w:proofErr w:type="spellStart"/>
      <w:r w:rsidRPr="0020367F">
        <w:rPr>
          <w:rFonts w:cs="Arial"/>
          <w:szCs w:val="20"/>
        </w:rPr>
        <w:t>Gainsbury</w:t>
      </w:r>
      <w:proofErr w:type="spellEnd"/>
      <w:r w:rsidRPr="0020367F">
        <w:rPr>
          <w:rFonts w:cs="Arial"/>
          <w:szCs w:val="20"/>
        </w:rPr>
        <w:t xml:space="preserve">, S. M. (2016). Social casino gaming and adolescents: Should we be concerned and is regulation in sight? </w:t>
      </w:r>
      <w:r w:rsidRPr="0020367F">
        <w:rPr>
          <w:rFonts w:cs="Arial"/>
          <w:i/>
          <w:iCs/>
          <w:szCs w:val="20"/>
        </w:rPr>
        <w:t>International Journal of Law and Psychiatry</w:t>
      </w:r>
      <w:r w:rsidRPr="0020367F">
        <w:rPr>
          <w:rFonts w:cs="Arial"/>
          <w:szCs w:val="20"/>
        </w:rPr>
        <w:t xml:space="preserve">, </w:t>
      </w:r>
      <w:r w:rsidRPr="0020367F">
        <w:rPr>
          <w:rFonts w:cs="Arial"/>
          <w:i/>
          <w:iCs/>
          <w:szCs w:val="20"/>
        </w:rPr>
        <w:t>44</w:t>
      </w:r>
      <w:r w:rsidRPr="0020367F">
        <w:rPr>
          <w:rFonts w:cs="Arial"/>
          <w:szCs w:val="20"/>
        </w:rPr>
        <w:t xml:space="preserve">, 1–6. </w:t>
      </w:r>
      <w:hyperlink r:id="rId35" w:history="1">
        <w:r w:rsidRPr="0020367F">
          <w:rPr>
            <w:rStyle w:val="Hyperlink"/>
            <w:rFonts w:cs="Arial"/>
            <w:szCs w:val="20"/>
          </w:rPr>
          <w:t>doi.org/10.1016/j.ijlp.2015.08.025</w:t>
        </w:r>
      </w:hyperlink>
    </w:p>
    <w:p w14:paraId="49463B6E" w14:textId="77777777" w:rsidR="007C2EF2" w:rsidRPr="0020367F" w:rsidRDefault="007C2EF2" w:rsidP="007C2EF2">
      <w:pPr>
        <w:spacing w:before="0" w:line="280" w:lineRule="exact"/>
        <w:ind w:left="284" w:hanging="284"/>
        <w:rPr>
          <w:rFonts w:cs="Arial"/>
          <w:szCs w:val="20"/>
        </w:rPr>
      </w:pPr>
      <w:proofErr w:type="spellStart"/>
      <w:r w:rsidRPr="0020367F">
        <w:rPr>
          <w:rFonts w:cs="Arial"/>
          <w:szCs w:val="20"/>
        </w:rPr>
        <w:t>Derevensky</w:t>
      </w:r>
      <w:proofErr w:type="spellEnd"/>
      <w:r w:rsidRPr="0020367F">
        <w:rPr>
          <w:rFonts w:cs="Arial"/>
          <w:szCs w:val="20"/>
        </w:rPr>
        <w:t xml:space="preserve">, J. L., &amp; Griffiths, M. D. (2019). Convergence between gambling and gaming: Does the gambling and gaming industry have a responsibility in protecting the consumer? </w:t>
      </w:r>
      <w:r w:rsidRPr="0020367F">
        <w:rPr>
          <w:rFonts w:cs="Arial"/>
          <w:i/>
          <w:iCs/>
          <w:szCs w:val="20"/>
        </w:rPr>
        <w:t>Gaming Law Review</w:t>
      </w:r>
      <w:r w:rsidRPr="0020367F">
        <w:rPr>
          <w:rFonts w:cs="Arial"/>
          <w:szCs w:val="20"/>
        </w:rPr>
        <w:t xml:space="preserve">, </w:t>
      </w:r>
      <w:r w:rsidRPr="0020367F">
        <w:rPr>
          <w:rFonts w:cs="Arial"/>
          <w:i/>
          <w:iCs/>
          <w:szCs w:val="20"/>
        </w:rPr>
        <w:t>23</w:t>
      </w:r>
      <w:r w:rsidRPr="0020367F">
        <w:rPr>
          <w:rFonts w:cs="Arial"/>
          <w:szCs w:val="20"/>
        </w:rPr>
        <w:t xml:space="preserve">(9), 633–639. </w:t>
      </w:r>
      <w:hyperlink r:id="rId36" w:history="1">
        <w:r w:rsidRPr="0020367F">
          <w:rPr>
            <w:rStyle w:val="Hyperlink"/>
            <w:rFonts w:cs="Arial"/>
            <w:szCs w:val="20"/>
          </w:rPr>
          <w:t>doi.org/10.1089/glr2.2019.2397</w:t>
        </w:r>
      </w:hyperlink>
    </w:p>
    <w:p w14:paraId="2662D9A2" w14:textId="77777777" w:rsidR="007C2EF2" w:rsidRPr="0020367F" w:rsidRDefault="007C2EF2" w:rsidP="007C2EF2">
      <w:pPr>
        <w:spacing w:before="0" w:line="280" w:lineRule="exact"/>
        <w:ind w:left="284" w:hanging="284"/>
        <w:jc w:val="left"/>
        <w:rPr>
          <w:rStyle w:val="Hyperlink"/>
          <w:rFonts w:cs="Arial"/>
          <w:szCs w:val="20"/>
        </w:rPr>
      </w:pPr>
      <w:r w:rsidRPr="0020367F">
        <w:rPr>
          <w:rFonts w:cs="Arial"/>
          <w:szCs w:val="20"/>
        </w:rPr>
        <w:t xml:space="preserve">Department of Communications and the Arts. (2019). </w:t>
      </w:r>
      <w:r w:rsidRPr="0020367F">
        <w:rPr>
          <w:rFonts w:cs="Arial"/>
          <w:i/>
          <w:iCs/>
          <w:szCs w:val="20"/>
        </w:rPr>
        <w:t>Computer games content research: Final report.</w:t>
      </w:r>
      <w:r w:rsidRPr="0020367F">
        <w:rPr>
          <w:rFonts w:cs="Arial"/>
          <w:szCs w:val="20"/>
        </w:rPr>
        <w:t xml:space="preserve"> Canberra: Department of Communications and the Arts. Retrieved from</w:t>
      </w:r>
      <w:hyperlink r:id="rId37" w:history="1">
        <w:r w:rsidRPr="0020367F">
          <w:rPr>
            <w:rStyle w:val="Hyperlink"/>
            <w:rFonts w:cs="Arial"/>
            <w:szCs w:val="20"/>
          </w:rPr>
          <w:t>www.classification.gov.au/sites/default/files/2019-10/computer-games-content-research-final-report-january2019.pdf</w:t>
        </w:r>
      </w:hyperlink>
    </w:p>
    <w:p w14:paraId="3943DA31" w14:textId="77777777" w:rsidR="007C2EF2" w:rsidRPr="0020367F" w:rsidRDefault="007C2EF2" w:rsidP="007C2EF2">
      <w:pPr>
        <w:spacing w:before="0" w:line="280" w:lineRule="exact"/>
        <w:ind w:left="284" w:hanging="284"/>
        <w:jc w:val="left"/>
        <w:rPr>
          <w:rFonts w:cs="Arial"/>
          <w:szCs w:val="20"/>
        </w:rPr>
      </w:pPr>
      <w:proofErr w:type="spellStart"/>
      <w:r w:rsidRPr="0020367F">
        <w:rPr>
          <w:rFonts w:cs="Arial"/>
          <w:szCs w:val="20"/>
        </w:rPr>
        <w:t>Derrington</w:t>
      </w:r>
      <w:proofErr w:type="spellEnd"/>
      <w:r w:rsidRPr="0020367F">
        <w:rPr>
          <w:rFonts w:cs="Arial"/>
          <w:szCs w:val="20"/>
        </w:rPr>
        <w:t xml:space="preserve">, S., Star, S., &amp; Kelly, S. J. (2020). The case for uniform loot box regulation: A new classification typology and reform agenda. </w:t>
      </w:r>
      <w:r w:rsidRPr="0020367F">
        <w:rPr>
          <w:rFonts w:cs="Arial"/>
          <w:i/>
          <w:iCs/>
          <w:szCs w:val="20"/>
        </w:rPr>
        <w:t>Journal of Gambling Issues</w:t>
      </w:r>
      <w:r w:rsidRPr="0020367F">
        <w:rPr>
          <w:rFonts w:cs="Arial"/>
          <w:szCs w:val="20"/>
        </w:rPr>
        <w:t xml:space="preserve">, </w:t>
      </w:r>
      <w:r w:rsidRPr="0020367F">
        <w:rPr>
          <w:rFonts w:cs="Arial"/>
          <w:i/>
          <w:iCs/>
          <w:szCs w:val="20"/>
        </w:rPr>
        <w:t>46</w:t>
      </w:r>
      <w:r w:rsidRPr="0020367F">
        <w:rPr>
          <w:rFonts w:cs="Arial"/>
          <w:szCs w:val="20"/>
        </w:rPr>
        <w:t xml:space="preserve">(0). </w:t>
      </w:r>
      <w:hyperlink r:id="rId38" w:history="1">
        <w:r w:rsidRPr="0020367F">
          <w:rPr>
            <w:rStyle w:val="Hyperlink"/>
            <w:rFonts w:cs="Arial"/>
            <w:szCs w:val="20"/>
          </w:rPr>
          <w:t>doi.org/10.4309/jgi.2021.46.15</w:t>
        </w:r>
      </w:hyperlink>
    </w:p>
    <w:p w14:paraId="04009B96" w14:textId="1F9B7DCE" w:rsidR="00402C3E" w:rsidRDefault="00402C3E" w:rsidP="00402C3E">
      <w:pPr>
        <w:spacing w:before="0" w:line="280" w:lineRule="exact"/>
        <w:ind w:left="284" w:hanging="284"/>
        <w:jc w:val="left"/>
      </w:pPr>
      <w:r w:rsidRPr="00F33AC7">
        <w:t>Dickins, M</w:t>
      </w:r>
      <w:r w:rsidR="000E1972">
        <w:t>.</w:t>
      </w:r>
      <w:r w:rsidRPr="00F33AC7">
        <w:t xml:space="preserve">, &amp; Thomas, A. (2016). </w:t>
      </w:r>
      <w:r w:rsidRPr="00F33AC7">
        <w:rPr>
          <w:i/>
        </w:rPr>
        <w:t>Is it gambling or a game? Simulated gambling games: Their use and regulation</w:t>
      </w:r>
      <w:r w:rsidRPr="00F33AC7">
        <w:t xml:space="preserve"> </w:t>
      </w:r>
      <w:r w:rsidR="00403AE3">
        <w:t xml:space="preserve">(AGRC Discussion Paper No. 5). </w:t>
      </w:r>
      <w:proofErr w:type="spellStart"/>
      <w:r w:rsidR="00403AE3">
        <w:t>Melbounre</w:t>
      </w:r>
      <w:proofErr w:type="spellEnd"/>
      <w:r w:rsidR="00403AE3">
        <w:t xml:space="preserve">: Australian Gambling Research Centre, Australian Institute of Family Studies. </w:t>
      </w:r>
      <w:hyperlink r:id="rId39" w:history="1">
        <w:r w:rsidR="001C6C47" w:rsidRPr="001C6C47">
          <w:rPr>
            <w:rStyle w:val="Hyperlink"/>
          </w:rPr>
          <w:t xml:space="preserve"> Retrieved from aifs.gov.au/agrc/sites/default/files/agrc-dp5-simulated-gambling-paper.pdf</w:t>
        </w:r>
      </w:hyperlink>
    </w:p>
    <w:p w14:paraId="6D808557" w14:textId="77777777" w:rsidR="000D759F" w:rsidRPr="0020367F" w:rsidRDefault="000D759F" w:rsidP="000D759F">
      <w:pPr>
        <w:spacing w:before="0" w:line="280" w:lineRule="exact"/>
        <w:ind w:left="284" w:hanging="284"/>
        <w:rPr>
          <w:rFonts w:cs="Arial"/>
          <w:szCs w:val="20"/>
        </w:rPr>
      </w:pPr>
      <w:r w:rsidRPr="0020367F">
        <w:rPr>
          <w:rFonts w:cs="Arial"/>
          <w:szCs w:val="20"/>
        </w:rPr>
        <w:t xml:space="preserve">Drummond, A., &amp; Sauer, J. D. (2018). Video game loot boxes are psychologically akin to gambling. </w:t>
      </w:r>
      <w:r w:rsidRPr="0020367F">
        <w:rPr>
          <w:rFonts w:cs="Arial"/>
          <w:i/>
          <w:szCs w:val="20"/>
        </w:rPr>
        <w:t>Nature Human Behaviour</w:t>
      </w:r>
      <w:r w:rsidRPr="0020367F">
        <w:rPr>
          <w:rFonts w:cs="Arial"/>
          <w:szCs w:val="20"/>
        </w:rPr>
        <w:t xml:space="preserve">, </w:t>
      </w:r>
      <w:r w:rsidRPr="0020367F">
        <w:rPr>
          <w:rFonts w:cs="Arial"/>
          <w:i/>
          <w:szCs w:val="20"/>
        </w:rPr>
        <w:t>2</w:t>
      </w:r>
      <w:r w:rsidRPr="0020367F">
        <w:rPr>
          <w:rFonts w:cs="Arial"/>
          <w:szCs w:val="20"/>
        </w:rPr>
        <w:t xml:space="preserve">(8), 530–532. </w:t>
      </w:r>
      <w:hyperlink r:id="rId40" w:history="1">
        <w:r w:rsidRPr="0020367F">
          <w:rPr>
            <w:rStyle w:val="Hyperlink"/>
            <w:rFonts w:cs="Arial"/>
            <w:szCs w:val="20"/>
          </w:rPr>
          <w:t>doi.org/10.1038/s41562-018-0360-1</w:t>
        </w:r>
      </w:hyperlink>
    </w:p>
    <w:p w14:paraId="265D6E95" w14:textId="12F8CD30" w:rsidR="00022C37" w:rsidRDefault="00296447" w:rsidP="001B539F">
      <w:pPr>
        <w:spacing w:before="0"/>
        <w:ind w:left="284" w:hanging="284"/>
        <w:jc w:val="left"/>
      </w:pPr>
      <w:r>
        <w:t xml:space="preserve">Drummond, A., Sauer, J. D., Ferguson, C. J., &amp; Hall, L. C. (2020). The relationship between problem gambling, excessive gaming, psychological </w:t>
      </w:r>
      <w:proofErr w:type="gramStart"/>
      <w:r>
        <w:t>distress</w:t>
      </w:r>
      <w:proofErr w:type="gramEnd"/>
      <w:r>
        <w:t xml:space="preserve"> and spending on loot boxes in Aotearoa New Zealand, Australia, and the United States—A cross-national survey. </w:t>
      </w:r>
      <w:proofErr w:type="spellStart"/>
      <w:r>
        <w:rPr>
          <w:i/>
        </w:rPr>
        <w:t>PloS</w:t>
      </w:r>
      <w:proofErr w:type="spellEnd"/>
      <w:r>
        <w:rPr>
          <w:i/>
        </w:rPr>
        <w:t xml:space="preserve"> One</w:t>
      </w:r>
      <w:r>
        <w:t xml:space="preserve">, </w:t>
      </w:r>
      <w:r>
        <w:rPr>
          <w:i/>
        </w:rPr>
        <w:t>15</w:t>
      </w:r>
      <w:r>
        <w:t xml:space="preserve">(3), e0230378. </w:t>
      </w:r>
      <w:hyperlink r:id="rId41" w:history="1">
        <w:r w:rsidR="00022C37" w:rsidRPr="008270B9">
          <w:rPr>
            <w:rStyle w:val="Hyperlink"/>
          </w:rPr>
          <w:t>doi.org/10.1371/journal.pone.0230378</w:t>
        </w:r>
      </w:hyperlink>
    </w:p>
    <w:p w14:paraId="69682098" w14:textId="77777777" w:rsidR="00022C37" w:rsidRDefault="00296447" w:rsidP="001B539F">
      <w:pPr>
        <w:spacing w:before="0"/>
        <w:ind w:left="284" w:hanging="284"/>
        <w:jc w:val="left"/>
      </w:pPr>
      <w:r>
        <w:t>Drummond, A., Sauer, J. D., &amp; Hall, L. C. (2019). Loot box limit</w:t>
      </w:r>
      <w:r>
        <w:rPr>
          <w:rFonts w:ascii="Cambria Math" w:hAnsi="Cambria Math" w:cs="Cambria Math"/>
        </w:rPr>
        <w:t>‐</w:t>
      </w:r>
      <w:r>
        <w:t xml:space="preserve">setting: A potential policy to protect video game users with gambling problems? </w:t>
      </w:r>
      <w:r>
        <w:rPr>
          <w:i/>
        </w:rPr>
        <w:t>Addiction</w:t>
      </w:r>
      <w:r>
        <w:t xml:space="preserve">. </w:t>
      </w:r>
      <w:r w:rsidR="001C6C47">
        <w:t>Re</w:t>
      </w:r>
      <w:r w:rsidR="000860B8">
        <w:t xml:space="preserve">trieved from </w:t>
      </w:r>
      <w:hyperlink r:id="rId42" w:history="1">
        <w:r w:rsidR="000860B8" w:rsidRPr="000860B8">
          <w:rPr>
            <w:rStyle w:val="Hyperlink"/>
          </w:rPr>
          <w:t>onlinelibrary.wiley.com/</w:t>
        </w:r>
        <w:proofErr w:type="spellStart"/>
        <w:r w:rsidR="000860B8" w:rsidRPr="000860B8">
          <w:rPr>
            <w:rStyle w:val="Hyperlink"/>
          </w:rPr>
          <w:t>doi</w:t>
        </w:r>
        <w:proofErr w:type="spellEnd"/>
        <w:r w:rsidR="000860B8" w:rsidRPr="000860B8">
          <w:rPr>
            <w:rStyle w:val="Hyperlink"/>
          </w:rPr>
          <w:t>/abs/10.1111/add.14583</w:t>
        </w:r>
      </w:hyperlink>
    </w:p>
    <w:p w14:paraId="56EBF8DE" w14:textId="77777777" w:rsidR="002B19F1" w:rsidRPr="0020367F" w:rsidRDefault="002B19F1" w:rsidP="002B19F1">
      <w:pPr>
        <w:spacing w:before="0" w:line="280" w:lineRule="exact"/>
        <w:ind w:left="284" w:hanging="284"/>
        <w:jc w:val="left"/>
        <w:rPr>
          <w:rFonts w:cs="Arial"/>
          <w:szCs w:val="20"/>
        </w:rPr>
      </w:pPr>
      <w:proofErr w:type="spellStart"/>
      <w:r w:rsidRPr="0020367F">
        <w:rPr>
          <w:rFonts w:cs="Arial"/>
          <w:szCs w:val="20"/>
        </w:rPr>
        <w:t>Dussault</w:t>
      </w:r>
      <w:proofErr w:type="spellEnd"/>
      <w:r w:rsidRPr="0020367F">
        <w:rPr>
          <w:rFonts w:cs="Arial"/>
          <w:szCs w:val="20"/>
        </w:rPr>
        <w:t xml:space="preserve">, F., Brunelle, N., </w:t>
      </w:r>
      <w:proofErr w:type="spellStart"/>
      <w:r w:rsidRPr="0020367F">
        <w:rPr>
          <w:rFonts w:cs="Arial"/>
          <w:szCs w:val="20"/>
        </w:rPr>
        <w:t>Kairouz</w:t>
      </w:r>
      <w:proofErr w:type="spellEnd"/>
      <w:r w:rsidRPr="0020367F">
        <w:rPr>
          <w:rFonts w:cs="Arial"/>
          <w:szCs w:val="20"/>
        </w:rPr>
        <w:t xml:space="preserve">, S., Rousseau, M., Leclerc, D., Tremblay, J. et al. (2017). Transition from playing with simulated gambling games to gambling with real money: A longitudinal study in adolescence. </w:t>
      </w:r>
      <w:r w:rsidRPr="0020367F">
        <w:rPr>
          <w:rFonts w:cs="Arial"/>
          <w:i/>
          <w:szCs w:val="20"/>
        </w:rPr>
        <w:t>International Gambling Studies</w:t>
      </w:r>
      <w:r w:rsidRPr="0020367F">
        <w:rPr>
          <w:rFonts w:cs="Arial"/>
          <w:szCs w:val="20"/>
        </w:rPr>
        <w:t xml:space="preserve">, </w:t>
      </w:r>
      <w:r w:rsidRPr="0020367F">
        <w:rPr>
          <w:rFonts w:cs="Arial"/>
          <w:i/>
          <w:szCs w:val="20"/>
        </w:rPr>
        <w:t>17</w:t>
      </w:r>
      <w:r w:rsidRPr="0020367F">
        <w:rPr>
          <w:rFonts w:cs="Arial"/>
          <w:szCs w:val="20"/>
        </w:rPr>
        <w:t xml:space="preserve">(3), 386–400. </w:t>
      </w:r>
      <w:hyperlink r:id="rId43" w:history="1">
        <w:r w:rsidRPr="0020367F">
          <w:rPr>
            <w:rStyle w:val="Hyperlink"/>
            <w:rFonts w:cs="Arial"/>
            <w:szCs w:val="20"/>
          </w:rPr>
          <w:t>doi.org/10.1080/14459795.2017.1343366</w:t>
        </w:r>
      </w:hyperlink>
    </w:p>
    <w:p w14:paraId="62B149A4" w14:textId="77777777" w:rsidR="00D95D80" w:rsidRPr="0020367F" w:rsidRDefault="00D95D80" w:rsidP="00D95D80">
      <w:pPr>
        <w:spacing w:before="0" w:line="280" w:lineRule="exact"/>
        <w:ind w:left="284" w:hanging="284"/>
        <w:jc w:val="left"/>
        <w:rPr>
          <w:rFonts w:cs="Arial"/>
          <w:szCs w:val="20"/>
        </w:rPr>
      </w:pPr>
      <w:r w:rsidRPr="0020367F">
        <w:rPr>
          <w:rFonts w:cs="Arial"/>
          <w:szCs w:val="20"/>
        </w:rPr>
        <w:t xml:space="preserve">Ferris, J., &amp; Wynne, H. (2001). </w:t>
      </w:r>
      <w:r w:rsidRPr="0020367F">
        <w:rPr>
          <w:rFonts w:cs="Arial"/>
          <w:i/>
          <w:szCs w:val="20"/>
        </w:rPr>
        <w:t>The Canadian Problem Gambling Index: Final report</w:t>
      </w:r>
      <w:r w:rsidRPr="0020367F">
        <w:rPr>
          <w:rFonts w:cs="Arial"/>
          <w:szCs w:val="20"/>
        </w:rPr>
        <w:t>. Ottawa, ON: Canadian Centre on Substance Abuse.</w:t>
      </w:r>
    </w:p>
    <w:p w14:paraId="78ABFC08" w14:textId="77777777" w:rsidR="0023610C" w:rsidRPr="0020367F" w:rsidRDefault="0023610C" w:rsidP="0023610C">
      <w:pPr>
        <w:spacing w:before="0" w:line="280" w:lineRule="exact"/>
        <w:ind w:left="284" w:hanging="284"/>
        <w:jc w:val="left"/>
        <w:rPr>
          <w:rFonts w:cs="Arial"/>
          <w:szCs w:val="20"/>
        </w:rPr>
      </w:pPr>
      <w:proofErr w:type="spellStart"/>
      <w:r w:rsidRPr="0020367F">
        <w:rPr>
          <w:rFonts w:cs="Arial"/>
          <w:szCs w:val="20"/>
        </w:rPr>
        <w:t>Gainsbury</w:t>
      </w:r>
      <w:proofErr w:type="spellEnd"/>
      <w:r w:rsidRPr="0020367F">
        <w:rPr>
          <w:rFonts w:cs="Arial"/>
          <w:szCs w:val="20"/>
        </w:rPr>
        <w:t xml:space="preserve">, S. M. (2019). Gaming-gambling convergence: Research, regulation, and reactions. </w:t>
      </w:r>
      <w:r w:rsidRPr="0020367F">
        <w:rPr>
          <w:rFonts w:cs="Arial"/>
          <w:i/>
          <w:iCs/>
          <w:szCs w:val="20"/>
        </w:rPr>
        <w:t>Gaming Law Review</w:t>
      </w:r>
      <w:r w:rsidRPr="0020367F">
        <w:rPr>
          <w:rFonts w:cs="Arial"/>
          <w:szCs w:val="20"/>
        </w:rPr>
        <w:t xml:space="preserve">, </w:t>
      </w:r>
      <w:r w:rsidRPr="0020367F">
        <w:rPr>
          <w:rFonts w:cs="Arial"/>
          <w:i/>
          <w:iCs/>
          <w:szCs w:val="20"/>
        </w:rPr>
        <w:t>23</w:t>
      </w:r>
      <w:r w:rsidRPr="0020367F">
        <w:rPr>
          <w:rFonts w:cs="Arial"/>
          <w:szCs w:val="20"/>
        </w:rPr>
        <w:t xml:space="preserve">(2), 80–83. </w:t>
      </w:r>
      <w:hyperlink r:id="rId44" w:history="1">
        <w:r w:rsidRPr="0020367F">
          <w:rPr>
            <w:rStyle w:val="Hyperlink"/>
            <w:rFonts w:cs="Arial"/>
            <w:szCs w:val="20"/>
          </w:rPr>
          <w:t>doi.org/10.1089/glr2.2019.2323</w:t>
        </w:r>
      </w:hyperlink>
    </w:p>
    <w:p w14:paraId="5AB75895" w14:textId="554F82ED" w:rsidR="00022C37" w:rsidRDefault="00296447" w:rsidP="001B539F">
      <w:pPr>
        <w:spacing w:before="0"/>
        <w:ind w:left="284" w:hanging="284"/>
        <w:jc w:val="left"/>
      </w:pPr>
      <w:proofErr w:type="spellStart"/>
      <w:r>
        <w:t>Gainsbury</w:t>
      </w:r>
      <w:proofErr w:type="spellEnd"/>
      <w:r>
        <w:t xml:space="preserve">, S. M., King, D. L., Abarbanel, B., </w:t>
      </w:r>
      <w:proofErr w:type="spellStart"/>
      <w:r>
        <w:t>Delfabbro</w:t>
      </w:r>
      <w:proofErr w:type="spellEnd"/>
      <w:r>
        <w:t xml:space="preserve">, P., &amp; Hing, N. (2015). </w:t>
      </w:r>
      <w:r>
        <w:rPr>
          <w:i/>
        </w:rPr>
        <w:t>Convergence of gambling and gaming in digital media</w:t>
      </w:r>
      <w:r>
        <w:t xml:space="preserve">. </w:t>
      </w:r>
      <w:r w:rsidR="0049775D">
        <w:t xml:space="preserve">Melbourne: </w:t>
      </w:r>
      <w:r>
        <w:t xml:space="preserve">Victorian Responsible Gambling </w:t>
      </w:r>
      <w:r>
        <w:lastRenderedPageBreak/>
        <w:t xml:space="preserve">Foundation. </w:t>
      </w:r>
      <w:r w:rsidR="0049775D">
        <w:t xml:space="preserve">Retrieved from </w:t>
      </w:r>
      <w:hyperlink r:id="rId45" w:history="1">
        <w:r w:rsidR="0049775D" w:rsidRPr="0049775D">
          <w:rPr>
            <w:rStyle w:val="Hyperlink"/>
          </w:rPr>
          <w:t>www.responsiblegambling.vic.gov.au/__data/assets/pdf_file/0003/25572/Gainsbury_convergence_of_gambling_and_gaming_2015.pdf</w:t>
        </w:r>
      </w:hyperlink>
    </w:p>
    <w:p w14:paraId="46CE4583" w14:textId="63567B9D" w:rsidR="005F10AB" w:rsidRDefault="0023610C" w:rsidP="0023610C">
      <w:pPr>
        <w:spacing w:before="0" w:line="280" w:lineRule="exact"/>
        <w:ind w:left="284" w:hanging="284"/>
        <w:jc w:val="left"/>
      </w:pPr>
      <w:proofErr w:type="spellStart"/>
      <w:r>
        <w:t>Gainsbury</w:t>
      </w:r>
      <w:proofErr w:type="spellEnd"/>
      <w:r>
        <w:t>, S</w:t>
      </w:r>
      <w:r w:rsidRPr="0020367F">
        <w:rPr>
          <w:rFonts w:cs="Arial"/>
          <w:szCs w:val="20"/>
        </w:rPr>
        <w:t xml:space="preserve">. M., King, D. L., Russell, A. M. T., &amp; </w:t>
      </w:r>
      <w:proofErr w:type="spellStart"/>
      <w:r w:rsidRPr="0020367F">
        <w:rPr>
          <w:rFonts w:cs="Arial"/>
          <w:szCs w:val="20"/>
        </w:rPr>
        <w:t>Delfabbro</w:t>
      </w:r>
      <w:proofErr w:type="spellEnd"/>
      <w:r w:rsidRPr="0020367F">
        <w:rPr>
          <w:rFonts w:cs="Arial"/>
          <w:szCs w:val="20"/>
        </w:rPr>
        <w:t xml:space="preserve">, P. (2016). Who pays to play freemium games? The profiles and motivations of players who make purchases within social casino games. </w:t>
      </w:r>
      <w:r w:rsidRPr="0020367F">
        <w:rPr>
          <w:rFonts w:cs="Arial"/>
          <w:i/>
          <w:szCs w:val="20"/>
        </w:rPr>
        <w:t xml:space="preserve">Journal of </w:t>
      </w:r>
      <w:proofErr w:type="spellStart"/>
      <w:r w:rsidRPr="0020367F">
        <w:rPr>
          <w:rFonts w:cs="Arial"/>
          <w:i/>
          <w:szCs w:val="20"/>
        </w:rPr>
        <w:t>Behavioral</w:t>
      </w:r>
      <w:proofErr w:type="spellEnd"/>
      <w:r w:rsidRPr="0020367F">
        <w:rPr>
          <w:rFonts w:cs="Arial"/>
          <w:i/>
          <w:szCs w:val="20"/>
        </w:rPr>
        <w:t xml:space="preserve"> Addictions</w:t>
      </w:r>
      <w:r w:rsidRPr="0020367F">
        <w:rPr>
          <w:rFonts w:cs="Arial"/>
          <w:szCs w:val="20"/>
        </w:rPr>
        <w:t xml:space="preserve">, </w:t>
      </w:r>
      <w:r w:rsidRPr="0020367F">
        <w:rPr>
          <w:rFonts w:cs="Arial"/>
          <w:i/>
          <w:szCs w:val="20"/>
        </w:rPr>
        <w:t>5</w:t>
      </w:r>
      <w:r w:rsidRPr="0020367F">
        <w:rPr>
          <w:rFonts w:cs="Arial"/>
          <w:szCs w:val="20"/>
        </w:rPr>
        <w:t xml:space="preserve">(2), 221–230. </w:t>
      </w:r>
      <w:hyperlink r:id="rId46" w:history="1">
        <w:r w:rsidRPr="0020367F">
          <w:rPr>
            <w:rStyle w:val="Hyperlink"/>
            <w:rFonts w:cs="Arial"/>
            <w:szCs w:val="20"/>
          </w:rPr>
          <w:t>doi.org/10.1556/2006.5.2016.031</w:t>
        </w:r>
      </w:hyperlink>
    </w:p>
    <w:p w14:paraId="724D9651" w14:textId="77777777" w:rsidR="00022C37" w:rsidRDefault="00296447" w:rsidP="001B539F">
      <w:pPr>
        <w:spacing w:before="0"/>
        <w:ind w:left="284" w:hanging="284"/>
        <w:jc w:val="left"/>
      </w:pPr>
      <w:proofErr w:type="spellStart"/>
      <w:r>
        <w:t>Gainsbury</w:t>
      </w:r>
      <w:proofErr w:type="spellEnd"/>
      <w:r>
        <w:t xml:space="preserve">, S. M., King, D. L., Russell, A. M. T., </w:t>
      </w:r>
      <w:proofErr w:type="spellStart"/>
      <w:r>
        <w:t>Delfabbro</w:t>
      </w:r>
      <w:proofErr w:type="spellEnd"/>
      <w:r>
        <w:t>, P., &amp; Hing, N. (</w:t>
      </w:r>
      <w:r w:rsidR="001104E0">
        <w:t>2017</w:t>
      </w:r>
      <w:r>
        <w:t xml:space="preserve">). Virtual addictions: An examination of problematic social casino game use among at-risk gamblers. </w:t>
      </w:r>
      <w:r>
        <w:rPr>
          <w:i/>
        </w:rPr>
        <w:t xml:space="preserve">Addictive </w:t>
      </w:r>
      <w:proofErr w:type="spellStart"/>
      <w:r>
        <w:rPr>
          <w:i/>
        </w:rPr>
        <w:t>Behaviors</w:t>
      </w:r>
      <w:proofErr w:type="spellEnd"/>
      <w:r>
        <w:t xml:space="preserve">. </w:t>
      </w:r>
      <w:hyperlink r:id="rId47" w:history="1">
        <w:r w:rsidR="00022C37" w:rsidRPr="008270B9">
          <w:rPr>
            <w:rStyle w:val="Hyperlink"/>
          </w:rPr>
          <w:t>doi.org/10.1016/j.addbeh.2015.12.007</w:t>
        </w:r>
      </w:hyperlink>
    </w:p>
    <w:p w14:paraId="258C9890" w14:textId="07D12083" w:rsidR="00022C37" w:rsidRDefault="00296447" w:rsidP="0023610C">
      <w:pPr>
        <w:spacing w:before="0" w:line="280" w:lineRule="exact"/>
        <w:ind w:left="284" w:hanging="284"/>
        <w:jc w:val="left"/>
      </w:pPr>
      <w:proofErr w:type="spellStart"/>
      <w:r>
        <w:t>Gainsbury</w:t>
      </w:r>
      <w:proofErr w:type="spellEnd"/>
      <w:r>
        <w:t>, S. M., Russell, A</w:t>
      </w:r>
      <w:r w:rsidR="0023610C" w:rsidRPr="0020367F">
        <w:rPr>
          <w:rFonts w:cs="Arial"/>
          <w:szCs w:val="20"/>
        </w:rPr>
        <w:t xml:space="preserve">. M. T., King, D. L., </w:t>
      </w:r>
      <w:proofErr w:type="spellStart"/>
      <w:r w:rsidR="0023610C" w:rsidRPr="0020367F">
        <w:rPr>
          <w:rFonts w:cs="Arial"/>
          <w:szCs w:val="20"/>
        </w:rPr>
        <w:t>Delfabbro</w:t>
      </w:r>
      <w:proofErr w:type="spellEnd"/>
      <w:r w:rsidR="0023610C" w:rsidRPr="0020367F">
        <w:rPr>
          <w:rFonts w:cs="Arial"/>
          <w:szCs w:val="20"/>
        </w:rPr>
        <w:t>, P</w:t>
      </w:r>
      <w:r w:rsidRPr="0020367F">
        <w:rPr>
          <w:rFonts w:cs="Arial"/>
          <w:szCs w:val="20"/>
        </w:rPr>
        <w:t xml:space="preserve">., &amp; Hing, N. </w:t>
      </w:r>
      <w:r w:rsidR="0023610C" w:rsidRPr="0020367F">
        <w:rPr>
          <w:rFonts w:cs="Arial"/>
          <w:szCs w:val="20"/>
        </w:rPr>
        <w:t xml:space="preserve">(2016). Migration from </w:t>
      </w:r>
      <w:r w:rsidRPr="0020367F">
        <w:rPr>
          <w:rFonts w:cs="Arial"/>
          <w:szCs w:val="20"/>
        </w:rPr>
        <w:t xml:space="preserve">social casino </w:t>
      </w:r>
      <w:r w:rsidR="0023610C" w:rsidRPr="0020367F">
        <w:rPr>
          <w:rFonts w:cs="Arial"/>
          <w:szCs w:val="20"/>
        </w:rPr>
        <w:t>games to gambling: Motivations</w:t>
      </w:r>
      <w:r w:rsidRPr="0020367F">
        <w:rPr>
          <w:rFonts w:cs="Arial"/>
          <w:szCs w:val="20"/>
        </w:rPr>
        <w:t xml:space="preserve"> and characteristics</w:t>
      </w:r>
      <w:r w:rsidR="0023610C" w:rsidRPr="0020367F">
        <w:rPr>
          <w:rFonts w:cs="Arial"/>
          <w:szCs w:val="20"/>
        </w:rPr>
        <w:t xml:space="preserve"> of gamers who gamble.</w:t>
      </w:r>
      <w:r w:rsidRPr="0020367F">
        <w:rPr>
          <w:rFonts w:cs="Arial"/>
          <w:szCs w:val="20"/>
        </w:rPr>
        <w:t xml:space="preserve"> </w:t>
      </w:r>
      <w:r w:rsidRPr="0020367F">
        <w:rPr>
          <w:rFonts w:cs="Arial"/>
          <w:i/>
          <w:szCs w:val="20"/>
        </w:rPr>
        <w:t xml:space="preserve">Computers in Human </w:t>
      </w:r>
      <w:proofErr w:type="spellStart"/>
      <w:r w:rsidRPr="0020367F">
        <w:rPr>
          <w:rFonts w:cs="Arial"/>
          <w:i/>
          <w:szCs w:val="20"/>
        </w:rPr>
        <w:t>Behavior</w:t>
      </w:r>
      <w:proofErr w:type="spellEnd"/>
      <w:r w:rsidRPr="0020367F">
        <w:rPr>
          <w:rFonts w:cs="Arial"/>
          <w:szCs w:val="20"/>
        </w:rPr>
        <w:t xml:space="preserve">, </w:t>
      </w:r>
      <w:r w:rsidR="0023610C" w:rsidRPr="0020367F">
        <w:rPr>
          <w:rFonts w:cs="Arial"/>
          <w:i/>
          <w:szCs w:val="20"/>
        </w:rPr>
        <w:t>63</w:t>
      </w:r>
      <w:r w:rsidR="0023610C" w:rsidRPr="0020367F">
        <w:rPr>
          <w:rFonts w:cs="Arial"/>
          <w:szCs w:val="20"/>
        </w:rPr>
        <w:t xml:space="preserve">, 59–67. </w:t>
      </w:r>
      <w:hyperlink r:id="rId48" w:history="1">
        <w:r w:rsidR="0023610C" w:rsidRPr="0020367F">
          <w:rPr>
            <w:rStyle w:val="Hyperlink"/>
            <w:rFonts w:cs="Arial"/>
            <w:szCs w:val="20"/>
          </w:rPr>
          <w:t>doi.org/10.1016/j.chb.2016.05.021</w:t>
        </w:r>
      </w:hyperlink>
    </w:p>
    <w:p w14:paraId="326349B0" w14:textId="77777777" w:rsidR="0023610C" w:rsidRDefault="0023610C" w:rsidP="001B539F">
      <w:pPr>
        <w:spacing w:before="0"/>
        <w:ind w:left="284" w:hanging="284"/>
        <w:jc w:val="left"/>
      </w:pPr>
      <w:proofErr w:type="spellStart"/>
      <w:r>
        <w:t>Gainsbury</w:t>
      </w:r>
      <w:proofErr w:type="spellEnd"/>
      <w:r>
        <w:t xml:space="preserve">, S. M., Russell, A., &amp; Hing, N. (2014). An investigation of social casino gaming among land-based and Internet gamblers: A comparison of socio-demographic characteristics, </w:t>
      </w:r>
      <w:proofErr w:type="gramStart"/>
      <w:r>
        <w:t>gambling</w:t>
      </w:r>
      <w:proofErr w:type="gramEnd"/>
      <w:r>
        <w:t xml:space="preserve"> and co-morbidities. </w:t>
      </w:r>
      <w:r>
        <w:rPr>
          <w:i/>
        </w:rPr>
        <w:t xml:space="preserve">Computers in Human </w:t>
      </w:r>
      <w:proofErr w:type="spellStart"/>
      <w:r>
        <w:rPr>
          <w:i/>
        </w:rPr>
        <w:t>Behavior</w:t>
      </w:r>
      <w:proofErr w:type="spellEnd"/>
      <w:r>
        <w:t xml:space="preserve">, </w:t>
      </w:r>
      <w:r>
        <w:rPr>
          <w:i/>
        </w:rPr>
        <w:t>33</w:t>
      </w:r>
      <w:r>
        <w:t xml:space="preserve">, 126–135. </w:t>
      </w:r>
      <w:hyperlink r:id="rId49" w:history="1">
        <w:r w:rsidRPr="008270B9">
          <w:rPr>
            <w:rStyle w:val="Hyperlink"/>
          </w:rPr>
          <w:t>doi.org/10.1016/j.chb.2014.01.031</w:t>
        </w:r>
      </w:hyperlink>
    </w:p>
    <w:p w14:paraId="260EAB86" w14:textId="77777777" w:rsidR="0023610C" w:rsidRDefault="0023610C" w:rsidP="005F10AB">
      <w:pPr>
        <w:spacing w:before="0"/>
        <w:ind w:left="284" w:hanging="284"/>
        <w:jc w:val="left"/>
      </w:pPr>
      <w:proofErr w:type="spellStart"/>
      <w:r>
        <w:t>Gainsbury</w:t>
      </w:r>
      <w:proofErr w:type="spellEnd"/>
      <w:r>
        <w:t xml:space="preserve">, S., King, D., </w:t>
      </w:r>
      <w:proofErr w:type="spellStart"/>
      <w:r>
        <w:t>Delfabbro</w:t>
      </w:r>
      <w:proofErr w:type="spellEnd"/>
      <w:r>
        <w:t xml:space="preserve">, P., Hing, N., Russell, A., </w:t>
      </w:r>
      <w:proofErr w:type="spellStart"/>
      <w:r>
        <w:t>Blaszczynski</w:t>
      </w:r>
      <w:proofErr w:type="spellEnd"/>
      <w:r>
        <w:t xml:space="preserve">, A., &amp; </w:t>
      </w:r>
      <w:proofErr w:type="spellStart"/>
      <w:r>
        <w:t>Derevensky</w:t>
      </w:r>
      <w:proofErr w:type="spellEnd"/>
      <w:r>
        <w:t xml:space="preserve">, J. (2015). </w:t>
      </w:r>
      <w:r>
        <w:rPr>
          <w:i/>
        </w:rPr>
        <w:t>The use of social media in gambling</w:t>
      </w:r>
      <w:r>
        <w:t xml:space="preserve">. Melbourne: Gambling Research Australia. </w:t>
      </w:r>
      <w:hyperlink r:id="rId50" w:history="1">
        <w:r w:rsidRPr="008270B9">
          <w:rPr>
            <w:rStyle w:val="Hyperlink"/>
          </w:rPr>
          <w:t>www.gamblingresearch.org.au/resources/d06679ec-3577-4cb0-867c-594ce741dbf6/grasocialmediareport.pdf</w:t>
        </w:r>
      </w:hyperlink>
    </w:p>
    <w:p w14:paraId="1DC59EF6" w14:textId="77777777" w:rsidR="00022C37" w:rsidRDefault="00296447" w:rsidP="001B539F">
      <w:pPr>
        <w:spacing w:before="0"/>
        <w:ind w:left="284" w:hanging="284"/>
        <w:jc w:val="left"/>
      </w:pPr>
      <w:proofErr w:type="spellStart"/>
      <w:r>
        <w:t>Garea</w:t>
      </w:r>
      <w:proofErr w:type="spellEnd"/>
      <w:r>
        <w:t xml:space="preserve">, S. S., Drummond, A., Sauer, J. D., Hall, L. C., &amp; Williams, M. N. (2021). Meta-analysis of the relationship between problem gambling, excessive </w:t>
      </w:r>
      <w:proofErr w:type="gramStart"/>
      <w:r>
        <w:t>gaming</w:t>
      </w:r>
      <w:proofErr w:type="gramEnd"/>
      <w:r>
        <w:t xml:space="preserve"> and loot box spending. </w:t>
      </w:r>
      <w:r>
        <w:rPr>
          <w:i/>
        </w:rPr>
        <w:t>International Gambling Studies</w:t>
      </w:r>
      <w:r>
        <w:t xml:space="preserve">, 1–20. </w:t>
      </w:r>
      <w:hyperlink r:id="rId51" w:history="1">
        <w:r w:rsidR="00022C37" w:rsidRPr="008270B9">
          <w:rPr>
            <w:rStyle w:val="Hyperlink"/>
          </w:rPr>
          <w:t>doi.org/10.1080/14459795.2021.1914705</w:t>
        </w:r>
      </w:hyperlink>
    </w:p>
    <w:p w14:paraId="41700441" w14:textId="77777777" w:rsidR="00022C37" w:rsidRDefault="00296447" w:rsidP="001B539F">
      <w:pPr>
        <w:spacing w:before="0"/>
        <w:ind w:left="284" w:hanging="284"/>
        <w:jc w:val="left"/>
      </w:pPr>
      <w:r>
        <w:t xml:space="preserve">Gong, L., &amp; Rodda, S. N. (2020). An exploratory study of individual and parental techniques for limiting loot box consumption. </w:t>
      </w:r>
      <w:r>
        <w:rPr>
          <w:i/>
        </w:rPr>
        <w:t>International Journal of Mental Health and Addiction</w:t>
      </w:r>
      <w:r>
        <w:t xml:space="preserve">. </w:t>
      </w:r>
      <w:hyperlink r:id="rId52" w:history="1">
        <w:r w:rsidR="00022C37" w:rsidRPr="008270B9">
          <w:rPr>
            <w:rStyle w:val="Hyperlink"/>
          </w:rPr>
          <w:t>doi.org/10.1007/s11469-020-00370-5</w:t>
        </w:r>
      </w:hyperlink>
    </w:p>
    <w:p w14:paraId="016016FF" w14:textId="77777777" w:rsidR="00022C37" w:rsidRDefault="00296447" w:rsidP="001B539F">
      <w:pPr>
        <w:spacing w:before="0"/>
        <w:ind w:left="284" w:hanging="284"/>
        <w:jc w:val="left"/>
      </w:pPr>
      <w:r>
        <w:t xml:space="preserve">González-Cabrera, J., </w:t>
      </w:r>
      <w:proofErr w:type="spellStart"/>
      <w:r>
        <w:t>Basterra</w:t>
      </w:r>
      <w:proofErr w:type="spellEnd"/>
      <w:r>
        <w:t xml:space="preserve">-González, A., Montiel, I., </w:t>
      </w:r>
      <w:proofErr w:type="spellStart"/>
      <w:r>
        <w:t>Calvete</w:t>
      </w:r>
      <w:proofErr w:type="spellEnd"/>
      <w:r>
        <w:t xml:space="preserve">, E., Pontes, H. M., &amp; </w:t>
      </w:r>
      <w:proofErr w:type="spellStart"/>
      <w:r>
        <w:t>Machimbarrena</w:t>
      </w:r>
      <w:proofErr w:type="spellEnd"/>
      <w:r>
        <w:t xml:space="preserve">, J. M. (2022). Loot boxes in Spanish adolescents and young adults: Relationship with internet gaming disorder and online gambling disorder. </w:t>
      </w:r>
      <w:r>
        <w:rPr>
          <w:i/>
        </w:rPr>
        <w:t xml:space="preserve">Computers in Human </w:t>
      </w:r>
      <w:proofErr w:type="spellStart"/>
      <w:r>
        <w:rPr>
          <w:i/>
        </w:rPr>
        <w:t>Behavior</w:t>
      </w:r>
      <w:proofErr w:type="spellEnd"/>
      <w:r>
        <w:t xml:space="preserve">, </w:t>
      </w:r>
      <w:r>
        <w:rPr>
          <w:i/>
        </w:rPr>
        <w:t>126</w:t>
      </w:r>
      <w:r>
        <w:t xml:space="preserve">, 107012. </w:t>
      </w:r>
      <w:hyperlink r:id="rId53" w:history="1">
        <w:r w:rsidR="00022C37" w:rsidRPr="008270B9">
          <w:rPr>
            <w:rStyle w:val="Hyperlink"/>
          </w:rPr>
          <w:t>doi.org/10.1016/j.chb.2021.107012</w:t>
        </w:r>
      </w:hyperlink>
    </w:p>
    <w:p w14:paraId="5E5EDEE5" w14:textId="77777777" w:rsidR="00022C37" w:rsidRDefault="00296447" w:rsidP="001B539F">
      <w:pPr>
        <w:spacing w:before="0"/>
        <w:ind w:left="284" w:hanging="284"/>
        <w:jc w:val="left"/>
      </w:pPr>
      <w:r>
        <w:t>Hall, L. C., Drummond, A., Sauer, J. D., &amp; Ferguson, C. J. (2021). Effects of self-isolation and quarantine on loot box spending and excessive gaming</w:t>
      </w:r>
      <w:r w:rsidR="009C69A9">
        <w:t>: R</w:t>
      </w:r>
      <w:r>
        <w:t xml:space="preserve">esults of a natural experiment. </w:t>
      </w:r>
      <w:proofErr w:type="spellStart"/>
      <w:r>
        <w:rPr>
          <w:i/>
        </w:rPr>
        <w:t>PeerJ</w:t>
      </w:r>
      <w:proofErr w:type="spellEnd"/>
      <w:r>
        <w:t xml:space="preserve">, </w:t>
      </w:r>
      <w:r>
        <w:rPr>
          <w:i/>
        </w:rPr>
        <w:t>9</w:t>
      </w:r>
      <w:r>
        <w:t xml:space="preserve">, e10705. </w:t>
      </w:r>
      <w:hyperlink r:id="rId54" w:history="1">
        <w:r w:rsidR="00022C37" w:rsidRPr="008270B9">
          <w:rPr>
            <w:rStyle w:val="Hyperlink"/>
          </w:rPr>
          <w:t>doi.org/10.7717/peerj.10705</w:t>
        </w:r>
      </w:hyperlink>
    </w:p>
    <w:p w14:paraId="7899E21D" w14:textId="280C2343" w:rsidR="00FB105A" w:rsidRPr="0063253C" w:rsidRDefault="00FB105A" w:rsidP="00FB105A">
      <w:pPr>
        <w:spacing w:before="0"/>
        <w:ind w:left="284" w:hanging="284"/>
        <w:jc w:val="left"/>
        <w:rPr>
          <w:rFonts w:cs="Arial"/>
          <w:szCs w:val="20"/>
        </w:rPr>
      </w:pPr>
      <w:r w:rsidRPr="0063253C">
        <w:rPr>
          <w:rFonts w:cs="Arial"/>
          <w:szCs w:val="20"/>
        </w:rPr>
        <w:t>Hing, N., Russell, A. M. T., Browne, M</w:t>
      </w:r>
      <w:r w:rsidR="00DB5B54">
        <w:rPr>
          <w:rFonts w:cs="Arial"/>
          <w:szCs w:val="20"/>
        </w:rPr>
        <w:t>.</w:t>
      </w:r>
      <w:r w:rsidRPr="0063253C">
        <w:rPr>
          <w:rFonts w:cs="Arial"/>
          <w:szCs w:val="20"/>
        </w:rPr>
        <w:t xml:space="preserve">, </w:t>
      </w:r>
      <w:proofErr w:type="spellStart"/>
      <w:r w:rsidRPr="0063253C">
        <w:rPr>
          <w:rFonts w:cs="Arial"/>
          <w:szCs w:val="20"/>
        </w:rPr>
        <w:t>Rockloff</w:t>
      </w:r>
      <w:proofErr w:type="spellEnd"/>
      <w:r w:rsidRPr="0063253C">
        <w:rPr>
          <w:rFonts w:cs="Arial"/>
          <w:szCs w:val="20"/>
        </w:rPr>
        <w:t xml:space="preserve">, M., Greer, N., Rawat, V. </w:t>
      </w:r>
      <w:r w:rsidR="00DB5B54">
        <w:rPr>
          <w:rFonts w:cs="Arial"/>
          <w:szCs w:val="20"/>
        </w:rPr>
        <w:t>et al</w:t>
      </w:r>
      <w:r w:rsidRPr="0063253C">
        <w:rPr>
          <w:rFonts w:cs="Arial"/>
          <w:szCs w:val="20"/>
        </w:rPr>
        <w:t xml:space="preserve">. (2021). </w:t>
      </w:r>
      <w:r w:rsidRPr="0063253C">
        <w:rPr>
          <w:rFonts w:cs="Arial"/>
          <w:i/>
          <w:iCs/>
          <w:szCs w:val="20"/>
        </w:rPr>
        <w:t>The second national study of interactive gambling in Australia (2019</w:t>
      </w:r>
      <w:r w:rsidR="00DB5B54">
        <w:rPr>
          <w:rFonts w:cs="Arial"/>
          <w:i/>
          <w:iCs/>
          <w:szCs w:val="20"/>
        </w:rPr>
        <w:t>–</w:t>
      </w:r>
      <w:r w:rsidRPr="0063253C">
        <w:rPr>
          <w:rFonts w:cs="Arial"/>
          <w:i/>
          <w:iCs/>
          <w:szCs w:val="20"/>
        </w:rPr>
        <w:t>20)</w:t>
      </w:r>
      <w:r w:rsidRPr="0063253C">
        <w:rPr>
          <w:rFonts w:cs="Arial"/>
          <w:szCs w:val="20"/>
        </w:rPr>
        <w:t xml:space="preserve">. </w:t>
      </w:r>
      <w:r w:rsidR="00DB5B54">
        <w:rPr>
          <w:rFonts w:cs="Arial"/>
          <w:szCs w:val="20"/>
        </w:rPr>
        <w:t xml:space="preserve">Melbourne: </w:t>
      </w:r>
      <w:r w:rsidRPr="0063253C">
        <w:rPr>
          <w:rFonts w:cs="Arial"/>
          <w:szCs w:val="20"/>
        </w:rPr>
        <w:t>Gambling Research Australia.</w:t>
      </w:r>
    </w:p>
    <w:p w14:paraId="42845F8E" w14:textId="77777777" w:rsidR="004002EF" w:rsidRPr="0063253C" w:rsidRDefault="004002EF" w:rsidP="004002EF">
      <w:pPr>
        <w:spacing w:before="0"/>
        <w:ind w:left="284" w:hanging="284"/>
        <w:jc w:val="left"/>
        <w:rPr>
          <w:rFonts w:cs="Arial"/>
          <w:szCs w:val="20"/>
        </w:rPr>
      </w:pPr>
      <w:r w:rsidRPr="0063253C">
        <w:rPr>
          <w:rFonts w:cs="Arial"/>
          <w:szCs w:val="20"/>
        </w:rPr>
        <w:t xml:space="preserve">Hing, N., Russell, A. M. T., King, D. L., </w:t>
      </w:r>
      <w:proofErr w:type="spellStart"/>
      <w:r w:rsidRPr="0063253C">
        <w:rPr>
          <w:rFonts w:cs="Arial"/>
          <w:szCs w:val="20"/>
        </w:rPr>
        <w:t>Rockloff</w:t>
      </w:r>
      <w:proofErr w:type="spellEnd"/>
      <w:r w:rsidRPr="0063253C">
        <w:rPr>
          <w:rFonts w:cs="Arial"/>
          <w:szCs w:val="20"/>
        </w:rPr>
        <w:t xml:space="preserve">, M., Browne, M., Greer, N., </w:t>
      </w:r>
      <w:r w:rsidR="00DB5B54">
        <w:rPr>
          <w:rFonts w:cs="Arial"/>
          <w:szCs w:val="20"/>
        </w:rPr>
        <w:t>et al</w:t>
      </w:r>
      <w:r w:rsidRPr="0063253C">
        <w:rPr>
          <w:rFonts w:cs="Arial"/>
          <w:szCs w:val="20"/>
        </w:rPr>
        <w:t xml:space="preserve">. (2020). </w:t>
      </w:r>
      <w:r w:rsidRPr="0063253C">
        <w:rPr>
          <w:rFonts w:cs="Arial"/>
          <w:i/>
          <w:iCs/>
          <w:szCs w:val="20"/>
        </w:rPr>
        <w:t>NSW Youth Gambling Study 2020</w:t>
      </w:r>
      <w:r w:rsidRPr="0063253C">
        <w:rPr>
          <w:rFonts w:cs="Arial"/>
          <w:szCs w:val="20"/>
        </w:rPr>
        <w:t xml:space="preserve">. </w:t>
      </w:r>
      <w:r w:rsidR="00BE445E">
        <w:rPr>
          <w:rFonts w:cs="Arial"/>
          <w:szCs w:val="20"/>
        </w:rPr>
        <w:t>Haymarket</w:t>
      </w:r>
      <w:r w:rsidR="00C574DB">
        <w:rPr>
          <w:rFonts w:cs="Arial"/>
          <w:szCs w:val="20"/>
        </w:rPr>
        <w:t xml:space="preserve">, NSW: </w:t>
      </w:r>
      <w:r w:rsidRPr="0063253C">
        <w:rPr>
          <w:rFonts w:cs="Arial"/>
          <w:szCs w:val="20"/>
        </w:rPr>
        <w:t xml:space="preserve">NSW Responsible Gambling Fund. </w:t>
      </w:r>
    </w:p>
    <w:p w14:paraId="6B52AF83" w14:textId="77777777" w:rsidR="00022C37" w:rsidRDefault="00296447" w:rsidP="001B539F">
      <w:pPr>
        <w:spacing w:before="0"/>
        <w:ind w:left="284" w:hanging="284"/>
        <w:jc w:val="left"/>
      </w:pPr>
      <w:r>
        <w:t xml:space="preserve">Ide, S., Nakanishi, M., Yamasaki, S., Ikeda, K., Ando, S., </w:t>
      </w:r>
      <w:proofErr w:type="spellStart"/>
      <w:r>
        <w:t>Hiraiwa</w:t>
      </w:r>
      <w:proofErr w:type="spellEnd"/>
      <w:r>
        <w:t xml:space="preserve">-Hasegawa, M. </w:t>
      </w:r>
      <w:r w:rsidR="00C574DB">
        <w:t>et al</w:t>
      </w:r>
      <w:r>
        <w:t xml:space="preserve">. (2021). Adolescent </w:t>
      </w:r>
      <w:r w:rsidR="00C574DB">
        <w:t>problem gaming and loot box purchasing in video gam</w:t>
      </w:r>
      <w:r>
        <w:t xml:space="preserve">es: Cross-sectional </w:t>
      </w:r>
      <w:r w:rsidR="00C574DB">
        <w:t>observational study using population-based cohort data</w:t>
      </w:r>
      <w:r>
        <w:t xml:space="preserve">. </w:t>
      </w:r>
      <w:r>
        <w:rPr>
          <w:i/>
        </w:rPr>
        <w:t>JMIR Serious Games</w:t>
      </w:r>
      <w:r>
        <w:t xml:space="preserve">, </w:t>
      </w:r>
      <w:r>
        <w:rPr>
          <w:i/>
        </w:rPr>
        <w:t>9</w:t>
      </w:r>
      <w:r>
        <w:t xml:space="preserve">(1), e23886. </w:t>
      </w:r>
      <w:hyperlink r:id="rId55" w:history="1">
        <w:r w:rsidR="00022C37" w:rsidRPr="008270B9">
          <w:rPr>
            <w:rStyle w:val="Hyperlink"/>
          </w:rPr>
          <w:t>doi.org/10.2196/23886</w:t>
        </w:r>
      </w:hyperlink>
    </w:p>
    <w:p w14:paraId="5E242821" w14:textId="77777777" w:rsidR="00022C37" w:rsidRDefault="00296447" w:rsidP="001B539F">
      <w:pPr>
        <w:spacing w:before="0"/>
        <w:ind w:left="284" w:hanging="284"/>
        <w:jc w:val="left"/>
      </w:pPr>
      <w:r>
        <w:t xml:space="preserve">Kim, H. S., Hollingshead, S., &amp; Wohl, M. J. A. (2016). Who </w:t>
      </w:r>
      <w:r w:rsidR="00C574DB">
        <w:t>spends money to play for free</w:t>
      </w:r>
      <w:r>
        <w:t xml:space="preserve">? Identifying </w:t>
      </w:r>
      <w:r w:rsidR="00C574DB">
        <w:t>who makes micro-transactions on social casino games (and why</w:t>
      </w:r>
      <w:r>
        <w:t xml:space="preserve">). </w:t>
      </w:r>
      <w:r>
        <w:rPr>
          <w:i/>
        </w:rPr>
        <w:t>Journal of Gambling Studies</w:t>
      </w:r>
      <w:r>
        <w:t xml:space="preserve">. </w:t>
      </w:r>
      <w:hyperlink r:id="rId56" w:history="1">
        <w:r w:rsidR="00022C37" w:rsidRPr="008270B9">
          <w:rPr>
            <w:rStyle w:val="Hyperlink"/>
          </w:rPr>
          <w:t>doi.org/10.1007/s10899-016-9626-6</w:t>
        </w:r>
      </w:hyperlink>
    </w:p>
    <w:p w14:paraId="14C2AD96" w14:textId="77777777" w:rsidR="007A7145" w:rsidRPr="0020367F" w:rsidRDefault="007A7145" w:rsidP="007A7145">
      <w:pPr>
        <w:spacing w:before="0" w:line="280" w:lineRule="exact"/>
        <w:ind w:left="284" w:hanging="284"/>
        <w:jc w:val="left"/>
        <w:rPr>
          <w:rFonts w:cs="Arial"/>
          <w:szCs w:val="20"/>
        </w:rPr>
      </w:pPr>
      <w:r w:rsidRPr="0020367F">
        <w:rPr>
          <w:rFonts w:cs="Arial"/>
          <w:szCs w:val="20"/>
        </w:rPr>
        <w:t xml:space="preserve">Kim, H. S., Wohl, M. J. A., Gupta, R., &amp; </w:t>
      </w:r>
      <w:proofErr w:type="spellStart"/>
      <w:r w:rsidRPr="0020367F">
        <w:rPr>
          <w:rFonts w:cs="Arial"/>
          <w:szCs w:val="20"/>
        </w:rPr>
        <w:t>Derevensky</w:t>
      </w:r>
      <w:proofErr w:type="spellEnd"/>
      <w:r w:rsidRPr="0020367F">
        <w:rPr>
          <w:rFonts w:cs="Arial"/>
          <w:szCs w:val="20"/>
        </w:rPr>
        <w:t xml:space="preserve">, J. L. (2017). Why do young adults gamble online? A qualitative study of motivations to transition from social casino games to online gambling. </w:t>
      </w:r>
      <w:r w:rsidRPr="0020367F">
        <w:rPr>
          <w:rFonts w:cs="Arial"/>
          <w:i/>
          <w:szCs w:val="20"/>
        </w:rPr>
        <w:t>Asian Journal of Gambling Issues and Public Health</w:t>
      </w:r>
      <w:r w:rsidRPr="0020367F">
        <w:rPr>
          <w:rFonts w:cs="Arial"/>
          <w:szCs w:val="20"/>
        </w:rPr>
        <w:t xml:space="preserve">, </w:t>
      </w:r>
      <w:r w:rsidRPr="0020367F">
        <w:rPr>
          <w:rFonts w:cs="Arial"/>
          <w:i/>
          <w:szCs w:val="20"/>
        </w:rPr>
        <w:t>7</w:t>
      </w:r>
      <w:r w:rsidRPr="0020367F">
        <w:rPr>
          <w:rFonts w:cs="Arial"/>
          <w:szCs w:val="20"/>
        </w:rPr>
        <w:t xml:space="preserve">(1), 6. </w:t>
      </w:r>
      <w:hyperlink r:id="rId57" w:history="1">
        <w:r w:rsidRPr="0020367F">
          <w:rPr>
            <w:rStyle w:val="Hyperlink"/>
            <w:rFonts w:cs="Arial"/>
            <w:szCs w:val="20"/>
          </w:rPr>
          <w:t>doi.org/10.1186/s40405-017-0025-4</w:t>
        </w:r>
      </w:hyperlink>
    </w:p>
    <w:p w14:paraId="0B8A077F" w14:textId="77777777" w:rsidR="007A7145" w:rsidRPr="0020367F" w:rsidRDefault="007A7145" w:rsidP="007A7145">
      <w:pPr>
        <w:spacing w:before="0" w:line="280" w:lineRule="exact"/>
        <w:ind w:left="284" w:hanging="284"/>
        <w:jc w:val="left"/>
        <w:rPr>
          <w:rFonts w:cs="Arial"/>
          <w:szCs w:val="20"/>
        </w:rPr>
      </w:pPr>
      <w:r w:rsidRPr="0020367F">
        <w:rPr>
          <w:rFonts w:cs="Arial"/>
          <w:szCs w:val="20"/>
        </w:rPr>
        <w:lastRenderedPageBreak/>
        <w:t xml:space="preserve">Kim, H. S., Wohl, M. J. A., Salmon, M. M., Gupta, R., &amp; </w:t>
      </w:r>
      <w:proofErr w:type="spellStart"/>
      <w:r w:rsidRPr="0020367F">
        <w:rPr>
          <w:rFonts w:cs="Arial"/>
          <w:szCs w:val="20"/>
        </w:rPr>
        <w:t>Derevensky</w:t>
      </w:r>
      <w:proofErr w:type="spellEnd"/>
      <w:r w:rsidRPr="0020367F">
        <w:rPr>
          <w:rFonts w:cs="Arial"/>
          <w:szCs w:val="20"/>
        </w:rPr>
        <w:t xml:space="preserve">, J. (2015). Do social casino gamers migrate to online gambling? An assessment of migration rate and potential predictors. </w:t>
      </w:r>
      <w:r w:rsidRPr="0020367F">
        <w:rPr>
          <w:rFonts w:cs="Arial"/>
          <w:i/>
          <w:szCs w:val="20"/>
        </w:rPr>
        <w:t>Journal of Gambling Studies</w:t>
      </w:r>
      <w:r w:rsidRPr="0020367F">
        <w:rPr>
          <w:rFonts w:cs="Arial"/>
          <w:szCs w:val="20"/>
        </w:rPr>
        <w:t xml:space="preserve">, </w:t>
      </w:r>
      <w:r w:rsidRPr="0020367F">
        <w:rPr>
          <w:rFonts w:cs="Arial"/>
          <w:i/>
          <w:szCs w:val="20"/>
        </w:rPr>
        <w:t>31</w:t>
      </w:r>
      <w:r w:rsidRPr="0020367F">
        <w:rPr>
          <w:rFonts w:cs="Arial"/>
          <w:szCs w:val="20"/>
        </w:rPr>
        <w:t xml:space="preserve">(4), 1819–1831. </w:t>
      </w:r>
      <w:hyperlink r:id="rId58" w:history="1">
        <w:r w:rsidRPr="0020367F">
          <w:rPr>
            <w:rStyle w:val="Hyperlink"/>
            <w:rFonts w:cs="Arial"/>
            <w:szCs w:val="20"/>
          </w:rPr>
          <w:t>doi.org/10.1007/s10899-014-9511-0</w:t>
        </w:r>
      </w:hyperlink>
    </w:p>
    <w:p w14:paraId="2C24576D" w14:textId="77777777" w:rsidR="00F85DB9" w:rsidRDefault="00F85DB9" w:rsidP="00F85DB9">
      <w:pPr>
        <w:spacing w:before="0"/>
        <w:ind w:left="284" w:hanging="284"/>
        <w:jc w:val="left"/>
      </w:pPr>
      <w:r>
        <w:t>King, A., Wong-</w:t>
      </w:r>
      <w:proofErr w:type="spellStart"/>
      <w:r>
        <w:t>Padoongpatt</w:t>
      </w:r>
      <w:proofErr w:type="spellEnd"/>
      <w:r>
        <w:t xml:space="preserve">, G., </w:t>
      </w:r>
      <w:proofErr w:type="spellStart"/>
      <w:r>
        <w:t>Barrita</w:t>
      </w:r>
      <w:proofErr w:type="spellEnd"/>
      <w:r>
        <w:t xml:space="preserve">, A., Phung, D. T., &amp; Tong, T. (2020). Risk factors of problem gaming and gambling in US emerging adult non-students: The role of loot boxes, microtransactions, and risk-taking. </w:t>
      </w:r>
      <w:r>
        <w:rPr>
          <w:i/>
        </w:rPr>
        <w:t>Issues in Mental Health Nursing</w:t>
      </w:r>
      <w:r>
        <w:t xml:space="preserve">, 1–13. </w:t>
      </w:r>
      <w:hyperlink r:id="rId59" w:history="1">
        <w:r w:rsidRPr="008270B9">
          <w:rPr>
            <w:rStyle w:val="Hyperlink"/>
          </w:rPr>
          <w:t>doi.org/10.1080/01612840.2020.1803461</w:t>
        </w:r>
      </w:hyperlink>
    </w:p>
    <w:p w14:paraId="093AB77C" w14:textId="77777777" w:rsidR="006D43F4" w:rsidRDefault="006D43F4" w:rsidP="006D43F4">
      <w:pPr>
        <w:spacing w:before="0" w:line="280" w:lineRule="exact"/>
        <w:ind w:left="284" w:hanging="284"/>
        <w:jc w:val="left"/>
      </w:pPr>
      <w:r>
        <w:t xml:space="preserve">King, D. (2018). </w:t>
      </w:r>
      <w:r>
        <w:rPr>
          <w:i/>
        </w:rPr>
        <w:t>Online gaming and gambling in children and adolescents</w:t>
      </w:r>
      <w:r w:rsidR="00C574DB">
        <w:rPr>
          <w:i/>
        </w:rPr>
        <w:t>:</w:t>
      </w:r>
      <w:r>
        <w:rPr>
          <w:i/>
        </w:rPr>
        <w:t xml:space="preserve"> Normalising gambling in cyber places</w:t>
      </w:r>
      <w:r>
        <w:t xml:space="preserve">. </w:t>
      </w:r>
      <w:r w:rsidR="00C574DB">
        <w:t xml:space="preserve">Melbourne: </w:t>
      </w:r>
      <w:r>
        <w:t>Victorian Responsible Gambling Foundation.</w:t>
      </w:r>
    </w:p>
    <w:p w14:paraId="2C9DBD15" w14:textId="77777777" w:rsidR="00D37A3D" w:rsidRDefault="00D37A3D" w:rsidP="00D37A3D">
      <w:pPr>
        <w:spacing w:before="0"/>
        <w:ind w:left="284" w:hanging="284"/>
        <w:jc w:val="left"/>
      </w:pPr>
      <w:r>
        <w:t xml:space="preserve">King, D. L., &amp; </w:t>
      </w:r>
      <w:proofErr w:type="spellStart"/>
      <w:r>
        <w:t>Delfabbro</w:t>
      </w:r>
      <w:proofErr w:type="spellEnd"/>
      <w:r>
        <w:t xml:space="preserve">, P. H. (2016). Early exposure to digital simulated gambling: A review and conceptual model. </w:t>
      </w:r>
      <w:r>
        <w:rPr>
          <w:i/>
        </w:rPr>
        <w:t xml:space="preserve">Computers in Human </w:t>
      </w:r>
      <w:proofErr w:type="spellStart"/>
      <w:r>
        <w:rPr>
          <w:i/>
        </w:rPr>
        <w:t>Behavior</w:t>
      </w:r>
      <w:proofErr w:type="spellEnd"/>
      <w:r>
        <w:t xml:space="preserve">, </w:t>
      </w:r>
      <w:r>
        <w:rPr>
          <w:i/>
        </w:rPr>
        <w:t>55</w:t>
      </w:r>
      <w:r>
        <w:t xml:space="preserve">, 198–206. </w:t>
      </w:r>
      <w:hyperlink r:id="rId60" w:history="1">
        <w:r w:rsidRPr="00CD408E">
          <w:rPr>
            <w:rStyle w:val="Hyperlink"/>
          </w:rPr>
          <w:t>doi.org/10.1016/j.chb.2015.09.012</w:t>
        </w:r>
      </w:hyperlink>
    </w:p>
    <w:p w14:paraId="1E31A8EF" w14:textId="77777777" w:rsidR="00612EC2" w:rsidRPr="0020367F" w:rsidRDefault="00612EC2" w:rsidP="00612EC2">
      <w:pPr>
        <w:spacing w:before="0" w:line="280" w:lineRule="exact"/>
        <w:ind w:left="284" w:hanging="284"/>
        <w:jc w:val="left"/>
        <w:rPr>
          <w:rFonts w:cs="Arial"/>
          <w:szCs w:val="20"/>
        </w:rPr>
      </w:pPr>
      <w:r w:rsidRPr="0020367F">
        <w:rPr>
          <w:rFonts w:cs="Arial"/>
          <w:szCs w:val="20"/>
        </w:rPr>
        <w:t xml:space="preserve">King, D. L., &amp; </w:t>
      </w:r>
      <w:proofErr w:type="spellStart"/>
      <w:r w:rsidRPr="0020367F">
        <w:rPr>
          <w:rFonts w:cs="Arial"/>
          <w:szCs w:val="20"/>
        </w:rPr>
        <w:t>Delfabbro</w:t>
      </w:r>
      <w:proofErr w:type="spellEnd"/>
      <w:r w:rsidRPr="0020367F">
        <w:rPr>
          <w:rFonts w:cs="Arial"/>
          <w:szCs w:val="20"/>
        </w:rPr>
        <w:t xml:space="preserve">, P. H. (2018a). Predatory monetization schemes in video games (e.g. ‘loot boxes’) and internet gaming disorder. </w:t>
      </w:r>
      <w:r w:rsidRPr="0020367F">
        <w:rPr>
          <w:rFonts w:cs="Arial"/>
          <w:i/>
          <w:iCs/>
          <w:szCs w:val="20"/>
        </w:rPr>
        <w:t>Addiction</w:t>
      </w:r>
      <w:r w:rsidRPr="0020367F">
        <w:rPr>
          <w:rFonts w:cs="Arial"/>
          <w:szCs w:val="20"/>
        </w:rPr>
        <w:t xml:space="preserve">, </w:t>
      </w:r>
      <w:r w:rsidRPr="0020367F">
        <w:rPr>
          <w:rFonts w:cs="Arial"/>
          <w:i/>
          <w:iCs/>
          <w:szCs w:val="20"/>
        </w:rPr>
        <w:t>113</w:t>
      </w:r>
      <w:r w:rsidRPr="0020367F">
        <w:rPr>
          <w:rFonts w:cs="Arial"/>
          <w:szCs w:val="20"/>
        </w:rPr>
        <w:t>(11), 1967–1969. doi.org/10.1111/add.14286</w:t>
      </w:r>
    </w:p>
    <w:p w14:paraId="722AAD91" w14:textId="77777777" w:rsidR="00612EC2" w:rsidRPr="0020367F" w:rsidRDefault="00612EC2" w:rsidP="00612EC2">
      <w:pPr>
        <w:spacing w:before="0" w:line="280" w:lineRule="exact"/>
        <w:ind w:left="284" w:hanging="284"/>
        <w:jc w:val="left"/>
        <w:rPr>
          <w:rStyle w:val="Hyperlink"/>
          <w:rFonts w:cs="Arial"/>
          <w:szCs w:val="20"/>
        </w:rPr>
      </w:pPr>
      <w:r w:rsidRPr="0020367F">
        <w:rPr>
          <w:rFonts w:cs="Arial"/>
          <w:szCs w:val="20"/>
        </w:rPr>
        <w:t xml:space="preserve">King, D. L., &amp; </w:t>
      </w:r>
      <w:proofErr w:type="spellStart"/>
      <w:r w:rsidRPr="0020367F">
        <w:rPr>
          <w:rFonts w:cs="Arial"/>
          <w:szCs w:val="20"/>
        </w:rPr>
        <w:t>Delfabbro</w:t>
      </w:r>
      <w:proofErr w:type="spellEnd"/>
      <w:r w:rsidRPr="0020367F">
        <w:rPr>
          <w:rFonts w:cs="Arial"/>
          <w:szCs w:val="20"/>
        </w:rPr>
        <w:t xml:space="preserve">, P. H. (2018b). Video game monetization (e.g. ‘loot boxes’): A blueprint for practical social responsibility measures. </w:t>
      </w:r>
      <w:r w:rsidRPr="0020367F">
        <w:rPr>
          <w:rFonts w:cs="Arial"/>
          <w:i/>
          <w:szCs w:val="20"/>
        </w:rPr>
        <w:t>International Journal of Mental Health and Addiction</w:t>
      </w:r>
      <w:r w:rsidRPr="0020367F">
        <w:rPr>
          <w:rFonts w:cs="Arial"/>
          <w:szCs w:val="20"/>
        </w:rPr>
        <w:t xml:space="preserve">, </w:t>
      </w:r>
      <w:r w:rsidRPr="0020367F">
        <w:rPr>
          <w:rFonts w:cs="Arial"/>
          <w:i/>
          <w:szCs w:val="20"/>
        </w:rPr>
        <w:t>17</w:t>
      </w:r>
      <w:r w:rsidRPr="0020367F">
        <w:rPr>
          <w:rFonts w:cs="Arial"/>
          <w:szCs w:val="20"/>
        </w:rPr>
        <w:t xml:space="preserve">(1), 166–179. </w:t>
      </w:r>
      <w:hyperlink r:id="rId61" w:history="1">
        <w:r w:rsidRPr="0020367F">
          <w:rPr>
            <w:rStyle w:val="Hyperlink"/>
            <w:rFonts w:cs="Arial"/>
            <w:szCs w:val="20"/>
          </w:rPr>
          <w:t>doi.org/10.1007/s11469-018-0009-3</w:t>
        </w:r>
      </w:hyperlink>
    </w:p>
    <w:p w14:paraId="3A6B8879" w14:textId="77777777" w:rsidR="005F6D37" w:rsidRDefault="005F6D37" w:rsidP="005F6D37">
      <w:pPr>
        <w:spacing w:before="0" w:line="280" w:lineRule="exact"/>
        <w:ind w:left="284" w:hanging="284"/>
        <w:jc w:val="left"/>
      </w:pPr>
      <w:r>
        <w:t xml:space="preserve">King, D. L., &amp; </w:t>
      </w:r>
      <w:proofErr w:type="spellStart"/>
      <w:r>
        <w:t>Delfabbro</w:t>
      </w:r>
      <w:proofErr w:type="spellEnd"/>
      <w:r>
        <w:t xml:space="preserve">, P. H. (2020). The convergence of gambling and monetised gaming activities. </w:t>
      </w:r>
      <w:r>
        <w:rPr>
          <w:i/>
        </w:rPr>
        <w:t xml:space="preserve">Current Opinion in </w:t>
      </w:r>
      <w:proofErr w:type="spellStart"/>
      <w:r>
        <w:rPr>
          <w:i/>
        </w:rPr>
        <w:t>Behavioral</w:t>
      </w:r>
      <w:proofErr w:type="spellEnd"/>
      <w:r>
        <w:rPr>
          <w:i/>
        </w:rPr>
        <w:t xml:space="preserve"> Sciences</w:t>
      </w:r>
      <w:r>
        <w:t xml:space="preserve">, </w:t>
      </w:r>
      <w:r>
        <w:rPr>
          <w:i/>
        </w:rPr>
        <w:t>31</w:t>
      </w:r>
      <w:r>
        <w:t xml:space="preserve">, 32–36. </w:t>
      </w:r>
      <w:hyperlink r:id="rId62" w:history="1">
        <w:r w:rsidRPr="008145B3">
          <w:rPr>
            <w:rStyle w:val="Hyperlink"/>
          </w:rPr>
          <w:t>doi.org/10.1016/j.cobeha.2019.10.001</w:t>
        </w:r>
      </w:hyperlink>
    </w:p>
    <w:p w14:paraId="614352D1" w14:textId="77777777" w:rsidR="00745A26" w:rsidRPr="0020367F" w:rsidRDefault="00745A26" w:rsidP="00745A26">
      <w:pPr>
        <w:spacing w:before="0" w:line="280" w:lineRule="exact"/>
        <w:ind w:left="284" w:hanging="284"/>
        <w:jc w:val="left"/>
        <w:rPr>
          <w:rFonts w:cs="Arial"/>
          <w:szCs w:val="20"/>
        </w:rPr>
      </w:pPr>
      <w:r w:rsidRPr="0020367F">
        <w:rPr>
          <w:rFonts w:cs="Arial"/>
          <w:szCs w:val="20"/>
        </w:rPr>
        <w:t xml:space="preserve">King, D. L., </w:t>
      </w:r>
      <w:proofErr w:type="spellStart"/>
      <w:r w:rsidRPr="0020367F">
        <w:rPr>
          <w:rFonts w:cs="Arial"/>
          <w:szCs w:val="20"/>
        </w:rPr>
        <w:t>Delfabbro</w:t>
      </w:r>
      <w:proofErr w:type="spellEnd"/>
      <w:r w:rsidRPr="0020367F">
        <w:rPr>
          <w:rFonts w:cs="Arial"/>
          <w:szCs w:val="20"/>
        </w:rPr>
        <w:t xml:space="preserve">, P. H., </w:t>
      </w:r>
      <w:proofErr w:type="spellStart"/>
      <w:r w:rsidRPr="0020367F">
        <w:rPr>
          <w:rFonts w:cs="Arial"/>
          <w:szCs w:val="20"/>
        </w:rPr>
        <w:t>Gainsbury</w:t>
      </w:r>
      <w:proofErr w:type="spellEnd"/>
      <w:r w:rsidRPr="0020367F">
        <w:rPr>
          <w:rFonts w:cs="Arial"/>
          <w:szCs w:val="20"/>
        </w:rPr>
        <w:t xml:space="preserve">, S. M., Dreier, M., Greer, N., &amp; </w:t>
      </w:r>
      <w:proofErr w:type="spellStart"/>
      <w:r w:rsidRPr="0020367F">
        <w:rPr>
          <w:rFonts w:cs="Arial"/>
          <w:szCs w:val="20"/>
        </w:rPr>
        <w:t>Billieux</w:t>
      </w:r>
      <w:proofErr w:type="spellEnd"/>
      <w:r w:rsidRPr="0020367F">
        <w:rPr>
          <w:rFonts w:cs="Arial"/>
          <w:szCs w:val="20"/>
        </w:rPr>
        <w:t xml:space="preserve">, J. (2019). Unfair play? Video games as exploitative monetized services: An examination of game patents from a consumer protection perspective. </w:t>
      </w:r>
      <w:r w:rsidRPr="0020367F">
        <w:rPr>
          <w:rFonts w:cs="Arial"/>
          <w:i/>
          <w:szCs w:val="20"/>
        </w:rPr>
        <w:t xml:space="preserve">Computers in Human </w:t>
      </w:r>
      <w:proofErr w:type="spellStart"/>
      <w:r w:rsidRPr="0020367F">
        <w:rPr>
          <w:rFonts w:cs="Arial"/>
          <w:i/>
          <w:szCs w:val="20"/>
        </w:rPr>
        <w:t>Behavior</w:t>
      </w:r>
      <w:proofErr w:type="spellEnd"/>
      <w:r w:rsidRPr="0020367F">
        <w:rPr>
          <w:rFonts w:cs="Arial"/>
          <w:szCs w:val="20"/>
        </w:rPr>
        <w:t xml:space="preserve">, </w:t>
      </w:r>
      <w:r w:rsidRPr="0020367F">
        <w:rPr>
          <w:rFonts w:cs="Arial"/>
          <w:i/>
          <w:szCs w:val="20"/>
        </w:rPr>
        <w:t>101</w:t>
      </w:r>
      <w:r w:rsidRPr="0020367F">
        <w:rPr>
          <w:rFonts w:cs="Arial"/>
          <w:szCs w:val="20"/>
        </w:rPr>
        <w:t xml:space="preserve">, 131–143. </w:t>
      </w:r>
      <w:hyperlink r:id="rId63" w:history="1">
        <w:r w:rsidRPr="0020367F">
          <w:rPr>
            <w:rStyle w:val="Hyperlink"/>
            <w:rFonts w:cs="Arial"/>
            <w:szCs w:val="20"/>
          </w:rPr>
          <w:t>doi.org/10.1016/j.chb.2019.07.017</w:t>
        </w:r>
      </w:hyperlink>
    </w:p>
    <w:p w14:paraId="4A5F6C7D" w14:textId="3E954215" w:rsidR="00D37A3D" w:rsidRDefault="00D37A3D" w:rsidP="001B539F">
      <w:pPr>
        <w:spacing w:before="0"/>
        <w:ind w:left="284" w:hanging="284"/>
        <w:jc w:val="left"/>
      </w:pPr>
      <w:r>
        <w:t xml:space="preserve">King, D. L., </w:t>
      </w:r>
      <w:proofErr w:type="spellStart"/>
      <w:r>
        <w:t>Delfabbro</w:t>
      </w:r>
      <w:proofErr w:type="spellEnd"/>
      <w:r>
        <w:t xml:space="preserve">, P. H., </w:t>
      </w:r>
      <w:proofErr w:type="spellStart"/>
      <w:r>
        <w:t>Kaptsis</w:t>
      </w:r>
      <w:proofErr w:type="spellEnd"/>
      <w:r>
        <w:t xml:space="preserve">, D., &amp; </w:t>
      </w:r>
      <w:proofErr w:type="spellStart"/>
      <w:r>
        <w:t>Zwaans</w:t>
      </w:r>
      <w:proofErr w:type="spellEnd"/>
      <w:r>
        <w:t xml:space="preserve">, T. (2014). Adolescent simulated gambling via digital and social media: An emerging problem. </w:t>
      </w:r>
      <w:r>
        <w:rPr>
          <w:i/>
        </w:rPr>
        <w:t xml:space="preserve">Computers in Human </w:t>
      </w:r>
      <w:proofErr w:type="spellStart"/>
      <w:r>
        <w:rPr>
          <w:i/>
        </w:rPr>
        <w:t>Behavior</w:t>
      </w:r>
      <w:proofErr w:type="spellEnd"/>
      <w:r>
        <w:t xml:space="preserve">, </w:t>
      </w:r>
      <w:r>
        <w:rPr>
          <w:i/>
        </w:rPr>
        <w:t>31</w:t>
      </w:r>
      <w:r>
        <w:t xml:space="preserve">, 305–313. </w:t>
      </w:r>
      <w:hyperlink r:id="rId64" w:history="1">
        <w:r w:rsidRPr="008270B9">
          <w:rPr>
            <w:rStyle w:val="Hyperlink"/>
          </w:rPr>
          <w:t>doi.org/10.1016/j.chb.2013.10.048</w:t>
        </w:r>
      </w:hyperlink>
    </w:p>
    <w:p w14:paraId="49D1CBC7" w14:textId="77777777" w:rsidR="00D37A3D" w:rsidRDefault="00D37A3D" w:rsidP="001B539F">
      <w:pPr>
        <w:spacing w:before="0"/>
        <w:ind w:left="284" w:hanging="284"/>
        <w:jc w:val="left"/>
      </w:pPr>
      <w:r>
        <w:t xml:space="preserve">King, D. L., Russell, A. M. T., </w:t>
      </w:r>
      <w:proofErr w:type="spellStart"/>
      <w:r>
        <w:t>Delfabbro</w:t>
      </w:r>
      <w:proofErr w:type="spellEnd"/>
      <w:r>
        <w:t xml:space="preserve">, P. H., &amp; </w:t>
      </w:r>
      <w:proofErr w:type="spellStart"/>
      <w:r>
        <w:t>Polisena</w:t>
      </w:r>
      <w:proofErr w:type="spellEnd"/>
      <w:r>
        <w:t xml:space="preserve">, D. (2020). Fortnite microtransaction spending was associated with peers’ purchasing </w:t>
      </w:r>
      <w:proofErr w:type="spellStart"/>
      <w:r>
        <w:t>behaviors</w:t>
      </w:r>
      <w:proofErr w:type="spellEnd"/>
      <w:r>
        <w:t xml:space="preserve"> but not gaming disorder symptoms. </w:t>
      </w:r>
      <w:r>
        <w:rPr>
          <w:i/>
        </w:rPr>
        <w:t xml:space="preserve">Addictive </w:t>
      </w:r>
      <w:proofErr w:type="spellStart"/>
      <w:r>
        <w:rPr>
          <w:i/>
        </w:rPr>
        <w:t>Behaviors</w:t>
      </w:r>
      <w:proofErr w:type="spellEnd"/>
      <w:r>
        <w:t xml:space="preserve">, </w:t>
      </w:r>
      <w:r>
        <w:rPr>
          <w:i/>
        </w:rPr>
        <w:t>104</w:t>
      </w:r>
      <w:r>
        <w:t xml:space="preserve">, 106311. </w:t>
      </w:r>
      <w:hyperlink r:id="rId65" w:history="1">
        <w:r w:rsidRPr="008270B9">
          <w:rPr>
            <w:rStyle w:val="Hyperlink"/>
          </w:rPr>
          <w:t>doi.org/10.1016/j.addbeh.2020.106311</w:t>
        </w:r>
      </w:hyperlink>
    </w:p>
    <w:p w14:paraId="10837F5E" w14:textId="77777777" w:rsidR="00D37A3D" w:rsidRDefault="00D37A3D" w:rsidP="001B539F">
      <w:pPr>
        <w:spacing w:before="0"/>
        <w:ind w:left="284" w:hanging="284"/>
        <w:jc w:val="left"/>
      </w:pPr>
      <w:r>
        <w:t xml:space="preserve">King, D. L., Russell, A., </w:t>
      </w:r>
      <w:proofErr w:type="spellStart"/>
      <w:r>
        <w:t>Gainsbury</w:t>
      </w:r>
      <w:proofErr w:type="spellEnd"/>
      <w:r>
        <w:t xml:space="preserve">, S., </w:t>
      </w:r>
      <w:proofErr w:type="spellStart"/>
      <w:r>
        <w:t>Delfabbro</w:t>
      </w:r>
      <w:proofErr w:type="spellEnd"/>
      <w:r>
        <w:t xml:space="preserve">, P. H., &amp; Hing, N. (2016). The cost of virtual wins: An examination of gambling-related risks in youth who spend money on social casino games. </w:t>
      </w:r>
      <w:r>
        <w:rPr>
          <w:i/>
        </w:rPr>
        <w:t xml:space="preserve">Journal of </w:t>
      </w:r>
      <w:proofErr w:type="spellStart"/>
      <w:r>
        <w:rPr>
          <w:i/>
        </w:rPr>
        <w:t>Behavioral</w:t>
      </w:r>
      <w:proofErr w:type="spellEnd"/>
      <w:r>
        <w:rPr>
          <w:i/>
        </w:rPr>
        <w:t xml:space="preserve"> Addictions</w:t>
      </w:r>
      <w:r>
        <w:t xml:space="preserve">, </w:t>
      </w:r>
      <w:r>
        <w:rPr>
          <w:i/>
        </w:rPr>
        <w:t>5</w:t>
      </w:r>
      <w:r>
        <w:t xml:space="preserve">(3), 401–409. </w:t>
      </w:r>
      <w:hyperlink r:id="rId66" w:history="1">
        <w:r w:rsidRPr="008270B9">
          <w:rPr>
            <w:rStyle w:val="Hyperlink"/>
          </w:rPr>
          <w:t>doi.org/10.1556/2006.5.2016.067</w:t>
        </w:r>
      </w:hyperlink>
    </w:p>
    <w:p w14:paraId="54083632" w14:textId="77777777" w:rsidR="0056494E" w:rsidRPr="0020367F" w:rsidRDefault="0056494E" w:rsidP="0056494E">
      <w:pPr>
        <w:spacing w:before="0" w:line="280" w:lineRule="exact"/>
        <w:ind w:left="284" w:hanging="284"/>
        <w:jc w:val="left"/>
        <w:rPr>
          <w:rFonts w:cs="Arial"/>
          <w:szCs w:val="20"/>
        </w:rPr>
      </w:pPr>
      <w:r w:rsidRPr="0020367F">
        <w:rPr>
          <w:rFonts w:cs="Arial"/>
          <w:szCs w:val="20"/>
        </w:rPr>
        <w:t xml:space="preserve">King, D. L., Russell, A., &amp; Hing, N. (2020). Adolescent land-based and internet gambling: Australian and international prevalence rates and measurement issues. </w:t>
      </w:r>
      <w:r w:rsidRPr="0020367F">
        <w:rPr>
          <w:rFonts w:cs="Arial"/>
          <w:i/>
          <w:szCs w:val="20"/>
        </w:rPr>
        <w:t>Current Addiction Reports</w:t>
      </w:r>
      <w:r w:rsidRPr="0020367F">
        <w:rPr>
          <w:rFonts w:cs="Arial"/>
          <w:szCs w:val="20"/>
        </w:rPr>
        <w:t xml:space="preserve">, </w:t>
      </w:r>
      <w:r w:rsidRPr="0020367F">
        <w:rPr>
          <w:rFonts w:cs="Arial"/>
          <w:i/>
          <w:szCs w:val="20"/>
        </w:rPr>
        <w:t>7</w:t>
      </w:r>
      <w:r w:rsidRPr="0020367F">
        <w:rPr>
          <w:rFonts w:cs="Arial"/>
          <w:szCs w:val="20"/>
        </w:rPr>
        <w:t xml:space="preserve">(2), 137–148. </w:t>
      </w:r>
      <w:hyperlink r:id="rId67" w:history="1">
        <w:r w:rsidRPr="0020367F">
          <w:rPr>
            <w:rStyle w:val="Hyperlink"/>
            <w:rFonts w:cs="Arial"/>
            <w:szCs w:val="20"/>
          </w:rPr>
          <w:t>doi.org/10.1007/s40429-020-00311-1</w:t>
        </w:r>
      </w:hyperlink>
    </w:p>
    <w:p w14:paraId="1FB9E61C" w14:textId="13D60935" w:rsidR="00C43515" w:rsidRDefault="00296447" w:rsidP="001B539F">
      <w:pPr>
        <w:spacing w:before="0"/>
        <w:ind w:left="284" w:hanging="284"/>
        <w:jc w:val="left"/>
      </w:pPr>
      <w:r>
        <w:t xml:space="preserve">Kleinman, R. A., &amp; Das, S. (2020). Excessive </w:t>
      </w:r>
      <w:r w:rsidR="00F85DB9">
        <w:t>spending in a ‘free-to-play’ smartphone game</w:t>
      </w:r>
      <w:r>
        <w:t xml:space="preserve">. </w:t>
      </w:r>
      <w:r>
        <w:rPr>
          <w:i/>
        </w:rPr>
        <w:t>The American Journal on Addictions / American Academy of Psychiatrists in Alcoholism and Addictions</w:t>
      </w:r>
      <w:r>
        <w:t xml:space="preserve">, </w:t>
      </w:r>
      <w:r>
        <w:rPr>
          <w:i/>
        </w:rPr>
        <w:t>29</w:t>
      </w:r>
      <w:r>
        <w:t xml:space="preserve">(6), 528–530. </w:t>
      </w:r>
      <w:hyperlink r:id="rId68" w:history="1">
        <w:r w:rsidR="00C43515" w:rsidRPr="008270B9">
          <w:rPr>
            <w:rStyle w:val="Hyperlink"/>
          </w:rPr>
          <w:t>doi.org/10.1111/ajad.13049</w:t>
        </w:r>
      </w:hyperlink>
    </w:p>
    <w:p w14:paraId="39BD730D" w14:textId="77777777" w:rsidR="00C43515" w:rsidRDefault="00296447" w:rsidP="001B539F">
      <w:pPr>
        <w:spacing w:before="0"/>
        <w:ind w:left="284" w:hanging="284"/>
        <w:jc w:val="left"/>
      </w:pPr>
      <w:proofErr w:type="spellStart"/>
      <w:r>
        <w:t>Kolandai-Matchett</w:t>
      </w:r>
      <w:proofErr w:type="spellEnd"/>
      <w:r>
        <w:t>, K., &amp; Abbott, M.</w:t>
      </w:r>
      <w:r w:rsidR="002117A5">
        <w:t xml:space="preserve"> W.</w:t>
      </w:r>
      <w:r>
        <w:t xml:space="preserve"> (2021). Gaming-gambling convergence: Trends, emerging risks, and legislative responses. </w:t>
      </w:r>
      <w:r>
        <w:rPr>
          <w:i/>
        </w:rPr>
        <w:t>International Journal of Mental Health and Addiction</w:t>
      </w:r>
      <w:r>
        <w:t xml:space="preserve">. </w:t>
      </w:r>
      <w:hyperlink r:id="rId69" w:history="1">
        <w:r w:rsidR="00C43515" w:rsidRPr="008270B9">
          <w:rPr>
            <w:rStyle w:val="Hyperlink"/>
          </w:rPr>
          <w:t>doi.org/10.1007/s11469-021-00498-y</w:t>
        </w:r>
      </w:hyperlink>
    </w:p>
    <w:p w14:paraId="33F37A03" w14:textId="77777777" w:rsidR="00C43515" w:rsidRDefault="00296447" w:rsidP="001B539F">
      <w:pPr>
        <w:spacing w:before="0"/>
        <w:ind w:left="284" w:hanging="284"/>
        <w:jc w:val="left"/>
      </w:pPr>
      <w:r>
        <w:t xml:space="preserve">Kristiansen, S., &amp; Severin, M. C. (2020a). Exploring groups of simulated gambling behaviour: </w:t>
      </w:r>
      <w:r w:rsidR="00F85DB9">
        <w:t xml:space="preserve">A </w:t>
      </w:r>
      <w:r>
        <w:t xml:space="preserve">typological study among Danish adolescents. </w:t>
      </w:r>
      <w:r>
        <w:rPr>
          <w:i/>
        </w:rPr>
        <w:t>International Gambling Studies</w:t>
      </w:r>
      <w:r>
        <w:t xml:space="preserve">, </w:t>
      </w:r>
      <w:r>
        <w:rPr>
          <w:i/>
        </w:rPr>
        <w:t>20</w:t>
      </w:r>
      <w:r>
        <w:t xml:space="preserve">(1), 135–150. </w:t>
      </w:r>
      <w:hyperlink r:id="rId70" w:history="1">
        <w:r w:rsidR="00C43515" w:rsidRPr="008270B9">
          <w:rPr>
            <w:rStyle w:val="Hyperlink"/>
          </w:rPr>
          <w:t>doi.org/10.1080/14459795.2019.1697344</w:t>
        </w:r>
      </w:hyperlink>
    </w:p>
    <w:p w14:paraId="1E9C9916" w14:textId="77777777" w:rsidR="00C43515" w:rsidRDefault="00296447" w:rsidP="001B539F">
      <w:pPr>
        <w:spacing w:before="0"/>
        <w:ind w:left="284" w:hanging="284"/>
        <w:jc w:val="left"/>
      </w:pPr>
      <w:r>
        <w:t xml:space="preserve">Kristiansen, S., &amp; Severin, M. C. (2020b). Loot box engagement and problem gambling among adolescent gamers: Findings from a national survey. </w:t>
      </w:r>
      <w:r>
        <w:rPr>
          <w:i/>
        </w:rPr>
        <w:t xml:space="preserve">Addictive </w:t>
      </w:r>
      <w:proofErr w:type="spellStart"/>
      <w:r>
        <w:rPr>
          <w:i/>
        </w:rPr>
        <w:t>Behaviors</w:t>
      </w:r>
      <w:proofErr w:type="spellEnd"/>
      <w:r>
        <w:t xml:space="preserve">, </w:t>
      </w:r>
      <w:r>
        <w:rPr>
          <w:i/>
        </w:rPr>
        <w:t>103</w:t>
      </w:r>
      <w:r>
        <w:t xml:space="preserve">, 106254. </w:t>
      </w:r>
      <w:hyperlink r:id="rId71" w:history="1">
        <w:r w:rsidR="00C43515" w:rsidRPr="008270B9">
          <w:rPr>
            <w:rStyle w:val="Hyperlink"/>
          </w:rPr>
          <w:t>doi.org/10.1016/j.addbeh.2019.106254</w:t>
        </w:r>
      </w:hyperlink>
    </w:p>
    <w:p w14:paraId="78A9AC38" w14:textId="77777777" w:rsidR="00E95FAD" w:rsidRDefault="00E95FAD" w:rsidP="00E95FAD">
      <w:pPr>
        <w:spacing w:before="0"/>
        <w:ind w:left="284" w:hanging="284"/>
        <w:jc w:val="left"/>
      </w:pPr>
      <w:proofErr w:type="spellStart"/>
      <w:r w:rsidRPr="00F03E4F">
        <w:lastRenderedPageBreak/>
        <w:t>Lelonek-Kuleta</w:t>
      </w:r>
      <w:proofErr w:type="spellEnd"/>
      <w:r w:rsidRPr="00F03E4F">
        <w:t xml:space="preserve">, B., &amp; </w:t>
      </w:r>
      <w:proofErr w:type="spellStart"/>
      <w:r w:rsidRPr="00F03E4F">
        <w:t>Bartczuk</w:t>
      </w:r>
      <w:proofErr w:type="spellEnd"/>
      <w:r w:rsidRPr="00F03E4F">
        <w:t xml:space="preserve">, R. P. (2021). Online gambling activity, pay-to-win payments, motivation to gamble and coping strategies as predictors of gambling disorder among e-sports bettors. </w:t>
      </w:r>
      <w:r w:rsidRPr="00F03E4F">
        <w:rPr>
          <w:i/>
          <w:iCs/>
        </w:rPr>
        <w:t>Journal of Gambling Studies, 37</w:t>
      </w:r>
      <w:r w:rsidRPr="00F03E4F">
        <w:t>(4), 1079</w:t>
      </w:r>
      <w:r>
        <w:t>–</w:t>
      </w:r>
      <w:r w:rsidRPr="00F03E4F">
        <w:t>1098. doi:10.1007/s10899-021-10015-4</w:t>
      </w:r>
    </w:p>
    <w:p w14:paraId="2040C846" w14:textId="77777777" w:rsidR="00C43515" w:rsidRDefault="00296447" w:rsidP="001B539F">
      <w:pPr>
        <w:spacing w:before="0"/>
        <w:ind w:left="284" w:hanging="284"/>
        <w:jc w:val="left"/>
      </w:pPr>
      <w:proofErr w:type="spellStart"/>
      <w:r>
        <w:t>Lelonek-Kuleta</w:t>
      </w:r>
      <w:proofErr w:type="spellEnd"/>
      <w:r>
        <w:t xml:space="preserve">, B., </w:t>
      </w:r>
      <w:proofErr w:type="spellStart"/>
      <w:r>
        <w:t>Bartczuk</w:t>
      </w:r>
      <w:proofErr w:type="spellEnd"/>
      <w:r>
        <w:t xml:space="preserve">, R. P., &amp; </w:t>
      </w:r>
      <w:proofErr w:type="spellStart"/>
      <w:r>
        <w:t>Wiechetek</w:t>
      </w:r>
      <w:proofErr w:type="spellEnd"/>
      <w:r>
        <w:t>, M. (2021). Pay for play</w:t>
      </w:r>
      <w:r w:rsidR="00E95FAD">
        <w:t xml:space="preserve">: </w:t>
      </w:r>
      <w:r>
        <w:t xml:space="preserve">Behavioural patterns of pay-to-win gaming. </w:t>
      </w:r>
      <w:r>
        <w:rPr>
          <w:i/>
        </w:rPr>
        <w:t xml:space="preserve">Computers in Human </w:t>
      </w:r>
      <w:proofErr w:type="spellStart"/>
      <w:r>
        <w:rPr>
          <w:i/>
        </w:rPr>
        <w:t>Behavior</w:t>
      </w:r>
      <w:proofErr w:type="spellEnd"/>
      <w:r>
        <w:t xml:space="preserve">, </w:t>
      </w:r>
      <w:r>
        <w:rPr>
          <w:i/>
        </w:rPr>
        <w:t>115</w:t>
      </w:r>
      <w:r>
        <w:t xml:space="preserve">, 106592. </w:t>
      </w:r>
      <w:hyperlink r:id="rId72" w:history="1">
        <w:r w:rsidR="00C43515" w:rsidRPr="008270B9">
          <w:rPr>
            <w:rStyle w:val="Hyperlink"/>
          </w:rPr>
          <w:t>doi.org/10.1016/j.chb.2020.106592</w:t>
        </w:r>
      </w:hyperlink>
    </w:p>
    <w:p w14:paraId="6E7E2E8C" w14:textId="77777777" w:rsidR="0046004D" w:rsidRPr="0020367F" w:rsidRDefault="0046004D" w:rsidP="0046004D">
      <w:pPr>
        <w:spacing w:before="0" w:line="280" w:lineRule="exact"/>
        <w:ind w:left="284" w:hanging="284"/>
        <w:jc w:val="left"/>
        <w:rPr>
          <w:rFonts w:cs="Arial"/>
          <w:szCs w:val="20"/>
        </w:rPr>
      </w:pPr>
      <w:proofErr w:type="spellStart"/>
      <w:r w:rsidRPr="0020367F">
        <w:rPr>
          <w:rFonts w:cs="Arial"/>
          <w:szCs w:val="20"/>
        </w:rPr>
        <w:t>Lemmens</w:t>
      </w:r>
      <w:proofErr w:type="spellEnd"/>
      <w:r w:rsidRPr="0020367F">
        <w:rPr>
          <w:rFonts w:cs="Arial"/>
          <w:szCs w:val="20"/>
        </w:rPr>
        <w:t xml:space="preserve">, J. S., Valkenburg, P. M., &amp; Gentile, D. A. (2015). The Internet Gaming Disorder Scale. </w:t>
      </w:r>
      <w:r w:rsidRPr="0020367F">
        <w:rPr>
          <w:rFonts w:cs="Arial"/>
          <w:i/>
          <w:szCs w:val="20"/>
        </w:rPr>
        <w:t>Psychological Assessment</w:t>
      </w:r>
      <w:r w:rsidRPr="0020367F">
        <w:rPr>
          <w:rFonts w:cs="Arial"/>
          <w:szCs w:val="20"/>
        </w:rPr>
        <w:t xml:space="preserve">, </w:t>
      </w:r>
      <w:r w:rsidRPr="0020367F">
        <w:rPr>
          <w:rFonts w:cs="Arial"/>
          <w:i/>
          <w:szCs w:val="20"/>
        </w:rPr>
        <w:t>27</w:t>
      </w:r>
      <w:r w:rsidRPr="0020367F">
        <w:rPr>
          <w:rFonts w:cs="Arial"/>
          <w:szCs w:val="20"/>
        </w:rPr>
        <w:t xml:space="preserve">(2), 567–582. </w:t>
      </w:r>
      <w:hyperlink r:id="rId73" w:history="1">
        <w:r w:rsidRPr="0020367F">
          <w:rPr>
            <w:rStyle w:val="Hyperlink"/>
            <w:rFonts w:cs="Arial"/>
            <w:szCs w:val="20"/>
          </w:rPr>
          <w:t>doi.org/10.1037/pas0000062</w:t>
        </w:r>
      </w:hyperlink>
    </w:p>
    <w:p w14:paraId="704FD681" w14:textId="77777777" w:rsidR="00C43515" w:rsidRDefault="00296447" w:rsidP="001B539F">
      <w:pPr>
        <w:spacing w:before="0"/>
        <w:ind w:left="284" w:hanging="284"/>
        <w:jc w:val="left"/>
      </w:pPr>
      <w:r>
        <w:t xml:space="preserve">Li, W., Mills, D., &amp; </w:t>
      </w:r>
      <w:proofErr w:type="spellStart"/>
      <w:r>
        <w:t>Nower</w:t>
      </w:r>
      <w:proofErr w:type="spellEnd"/>
      <w:r>
        <w:t xml:space="preserve">, L. (2019). The relationship of loot box purchases to problem video gaming and problem gambling. </w:t>
      </w:r>
      <w:r>
        <w:rPr>
          <w:i/>
        </w:rPr>
        <w:t xml:space="preserve">Addictive </w:t>
      </w:r>
      <w:proofErr w:type="spellStart"/>
      <w:r>
        <w:rPr>
          <w:i/>
        </w:rPr>
        <w:t>Behaviors</w:t>
      </w:r>
      <w:proofErr w:type="spellEnd"/>
      <w:r>
        <w:t xml:space="preserve">, </w:t>
      </w:r>
      <w:r>
        <w:rPr>
          <w:i/>
        </w:rPr>
        <w:t>97</w:t>
      </w:r>
      <w:r>
        <w:t xml:space="preserve">, 27–34. </w:t>
      </w:r>
      <w:hyperlink r:id="rId74" w:history="1">
        <w:r w:rsidR="00E95FAD" w:rsidRPr="00E95FAD">
          <w:rPr>
            <w:rStyle w:val="Hyperlink"/>
          </w:rPr>
          <w:t>doi.org/10.1016/j.addbeh.2019.05.016</w:t>
        </w:r>
      </w:hyperlink>
    </w:p>
    <w:p w14:paraId="41E51217" w14:textId="77777777" w:rsidR="00C43515" w:rsidRDefault="00296447" w:rsidP="001B539F">
      <w:pPr>
        <w:spacing w:before="0"/>
        <w:ind w:left="284" w:hanging="284"/>
        <w:jc w:val="left"/>
      </w:pPr>
      <w:r>
        <w:t xml:space="preserve">Macey, J., &amp; </w:t>
      </w:r>
      <w:proofErr w:type="spellStart"/>
      <w:r>
        <w:t>Hamari</w:t>
      </w:r>
      <w:proofErr w:type="spellEnd"/>
      <w:r>
        <w:t xml:space="preserve">, J. (2018). eSports, </w:t>
      </w:r>
      <w:proofErr w:type="gramStart"/>
      <w:r>
        <w:t>skins</w:t>
      </w:r>
      <w:proofErr w:type="gramEnd"/>
      <w:r>
        <w:t xml:space="preserve"> and loot boxes: Participants, practices and problematic behaviour associated with emergent forms of gambling. </w:t>
      </w:r>
      <w:r>
        <w:rPr>
          <w:i/>
        </w:rPr>
        <w:t>New Media &amp; Society</w:t>
      </w:r>
      <w:r>
        <w:t xml:space="preserve">, 1461444818786216. </w:t>
      </w:r>
      <w:hyperlink r:id="rId75" w:history="1">
        <w:r w:rsidR="00C43515" w:rsidRPr="008270B9">
          <w:rPr>
            <w:rStyle w:val="Hyperlink"/>
          </w:rPr>
          <w:t>doi.org/10.1177/1461444818786216</w:t>
        </w:r>
      </w:hyperlink>
    </w:p>
    <w:p w14:paraId="517AC379" w14:textId="77777777" w:rsidR="007670F7" w:rsidRPr="0020367F" w:rsidRDefault="007670F7" w:rsidP="007670F7">
      <w:pPr>
        <w:spacing w:before="0" w:line="280" w:lineRule="exact"/>
        <w:ind w:left="284" w:hanging="284"/>
        <w:jc w:val="left"/>
        <w:rPr>
          <w:rFonts w:cs="Arial"/>
          <w:szCs w:val="20"/>
        </w:rPr>
      </w:pPr>
      <w:r w:rsidRPr="0020367F">
        <w:rPr>
          <w:rFonts w:cs="Arial"/>
          <w:szCs w:val="20"/>
        </w:rPr>
        <w:t xml:space="preserve">Macey, J., &amp; </w:t>
      </w:r>
      <w:proofErr w:type="spellStart"/>
      <w:r w:rsidRPr="0020367F">
        <w:rPr>
          <w:rFonts w:cs="Arial"/>
          <w:szCs w:val="20"/>
        </w:rPr>
        <w:t>Kinnunen</w:t>
      </w:r>
      <w:proofErr w:type="spellEnd"/>
      <w:r w:rsidRPr="0020367F">
        <w:rPr>
          <w:rFonts w:cs="Arial"/>
          <w:szCs w:val="20"/>
        </w:rPr>
        <w:t xml:space="preserve">, J. (2020). The convergence of play: Interrelations of social casino gaming, gambling, and digital gaming in Finland. </w:t>
      </w:r>
      <w:r w:rsidRPr="0020367F">
        <w:rPr>
          <w:rFonts w:cs="Arial"/>
          <w:i/>
          <w:szCs w:val="20"/>
        </w:rPr>
        <w:t>International Gambling Studies</w:t>
      </w:r>
      <w:r w:rsidRPr="0020367F">
        <w:rPr>
          <w:rFonts w:cs="Arial"/>
          <w:szCs w:val="20"/>
        </w:rPr>
        <w:t xml:space="preserve">, </w:t>
      </w:r>
      <w:r w:rsidRPr="0020367F">
        <w:rPr>
          <w:rFonts w:cs="Arial"/>
          <w:i/>
          <w:szCs w:val="20"/>
        </w:rPr>
        <w:t>20</w:t>
      </w:r>
      <w:r w:rsidRPr="0020367F">
        <w:rPr>
          <w:rFonts w:cs="Arial"/>
          <w:szCs w:val="20"/>
        </w:rPr>
        <w:t xml:space="preserve">(3), 414–435. </w:t>
      </w:r>
      <w:hyperlink r:id="rId76" w:history="1">
        <w:r w:rsidRPr="0020367F">
          <w:rPr>
            <w:rStyle w:val="Hyperlink"/>
            <w:rFonts w:cs="Arial"/>
            <w:szCs w:val="20"/>
          </w:rPr>
          <w:t>doi.org/10.1080/14459795.2020.1770834</w:t>
        </w:r>
      </w:hyperlink>
    </w:p>
    <w:p w14:paraId="140DD76B" w14:textId="77777777" w:rsidR="00702FE7" w:rsidRPr="0020367F" w:rsidRDefault="00702FE7" w:rsidP="00702FE7">
      <w:pPr>
        <w:spacing w:before="0" w:line="280" w:lineRule="exact"/>
        <w:ind w:left="284" w:hanging="284"/>
        <w:jc w:val="left"/>
        <w:rPr>
          <w:rFonts w:cs="Arial"/>
          <w:szCs w:val="20"/>
        </w:rPr>
      </w:pPr>
      <w:r w:rsidRPr="0020367F">
        <w:rPr>
          <w:rFonts w:cs="Arial"/>
          <w:szCs w:val="20"/>
        </w:rPr>
        <w:t xml:space="preserve">Nicklin, L. L., Spicer, S. G., Close, J., Parke, J., Smith, O., </w:t>
      </w:r>
      <w:proofErr w:type="spellStart"/>
      <w:r w:rsidRPr="0020367F">
        <w:rPr>
          <w:rFonts w:cs="Arial"/>
          <w:szCs w:val="20"/>
        </w:rPr>
        <w:t>Raymen</w:t>
      </w:r>
      <w:proofErr w:type="spellEnd"/>
      <w:r w:rsidRPr="0020367F">
        <w:rPr>
          <w:rFonts w:cs="Arial"/>
          <w:szCs w:val="20"/>
        </w:rPr>
        <w:t xml:space="preserve">, T. et al. (2021). ‘It’s the attraction of winning that draws you in’: A qualitative investigation of reasons and facilitators for videogame loot box engagement in UK gamers. </w:t>
      </w:r>
      <w:r w:rsidRPr="0020367F">
        <w:rPr>
          <w:rFonts w:cs="Arial"/>
          <w:i/>
          <w:szCs w:val="20"/>
        </w:rPr>
        <w:t>Journal of Clinical Medicine Research</w:t>
      </w:r>
      <w:r w:rsidRPr="0020367F">
        <w:rPr>
          <w:rFonts w:cs="Arial"/>
          <w:szCs w:val="20"/>
        </w:rPr>
        <w:t xml:space="preserve">, </w:t>
      </w:r>
      <w:r w:rsidRPr="0020367F">
        <w:rPr>
          <w:rFonts w:cs="Arial"/>
          <w:i/>
          <w:szCs w:val="20"/>
        </w:rPr>
        <w:t>10</w:t>
      </w:r>
      <w:r w:rsidRPr="0020367F">
        <w:rPr>
          <w:rFonts w:cs="Arial"/>
          <w:szCs w:val="20"/>
        </w:rPr>
        <w:t xml:space="preserve">(10). </w:t>
      </w:r>
      <w:hyperlink r:id="rId77" w:history="1">
        <w:r w:rsidRPr="0020367F">
          <w:rPr>
            <w:rStyle w:val="Hyperlink"/>
            <w:rFonts w:cs="Arial"/>
            <w:szCs w:val="20"/>
          </w:rPr>
          <w:t>doi.org/10.3390/jcm10102103</w:t>
        </w:r>
      </w:hyperlink>
    </w:p>
    <w:p w14:paraId="720DD82B" w14:textId="77777777" w:rsidR="00702FE7" w:rsidRPr="0020367F" w:rsidRDefault="00702FE7" w:rsidP="00702FE7">
      <w:pPr>
        <w:spacing w:before="0" w:line="280" w:lineRule="exact"/>
        <w:ind w:left="284" w:hanging="284"/>
        <w:jc w:val="left"/>
        <w:rPr>
          <w:rFonts w:cs="Arial"/>
          <w:szCs w:val="20"/>
        </w:rPr>
      </w:pPr>
      <w:r w:rsidRPr="0020367F">
        <w:rPr>
          <w:rFonts w:cs="Arial"/>
          <w:szCs w:val="20"/>
        </w:rPr>
        <w:t xml:space="preserve">Office of the </w:t>
      </w:r>
      <w:proofErr w:type="spellStart"/>
      <w:r w:rsidRPr="0020367F">
        <w:rPr>
          <w:rFonts w:cs="Arial"/>
          <w:szCs w:val="20"/>
        </w:rPr>
        <w:t>eSafety</w:t>
      </w:r>
      <w:proofErr w:type="spellEnd"/>
      <w:r w:rsidRPr="0020367F">
        <w:rPr>
          <w:rFonts w:cs="Arial"/>
          <w:szCs w:val="20"/>
        </w:rPr>
        <w:t xml:space="preserve"> Commissioner. (2018). </w:t>
      </w:r>
      <w:r w:rsidRPr="0020367F">
        <w:rPr>
          <w:rFonts w:cs="Arial"/>
          <w:i/>
          <w:iCs/>
          <w:szCs w:val="20"/>
        </w:rPr>
        <w:t>State of play: Youth and online gaming in Australia</w:t>
      </w:r>
      <w:r w:rsidRPr="0020367F">
        <w:rPr>
          <w:rFonts w:cs="Arial"/>
          <w:szCs w:val="20"/>
        </w:rPr>
        <w:t xml:space="preserve">. Canberra: Australian Government. Retrieved from </w:t>
      </w:r>
      <w:hyperlink r:id="rId78" w:history="1">
        <w:r w:rsidRPr="0020367F">
          <w:rPr>
            <w:rStyle w:val="Hyperlink"/>
            <w:rFonts w:cs="Arial"/>
            <w:szCs w:val="20"/>
          </w:rPr>
          <w:t>www.esafety.gov.au/sites/default/files/2019-07/Youth-and-online-gaming-report-2018.pdf</w:t>
        </w:r>
      </w:hyperlink>
    </w:p>
    <w:p w14:paraId="182AE196" w14:textId="77777777" w:rsidR="00702FE7" w:rsidRPr="0020367F" w:rsidRDefault="00702FE7" w:rsidP="00702FE7">
      <w:pPr>
        <w:spacing w:before="0" w:line="280" w:lineRule="exact"/>
        <w:ind w:left="284" w:hanging="284"/>
        <w:jc w:val="left"/>
        <w:rPr>
          <w:rFonts w:cs="Arial"/>
          <w:szCs w:val="20"/>
        </w:rPr>
      </w:pPr>
      <w:proofErr w:type="spellStart"/>
      <w:r w:rsidRPr="0020367F">
        <w:rPr>
          <w:rFonts w:cs="Arial"/>
          <w:szCs w:val="20"/>
        </w:rPr>
        <w:t>Petrovskaya</w:t>
      </w:r>
      <w:proofErr w:type="spellEnd"/>
      <w:r w:rsidRPr="0020367F">
        <w:rPr>
          <w:rFonts w:cs="Arial"/>
          <w:szCs w:val="20"/>
        </w:rPr>
        <w:t xml:space="preserve">, E., &amp; </w:t>
      </w:r>
      <w:proofErr w:type="spellStart"/>
      <w:r w:rsidRPr="0020367F">
        <w:rPr>
          <w:rFonts w:cs="Arial"/>
          <w:szCs w:val="20"/>
        </w:rPr>
        <w:t>Zendle</w:t>
      </w:r>
      <w:proofErr w:type="spellEnd"/>
      <w:r w:rsidRPr="0020367F">
        <w:rPr>
          <w:rFonts w:cs="Arial"/>
          <w:szCs w:val="20"/>
        </w:rPr>
        <w:t xml:space="preserve">, D. (2021). Predatory monetisation? A categorisation of unfair, </w:t>
      </w:r>
      <w:proofErr w:type="gramStart"/>
      <w:r w:rsidRPr="0020367F">
        <w:rPr>
          <w:rFonts w:cs="Arial"/>
          <w:szCs w:val="20"/>
        </w:rPr>
        <w:t>misleading</w:t>
      </w:r>
      <w:proofErr w:type="gramEnd"/>
      <w:r w:rsidRPr="0020367F">
        <w:rPr>
          <w:rFonts w:cs="Arial"/>
          <w:szCs w:val="20"/>
        </w:rPr>
        <w:t xml:space="preserve"> and aggressive monetisation techniques in digital games from the player perspective. </w:t>
      </w:r>
      <w:r w:rsidRPr="0020367F">
        <w:rPr>
          <w:rFonts w:cs="Arial"/>
          <w:i/>
          <w:iCs/>
          <w:szCs w:val="20"/>
        </w:rPr>
        <w:t>Journal of Business Ethics: JBE</w:t>
      </w:r>
      <w:r w:rsidRPr="0020367F">
        <w:rPr>
          <w:rFonts w:cs="Arial"/>
          <w:szCs w:val="20"/>
        </w:rPr>
        <w:t xml:space="preserve">. </w:t>
      </w:r>
      <w:hyperlink r:id="rId79" w:history="1">
        <w:r w:rsidRPr="0020367F">
          <w:rPr>
            <w:rStyle w:val="Hyperlink"/>
            <w:rFonts w:cs="Arial"/>
            <w:szCs w:val="20"/>
          </w:rPr>
          <w:t>doi.org/10.1007/s10551-021-04970-6</w:t>
        </w:r>
      </w:hyperlink>
    </w:p>
    <w:p w14:paraId="401CE3A0" w14:textId="77777777" w:rsidR="00702FE7" w:rsidRPr="0020367F" w:rsidRDefault="00702FE7" w:rsidP="00702FE7">
      <w:pPr>
        <w:spacing w:before="0" w:line="280" w:lineRule="exact"/>
        <w:ind w:left="284" w:hanging="284"/>
        <w:jc w:val="left"/>
        <w:rPr>
          <w:rFonts w:cs="Arial"/>
          <w:szCs w:val="20"/>
        </w:rPr>
      </w:pPr>
      <w:r w:rsidRPr="0020367F">
        <w:rPr>
          <w:rFonts w:cs="Arial"/>
          <w:szCs w:val="20"/>
        </w:rPr>
        <w:t xml:space="preserve">Petry, N. M., </w:t>
      </w:r>
      <w:proofErr w:type="spellStart"/>
      <w:r w:rsidRPr="0020367F">
        <w:rPr>
          <w:rFonts w:cs="Arial"/>
          <w:szCs w:val="20"/>
        </w:rPr>
        <w:t>Rehbein</w:t>
      </w:r>
      <w:proofErr w:type="spellEnd"/>
      <w:r w:rsidRPr="0020367F">
        <w:rPr>
          <w:rFonts w:cs="Arial"/>
          <w:szCs w:val="20"/>
        </w:rPr>
        <w:t xml:space="preserve">, F., Gentile, D. A., </w:t>
      </w:r>
      <w:proofErr w:type="spellStart"/>
      <w:r w:rsidRPr="0020367F">
        <w:rPr>
          <w:rFonts w:cs="Arial"/>
          <w:szCs w:val="20"/>
        </w:rPr>
        <w:t>Lemmens</w:t>
      </w:r>
      <w:proofErr w:type="spellEnd"/>
      <w:r w:rsidRPr="0020367F">
        <w:rPr>
          <w:rFonts w:cs="Arial"/>
          <w:szCs w:val="20"/>
        </w:rPr>
        <w:t xml:space="preserve">, J. S., </w:t>
      </w:r>
      <w:proofErr w:type="spellStart"/>
      <w:r w:rsidRPr="0020367F">
        <w:rPr>
          <w:rFonts w:cs="Arial"/>
          <w:szCs w:val="20"/>
        </w:rPr>
        <w:t>Rumpf</w:t>
      </w:r>
      <w:proofErr w:type="spellEnd"/>
      <w:r w:rsidRPr="0020367F">
        <w:rPr>
          <w:rFonts w:cs="Arial"/>
          <w:szCs w:val="20"/>
        </w:rPr>
        <w:t xml:space="preserve">, H.-J., </w:t>
      </w:r>
      <w:proofErr w:type="spellStart"/>
      <w:r w:rsidRPr="0020367F">
        <w:rPr>
          <w:rFonts w:cs="Arial"/>
          <w:szCs w:val="20"/>
        </w:rPr>
        <w:t>Mößle</w:t>
      </w:r>
      <w:proofErr w:type="spellEnd"/>
      <w:r w:rsidRPr="0020367F">
        <w:rPr>
          <w:rFonts w:cs="Arial"/>
          <w:szCs w:val="20"/>
        </w:rPr>
        <w:t xml:space="preserve">, T. et al. (2014). An international consensus for assessing internet gaming disorder using the new DSM-5 approach. </w:t>
      </w:r>
      <w:r w:rsidRPr="0020367F">
        <w:rPr>
          <w:rFonts w:cs="Arial"/>
          <w:i/>
          <w:szCs w:val="20"/>
        </w:rPr>
        <w:t>Addiction</w:t>
      </w:r>
      <w:r w:rsidRPr="0020367F">
        <w:rPr>
          <w:rFonts w:cs="Arial"/>
          <w:szCs w:val="20"/>
        </w:rPr>
        <w:t xml:space="preserve">, </w:t>
      </w:r>
      <w:r w:rsidRPr="0020367F">
        <w:rPr>
          <w:rFonts w:cs="Arial"/>
          <w:i/>
          <w:szCs w:val="20"/>
        </w:rPr>
        <w:t>109</w:t>
      </w:r>
      <w:r w:rsidRPr="0020367F">
        <w:rPr>
          <w:rFonts w:cs="Arial"/>
          <w:szCs w:val="20"/>
        </w:rPr>
        <w:t xml:space="preserve">(9), 1399–1406. </w:t>
      </w:r>
      <w:hyperlink r:id="rId80" w:history="1">
        <w:r w:rsidRPr="0020367F">
          <w:rPr>
            <w:rStyle w:val="Hyperlink"/>
            <w:rFonts w:cs="Arial"/>
            <w:szCs w:val="20"/>
          </w:rPr>
          <w:t>doi.org/10.1111/add.12457</w:t>
        </w:r>
      </w:hyperlink>
    </w:p>
    <w:p w14:paraId="2F554A71" w14:textId="77777777" w:rsidR="00702FE7" w:rsidRPr="0020367F" w:rsidRDefault="00702FE7" w:rsidP="00702FE7">
      <w:pPr>
        <w:spacing w:before="0" w:line="280" w:lineRule="exact"/>
        <w:ind w:left="284" w:hanging="284"/>
        <w:jc w:val="left"/>
        <w:rPr>
          <w:rFonts w:cs="Arial"/>
          <w:szCs w:val="20"/>
        </w:rPr>
      </w:pPr>
      <w:r w:rsidRPr="0020367F">
        <w:rPr>
          <w:rFonts w:cs="Arial"/>
          <w:szCs w:val="20"/>
        </w:rPr>
        <w:t xml:space="preserve">Pontes, H. M., &amp; Griffiths, M. D. (2015). Measuring DSM-5 internet gaming disorder: Development and validation of a short psychometric scale. </w:t>
      </w:r>
      <w:r w:rsidRPr="0020367F">
        <w:rPr>
          <w:rFonts w:cs="Arial"/>
          <w:i/>
          <w:szCs w:val="20"/>
        </w:rPr>
        <w:t xml:space="preserve">Computers in Human </w:t>
      </w:r>
      <w:proofErr w:type="spellStart"/>
      <w:r w:rsidRPr="0020367F">
        <w:rPr>
          <w:rFonts w:cs="Arial"/>
          <w:i/>
          <w:szCs w:val="20"/>
        </w:rPr>
        <w:t>Behavior</w:t>
      </w:r>
      <w:proofErr w:type="spellEnd"/>
      <w:r w:rsidRPr="0020367F">
        <w:rPr>
          <w:rFonts w:cs="Arial"/>
          <w:szCs w:val="20"/>
        </w:rPr>
        <w:t xml:space="preserve">, </w:t>
      </w:r>
      <w:r w:rsidRPr="0020367F">
        <w:rPr>
          <w:rFonts w:cs="Arial"/>
          <w:i/>
          <w:szCs w:val="20"/>
        </w:rPr>
        <w:t>45</w:t>
      </w:r>
      <w:r w:rsidRPr="0020367F">
        <w:rPr>
          <w:rFonts w:cs="Arial"/>
          <w:szCs w:val="20"/>
        </w:rPr>
        <w:t xml:space="preserve">, 137–143. </w:t>
      </w:r>
      <w:hyperlink r:id="rId81" w:history="1">
        <w:r w:rsidRPr="0020367F">
          <w:rPr>
            <w:rStyle w:val="Hyperlink"/>
            <w:rFonts w:cs="Arial"/>
            <w:szCs w:val="20"/>
          </w:rPr>
          <w:t>doi.org/10.1016/j.chb.2014.12.006</w:t>
        </w:r>
      </w:hyperlink>
    </w:p>
    <w:p w14:paraId="7615984E" w14:textId="77777777" w:rsidR="00702FE7" w:rsidRPr="0020367F" w:rsidRDefault="00702FE7" w:rsidP="00702FE7">
      <w:pPr>
        <w:spacing w:before="0" w:line="280" w:lineRule="exact"/>
        <w:ind w:left="284" w:hanging="284"/>
        <w:jc w:val="left"/>
        <w:rPr>
          <w:rFonts w:cs="Arial"/>
          <w:szCs w:val="20"/>
        </w:rPr>
      </w:pPr>
      <w:r w:rsidRPr="0020367F">
        <w:rPr>
          <w:rFonts w:cs="Arial"/>
          <w:szCs w:val="20"/>
        </w:rPr>
        <w:t xml:space="preserve">Przybylski, A. K., Weinstein, N., &amp; Murayama, K. (2017). Internet gaming disorder: Investigating the clinical relevance of a new phenomenon. </w:t>
      </w:r>
      <w:r w:rsidRPr="0020367F">
        <w:rPr>
          <w:rFonts w:cs="Arial"/>
          <w:i/>
          <w:szCs w:val="20"/>
        </w:rPr>
        <w:t>The American Journal of Psychiatry</w:t>
      </w:r>
      <w:r w:rsidRPr="0020367F">
        <w:rPr>
          <w:rFonts w:cs="Arial"/>
          <w:szCs w:val="20"/>
        </w:rPr>
        <w:t xml:space="preserve">, </w:t>
      </w:r>
      <w:r w:rsidRPr="0020367F">
        <w:rPr>
          <w:rFonts w:cs="Arial"/>
          <w:i/>
          <w:szCs w:val="20"/>
        </w:rPr>
        <w:t>174</w:t>
      </w:r>
      <w:r w:rsidRPr="0020367F">
        <w:rPr>
          <w:rFonts w:cs="Arial"/>
          <w:szCs w:val="20"/>
        </w:rPr>
        <w:t xml:space="preserve">(3), 230–236. </w:t>
      </w:r>
      <w:hyperlink r:id="rId82" w:history="1">
        <w:r w:rsidRPr="0020367F">
          <w:rPr>
            <w:rStyle w:val="Hyperlink"/>
            <w:rFonts w:cs="Arial"/>
            <w:szCs w:val="20"/>
          </w:rPr>
          <w:t>doi.org/10.1176/appi.ajp.2016.16020224</w:t>
        </w:r>
      </w:hyperlink>
    </w:p>
    <w:p w14:paraId="0BF3E6AF" w14:textId="0D73DD84" w:rsidR="00C43515" w:rsidRDefault="00296447" w:rsidP="001B539F">
      <w:pPr>
        <w:spacing w:before="0"/>
        <w:ind w:left="284" w:hanging="284"/>
        <w:jc w:val="left"/>
      </w:pPr>
      <w:proofErr w:type="spellStart"/>
      <w:r>
        <w:t>Rockloff</w:t>
      </w:r>
      <w:proofErr w:type="spellEnd"/>
      <w:r>
        <w:t xml:space="preserve">, M., Browne, M., Greer, N., Armstrong, T., &amp; Thorne, H. (2019). Mobile EGM </w:t>
      </w:r>
      <w:r w:rsidR="00E95FAD">
        <w:t>games</w:t>
      </w:r>
      <w:r>
        <w:t xml:space="preserve">: Evidence </w:t>
      </w:r>
      <w:r w:rsidR="00E95FAD">
        <w:t>that simulated games encourage real-money gambling</w:t>
      </w:r>
      <w:r>
        <w:t xml:space="preserve">. </w:t>
      </w:r>
      <w:r>
        <w:rPr>
          <w:i/>
        </w:rPr>
        <w:t>Journal of Gambling Studies</w:t>
      </w:r>
      <w:r>
        <w:t xml:space="preserve">. </w:t>
      </w:r>
      <w:hyperlink r:id="rId83" w:history="1">
        <w:r w:rsidR="00C43515" w:rsidRPr="008270B9">
          <w:rPr>
            <w:rStyle w:val="Hyperlink"/>
          </w:rPr>
          <w:t>doi.org/10.1007/s10899-019-09869-6</w:t>
        </w:r>
      </w:hyperlink>
    </w:p>
    <w:p w14:paraId="26E57163" w14:textId="77777777" w:rsidR="007C5BAA" w:rsidRDefault="007C5BAA" w:rsidP="007C5BAA">
      <w:pPr>
        <w:spacing w:before="0"/>
        <w:ind w:left="284" w:hanging="284"/>
        <w:jc w:val="left"/>
      </w:pPr>
      <w:proofErr w:type="spellStart"/>
      <w:r>
        <w:t>Rockloff</w:t>
      </w:r>
      <w:proofErr w:type="spellEnd"/>
      <w:r>
        <w:t xml:space="preserve">, M., Greer, N., Armstrong, A., Thorne, H., Langham, E., Browne, M. et al. (2018). </w:t>
      </w:r>
      <w:r>
        <w:rPr>
          <w:i/>
        </w:rPr>
        <w:t>Mobile EGMs apps: The perfect substitute or the perfect storm?</w:t>
      </w:r>
      <w:r>
        <w:t xml:space="preserve"> Melbourne: Victorian Responsible Gambling Foundation.</w:t>
      </w:r>
    </w:p>
    <w:p w14:paraId="4B3BA414" w14:textId="77777777" w:rsidR="00C43515" w:rsidRDefault="00296447" w:rsidP="001B539F">
      <w:pPr>
        <w:spacing w:before="0"/>
        <w:ind w:left="284" w:hanging="284"/>
        <w:jc w:val="left"/>
        <w:rPr>
          <w:rStyle w:val="Hyperlink"/>
        </w:rPr>
      </w:pPr>
      <w:proofErr w:type="spellStart"/>
      <w:r>
        <w:t>Rockloff</w:t>
      </w:r>
      <w:proofErr w:type="spellEnd"/>
      <w:r>
        <w:t xml:space="preserve">, M., Russell, A. M. T., Greer, N., </w:t>
      </w:r>
      <w:proofErr w:type="spellStart"/>
      <w:r w:rsidR="00E95FAD">
        <w:t>Lole</w:t>
      </w:r>
      <w:proofErr w:type="spellEnd"/>
      <w:r>
        <w:t xml:space="preserve">, L., Hing, N., &amp; Browne, M. (2020). </w:t>
      </w:r>
      <w:r>
        <w:rPr>
          <w:i/>
        </w:rPr>
        <w:t>Loot Boxes: Are they grooming youth for gambling?</w:t>
      </w:r>
      <w:r>
        <w:t xml:space="preserve"> </w:t>
      </w:r>
      <w:r w:rsidR="00E95FAD">
        <w:t>Haymarket</w:t>
      </w:r>
      <w:r w:rsidR="007C5BAA">
        <w:t xml:space="preserve">, NSW: </w:t>
      </w:r>
      <w:r>
        <w:t xml:space="preserve">NSW Responsible Gambling Fund. </w:t>
      </w:r>
      <w:hyperlink r:id="rId84" w:history="1">
        <w:r w:rsidR="00C43515" w:rsidRPr="008270B9">
          <w:rPr>
            <w:rStyle w:val="Hyperlink"/>
          </w:rPr>
          <w:t>doi.org/10.25946/5ef151ac1ce6f</w:t>
        </w:r>
      </w:hyperlink>
    </w:p>
    <w:p w14:paraId="4A12672F" w14:textId="77777777" w:rsidR="007C5BAA" w:rsidRDefault="007C5BAA" w:rsidP="007C5BAA">
      <w:pPr>
        <w:spacing w:before="0"/>
        <w:ind w:left="284" w:hanging="284"/>
        <w:jc w:val="left"/>
      </w:pPr>
      <w:proofErr w:type="spellStart"/>
      <w:r>
        <w:t>Rockloff</w:t>
      </w:r>
      <w:proofErr w:type="spellEnd"/>
      <w:r>
        <w:t xml:space="preserve">, M., Russell, A. M. T., Greer, N., </w:t>
      </w:r>
      <w:proofErr w:type="spellStart"/>
      <w:r>
        <w:t>Lole</w:t>
      </w:r>
      <w:proofErr w:type="spellEnd"/>
      <w:r>
        <w:t xml:space="preserve">, L., Hing, N., &amp; Browne, M. (2021). Young people who purchase loot boxes are more likely to have gambling problems: An online survey of adolescents and young adults living in NSW Australia. </w:t>
      </w:r>
      <w:r>
        <w:rPr>
          <w:i/>
        </w:rPr>
        <w:t xml:space="preserve">Journal of </w:t>
      </w:r>
      <w:proofErr w:type="spellStart"/>
      <w:r>
        <w:rPr>
          <w:i/>
        </w:rPr>
        <w:t>Behavioral</w:t>
      </w:r>
      <w:proofErr w:type="spellEnd"/>
      <w:r>
        <w:rPr>
          <w:i/>
        </w:rPr>
        <w:t xml:space="preserve"> Addictions</w:t>
      </w:r>
      <w:r>
        <w:t xml:space="preserve">. </w:t>
      </w:r>
      <w:hyperlink r:id="rId85" w:history="1">
        <w:r w:rsidRPr="008270B9">
          <w:rPr>
            <w:rStyle w:val="Hyperlink"/>
          </w:rPr>
          <w:t>doi.org/10.1556/2006.2021.00007</w:t>
        </w:r>
      </w:hyperlink>
    </w:p>
    <w:p w14:paraId="3F0D60B3" w14:textId="77777777" w:rsidR="00677434" w:rsidRDefault="00296447" w:rsidP="001B539F">
      <w:pPr>
        <w:spacing w:before="0"/>
        <w:ind w:left="284" w:hanging="284"/>
        <w:jc w:val="left"/>
      </w:pPr>
      <w:r>
        <w:lastRenderedPageBreak/>
        <w:t xml:space="preserve">Russell, A. M. T., Armstrong, T., </w:t>
      </w:r>
      <w:proofErr w:type="spellStart"/>
      <w:r>
        <w:t>Rockloff</w:t>
      </w:r>
      <w:proofErr w:type="spellEnd"/>
      <w:r>
        <w:t xml:space="preserve">, M., Greer, N., Hing, N., &amp; Browne, M. (2020). </w:t>
      </w:r>
      <w:r>
        <w:rPr>
          <w:i/>
        </w:rPr>
        <w:t xml:space="preserve">Exploring the changing landscape of gambling in childhood, </w:t>
      </w:r>
      <w:proofErr w:type="gramStart"/>
      <w:r>
        <w:rPr>
          <w:i/>
        </w:rPr>
        <w:t>adolescence</w:t>
      </w:r>
      <w:proofErr w:type="gramEnd"/>
      <w:r>
        <w:rPr>
          <w:i/>
        </w:rPr>
        <w:t xml:space="preserve"> and young adulthood</w:t>
      </w:r>
      <w:r>
        <w:t xml:space="preserve">. </w:t>
      </w:r>
      <w:r w:rsidR="007C5BAA">
        <w:t xml:space="preserve">Haymarket, NSW: </w:t>
      </w:r>
      <w:r>
        <w:t xml:space="preserve">NSW Responsible Gambling Fund. </w:t>
      </w:r>
    </w:p>
    <w:p w14:paraId="7F4378B5" w14:textId="77777777" w:rsidR="00677434" w:rsidRDefault="00296447" w:rsidP="001B539F">
      <w:pPr>
        <w:spacing w:before="0"/>
        <w:ind w:left="284" w:hanging="284"/>
        <w:jc w:val="left"/>
      </w:pPr>
      <w:r>
        <w:t xml:space="preserve">Shi, J., Colder </w:t>
      </w:r>
      <w:proofErr w:type="spellStart"/>
      <w:r>
        <w:t>Carras</w:t>
      </w:r>
      <w:proofErr w:type="spellEnd"/>
      <w:r>
        <w:t xml:space="preserve">, M., Potenza, M. N., &amp; Turner, N. E. (2020). A </w:t>
      </w:r>
      <w:r w:rsidR="007C5BAA">
        <w:t>perspective on age restrictions and other harm reduction approaches targeting youth online gambling, considering convergences of gambling and video</w:t>
      </w:r>
      <w:r>
        <w:t xml:space="preserve">gaming. </w:t>
      </w:r>
      <w:r>
        <w:rPr>
          <w:i/>
        </w:rPr>
        <w:t>Frontiers in Psychiatry / Frontiers Research Foundation</w:t>
      </w:r>
      <w:r>
        <w:t xml:space="preserve">, </w:t>
      </w:r>
      <w:r>
        <w:rPr>
          <w:i/>
        </w:rPr>
        <w:t>11</w:t>
      </w:r>
      <w:r>
        <w:t xml:space="preserve">, 601712. </w:t>
      </w:r>
      <w:hyperlink r:id="rId86" w:history="1">
        <w:r w:rsidR="00677434" w:rsidRPr="008270B9">
          <w:rPr>
            <w:rStyle w:val="Hyperlink"/>
          </w:rPr>
          <w:t>doi.org/10.3389/fpsyt.2020.601712</w:t>
        </w:r>
      </w:hyperlink>
    </w:p>
    <w:p w14:paraId="5A7AB51C" w14:textId="77777777" w:rsidR="00677434" w:rsidRDefault="00296447" w:rsidP="001B539F">
      <w:pPr>
        <w:spacing w:before="0"/>
        <w:ind w:left="284" w:hanging="284"/>
        <w:jc w:val="left"/>
      </w:pPr>
      <w:proofErr w:type="spellStart"/>
      <w:r>
        <w:t>Shinkawa</w:t>
      </w:r>
      <w:proofErr w:type="spellEnd"/>
      <w:r>
        <w:t xml:space="preserve">, H., </w:t>
      </w:r>
      <w:proofErr w:type="spellStart"/>
      <w:r>
        <w:t>Irie</w:t>
      </w:r>
      <w:proofErr w:type="spellEnd"/>
      <w:r>
        <w:t xml:space="preserve">, T., Tanaka, M., &amp; Yokomitsu, K. (2021). Psychosocial </w:t>
      </w:r>
      <w:r w:rsidR="007C5BAA">
        <w:t>adjustment and mental distress associated with in-game purchases among</w:t>
      </w:r>
      <w:r>
        <w:t xml:space="preserve"> Japanese </w:t>
      </w:r>
      <w:r w:rsidR="007C5BAA">
        <w:t>junior high school students</w:t>
      </w:r>
      <w:r>
        <w:t xml:space="preserve">. </w:t>
      </w:r>
      <w:r>
        <w:rPr>
          <w:i/>
        </w:rPr>
        <w:t>Frontiers in Psychology</w:t>
      </w:r>
      <w:r>
        <w:t xml:space="preserve">, </w:t>
      </w:r>
      <w:r>
        <w:rPr>
          <w:i/>
        </w:rPr>
        <w:t>12</w:t>
      </w:r>
      <w:r>
        <w:t xml:space="preserve">, 708801. </w:t>
      </w:r>
      <w:hyperlink r:id="rId87" w:history="1">
        <w:r w:rsidR="00677434" w:rsidRPr="008270B9">
          <w:rPr>
            <w:rStyle w:val="Hyperlink"/>
          </w:rPr>
          <w:t>doi.org/10.3389/fpsyg.2021.708801</w:t>
        </w:r>
      </w:hyperlink>
    </w:p>
    <w:p w14:paraId="3082C8AB" w14:textId="77777777" w:rsidR="00677434" w:rsidRDefault="00296447" w:rsidP="001B539F">
      <w:pPr>
        <w:spacing w:before="0"/>
        <w:ind w:left="284" w:hanging="284"/>
        <w:jc w:val="left"/>
      </w:pPr>
      <w:r>
        <w:t xml:space="preserve">Spicer, S. G., Nicklin, L. L., Uther, M., Lloyd, J., Lloyd, H., </w:t>
      </w:r>
      <w:r w:rsidR="007C5BAA">
        <w:t xml:space="preserve">&amp; </w:t>
      </w:r>
      <w:r>
        <w:t xml:space="preserve">Close. J. (2021). Loot boxes, problem gambling, and problem video gaming: </w:t>
      </w:r>
      <w:r w:rsidR="007C5BAA">
        <w:t xml:space="preserve">A </w:t>
      </w:r>
      <w:r>
        <w:t xml:space="preserve">systematic review and meta-synthesis. </w:t>
      </w:r>
      <w:r>
        <w:rPr>
          <w:i/>
        </w:rPr>
        <w:t>New Media &amp; Society</w:t>
      </w:r>
      <w:r>
        <w:t xml:space="preserve">. </w:t>
      </w:r>
      <w:hyperlink r:id="rId88" w:history="1">
        <w:r w:rsidR="00677434" w:rsidRPr="008270B9">
          <w:rPr>
            <w:rStyle w:val="Hyperlink"/>
          </w:rPr>
          <w:t>doi.org/10.1177/14614448211027175</w:t>
        </w:r>
      </w:hyperlink>
    </w:p>
    <w:p w14:paraId="24590544" w14:textId="77777777" w:rsidR="00677434" w:rsidRDefault="00296447" w:rsidP="001B539F">
      <w:pPr>
        <w:spacing w:before="0"/>
        <w:ind w:left="284" w:hanging="284"/>
        <w:jc w:val="left"/>
      </w:pPr>
      <w:r>
        <w:t xml:space="preserve">Stark, S., Reynolds, J., &amp; Wiebe, J. (2020). Gambling and </w:t>
      </w:r>
      <w:r w:rsidR="007C5BAA">
        <w:t xml:space="preserve">gaming </w:t>
      </w:r>
      <w:r>
        <w:t xml:space="preserve">in an Ontario </w:t>
      </w:r>
      <w:r w:rsidR="007C5BAA">
        <w:t>sample of youth and parents</w:t>
      </w:r>
      <w:r>
        <w:t xml:space="preserve">. </w:t>
      </w:r>
      <w:r>
        <w:rPr>
          <w:i/>
        </w:rPr>
        <w:t>Journal of Gambling Issues</w:t>
      </w:r>
      <w:r>
        <w:t xml:space="preserve">, </w:t>
      </w:r>
      <w:r>
        <w:rPr>
          <w:i/>
        </w:rPr>
        <w:t>46</w:t>
      </w:r>
      <w:r>
        <w:t xml:space="preserve">. </w:t>
      </w:r>
      <w:hyperlink r:id="rId89" w:history="1">
        <w:r w:rsidR="00677434" w:rsidRPr="008270B9">
          <w:rPr>
            <w:rStyle w:val="Hyperlink"/>
          </w:rPr>
          <w:t>doi.org/10.4309/jgi.2021.46.2</w:t>
        </w:r>
      </w:hyperlink>
    </w:p>
    <w:p w14:paraId="062BBD93" w14:textId="77777777" w:rsidR="00677434" w:rsidRDefault="00296447" w:rsidP="001B539F">
      <w:pPr>
        <w:spacing w:before="0"/>
        <w:ind w:left="284" w:hanging="284"/>
        <w:jc w:val="left"/>
      </w:pPr>
      <w:r>
        <w:t xml:space="preserve">Steinmetz, F., Fiedler, I., von </w:t>
      </w:r>
      <w:proofErr w:type="spellStart"/>
      <w:r>
        <w:t>Meduna</w:t>
      </w:r>
      <w:proofErr w:type="spellEnd"/>
      <w:r>
        <w:t>, M., &amp; Ante, L. (2021). Pay-to-</w:t>
      </w:r>
      <w:r w:rsidR="007C5BAA">
        <w:t>win gaming and its interrelation with gambling</w:t>
      </w:r>
      <w:r>
        <w:t xml:space="preserve">: Findings from a </w:t>
      </w:r>
      <w:r w:rsidR="007C5BAA">
        <w:t>representative population sample</w:t>
      </w:r>
      <w:r>
        <w:t xml:space="preserve">. </w:t>
      </w:r>
      <w:r>
        <w:rPr>
          <w:i/>
        </w:rPr>
        <w:t>Journal of Gambling Studies</w:t>
      </w:r>
      <w:r>
        <w:t xml:space="preserve">. </w:t>
      </w:r>
      <w:hyperlink r:id="rId90" w:history="1">
        <w:r w:rsidR="00677434" w:rsidRPr="008270B9">
          <w:rPr>
            <w:rStyle w:val="Hyperlink"/>
          </w:rPr>
          <w:t>doi.org/10.1007/s10899-021-10042-1</w:t>
        </w:r>
      </w:hyperlink>
    </w:p>
    <w:p w14:paraId="571468E6" w14:textId="77777777" w:rsidR="007F432F" w:rsidRDefault="007F432F" w:rsidP="001B539F">
      <w:pPr>
        <w:spacing w:before="0"/>
        <w:ind w:left="284" w:hanging="284"/>
        <w:jc w:val="left"/>
      </w:pPr>
      <w:r w:rsidRPr="007F432F">
        <w:t xml:space="preserve">Stevens, M. W. R., </w:t>
      </w:r>
      <w:proofErr w:type="spellStart"/>
      <w:r w:rsidRPr="007F432F">
        <w:t>Delfabbro</w:t>
      </w:r>
      <w:proofErr w:type="spellEnd"/>
      <w:r w:rsidRPr="007F432F">
        <w:t xml:space="preserve">, P. H., &amp; King, D. L. (2021). Prevention approaches to problem gaming: A large-scale qualitative investigation. </w:t>
      </w:r>
      <w:r w:rsidRPr="009F0B42">
        <w:rPr>
          <w:i/>
          <w:iCs/>
        </w:rPr>
        <w:t xml:space="preserve">Computers in Human </w:t>
      </w:r>
      <w:proofErr w:type="spellStart"/>
      <w:r w:rsidRPr="009F0B42">
        <w:rPr>
          <w:i/>
          <w:iCs/>
        </w:rPr>
        <w:t>Behavior</w:t>
      </w:r>
      <w:proofErr w:type="spellEnd"/>
      <w:r w:rsidRPr="009F0B42">
        <w:rPr>
          <w:i/>
          <w:iCs/>
        </w:rPr>
        <w:t>, 115</w:t>
      </w:r>
      <w:r w:rsidRPr="007F432F">
        <w:t>. doi:10.1016/j.chb.2020.106611</w:t>
      </w:r>
    </w:p>
    <w:p w14:paraId="450917BF" w14:textId="69A2E7BB" w:rsidR="00677434" w:rsidRDefault="00296447" w:rsidP="001B539F">
      <w:pPr>
        <w:spacing w:before="0"/>
        <w:ind w:left="284" w:hanging="284"/>
        <w:jc w:val="left"/>
      </w:pPr>
      <w:proofErr w:type="spellStart"/>
      <w:r>
        <w:t>Tham</w:t>
      </w:r>
      <w:proofErr w:type="spellEnd"/>
      <w:r>
        <w:t xml:space="preserve">, S. M., &amp; Perreault, G. P. (2020). A </w:t>
      </w:r>
      <w:r w:rsidR="007C5BAA">
        <w:t>whale of a tale</w:t>
      </w:r>
      <w:r>
        <w:t xml:space="preserve">: Gaming </w:t>
      </w:r>
      <w:r w:rsidR="007C5BAA">
        <w:t>disorder and spending and their associations with ad watching in role-playing and loot-box gaming</w:t>
      </w:r>
      <w:r>
        <w:t xml:space="preserve">. </w:t>
      </w:r>
      <w:r>
        <w:rPr>
          <w:i/>
        </w:rPr>
        <w:t>Journal of Gambling Issues</w:t>
      </w:r>
      <w:r>
        <w:t xml:space="preserve">, </w:t>
      </w:r>
      <w:r>
        <w:rPr>
          <w:i/>
        </w:rPr>
        <w:t>46</w:t>
      </w:r>
      <w:r>
        <w:t xml:space="preserve">(0). </w:t>
      </w:r>
      <w:hyperlink r:id="rId91" w:history="1">
        <w:r w:rsidR="00677434" w:rsidRPr="008270B9">
          <w:rPr>
            <w:rStyle w:val="Hyperlink"/>
          </w:rPr>
          <w:t>doi.org/10.4309/jgi.2021.46.5</w:t>
        </w:r>
      </w:hyperlink>
    </w:p>
    <w:p w14:paraId="08E0CC36" w14:textId="77777777" w:rsidR="00677434" w:rsidRDefault="00296447" w:rsidP="001B539F">
      <w:pPr>
        <w:spacing w:before="0"/>
        <w:ind w:left="284" w:hanging="284"/>
        <w:jc w:val="left"/>
      </w:pPr>
      <w:proofErr w:type="spellStart"/>
      <w:r>
        <w:t>Veselka</w:t>
      </w:r>
      <w:proofErr w:type="spellEnd"/>
      <w:r>
        <w:t xml:space="preserve">, L., </w:t>
      </w:r>
      <w:proofErr w:type="spellStart"/>
      <w:r>
        <w:t>Wijesingha</w:t>
      </w:r>
      <w:proofErr w:type="spellEnd"/>
      <w:r>
        <w:t xml:space="preserve">, R., Leatherdale, S. T., Turner, N. E., &amp; Elton-Marshall, T. (2018). Factors associated with social casino gaming among adolescents across game types. </w:t>
      </w:r>
      <w:r>
        <w:rPr>
          <w:i/>
        </w:rPr>
        <w:t>BMC Public Health</w:t>
      </w:r>
      <w:r>
        <w:t xml:space="preserve">, </w:t>
      </w:r>
      <w:r>
        <w:rPr>
          <w:i/>
        </w:rPr>
        <w:t>18</w:t>
      </w:r>
      <w:r>
        <w:t xml:space="preserve">(1), 1167. </w:t>
      </w:r>
      <w:hyperlink r:id="rId92" w:history="1">
        <w:r w:rsidR="00677434" w:rsidRPr="008270B9">
          <w:rPr>
            <w:rStyle w:val="Hyperlink"/>
          </w:rPr>
          <w:t>doi.org/10.1186/s12889-018-6069-2</w:t>
        </w:r>
      </w:hyperlink>
    </w:p>
    <w:p w14:paraId="5DB1544B" w14:textId="77777777" w:rsidR="00390B1F" w:rsidRPr="0020367F" w:rsidRDefault="00390B1F" w:rsidP="00390B1F">
      <w:pPr>
        <w:spacing w:before="0" w:line="280" w:lineRule="exact"/>
        <w:ind w:left="284" w:hanging="284"/>
        <w:jc w:val="left"/>
        <w:rPr>
          <w:rFonts w:cs="Arial"/>
          <w:szCs w:val="20"/>
        </w:rPr>
      </w:pPr>
      <w:r w:rsidRPr="0020367F">
        <w:rPr>
          <w:rFonts w:cs="Arial"/>
          <w:szCs w:val="20"/>
        </w:rPr>
        <w:t xml:space="preserve">van </w:t>
      </w:r>
      <w:proofErr w:type="spellStart"/>
      <w:r w:rsidRPr="0020367F">
        <w:rPr>
          <w:rFonts w:cs="Arial"/>
          <w:szCs w:val="20"/>
        </w:rPr>
        <w:t>Rooij</w:t>
      </w:r>
      <w:proofErr w:type="spellEnd"/>
      <w:r w:rsidRPr="0020367F">
        <w:rPr>
          <w:rFonts w:cs="Arial"/>
          <w:szCs w:val="20"/>
        </w:rPr>
        <w:t xml:space="preserve">, A. J., </w:t>
      </w:r>
      <w:proofErr w:type="spellStart"/>
      <w:r w:rsidRPr="0020367F">
        <w:rPr>
          <w:rFonts w:cs="Arial"/>
          <w:szCs w:val="20"/>
        </w:rPr>
        <w:t>Schoenmakers</w:t>
      </w:r>
      <w:proofErr w:type="spellEnd"/>
      <w:r w:rsidRPr="0020367F">
        <w:rPr>
          <w:rFonts w:cs="Arial"/>
          <w:szCs w:val="20"/>
        </w:rPr>
        <w:t xml:space="preserve">, T. M., &amp; van de </w:t>
      </w:r>
      <w:proofErr w:type="spellStart"/>
      <w:r w:rsidRPr="0020367F">
        <w:rPr>
          <w:rFonts w:cs="Arial"/>
          <w:szCs w:val="20"/>
        </w:rPr>
        <w:t>Mheen</w:t>
      </w:r>
      <w:proofErr w:type="spellEnd"/>
      <w:r w:rsidRPr="0020367F">
        <w:rPr>
          <w:rFonts w:cs="Arial"/>
          <w:szCs w:val="20"/>
        </w:rPr>
        <w:t xml:space="preserve">, D. (2017). Clinical validation of the C-VAT 2.0 assessment tool for gaming disorder: A sensitivity analysis of the proposed DSM-5 criteria and the clinical characteristics of young patients with ‘video game addiction’. </w:t>
      </w:r>
      <w:r w:rsidRPr="0020367F">
        <w:rPr>
          <w:rFonts w:cs="Arial"/>
          <w:i/>
          <w:szCs w:val="20"/>
        </w:rPr>
        <w:t xml:space="preserve">Addictive </w:t>
      </w:r>
      <w:proofErr w:type="spellStart"/>
      <w:r w:rsidRPr="0020367F">
        <w:rPr>
          <w:rFonts w:cs="Arial"/>
          <w:i/>
          <w:szCs w:val="20"/>
        </w:rPr>
        <w:t>Behaviors</w:t>
      </w:r>
      <w:proofErr w:type="spellEnd"/>
      <w:r w:rsidRPr="0020367F">
        <w:rPr>
          <w:rFonts w:cs="Arial"/>
          <w:szCs w:val="20"/>
        </w:rPr>
        <w:t xml:space="preserve">, </w:t>
      </w:r>
      <w:r w:rsidRPr="0020367F">
        <w:rPr>
          <w:rFonts w:cs="Arial"/>
          <w:i/>
          <w:szCs w:val="20"/>
        </w:rPr>
        <w:t>64</w:t>
      </w:r>
      <w:r w:rsidRPr="0020367F">
        <w:rPr>
          <w:rFonts w:cs="Arial"/>
          <w:szCs w:val="20"/>
        </w:rPr>
        <w:t xml:space="preserve">, 269–274. </w:t>
      </w:r>
    </w:p>
    <w:p w14:paraId="3306F495" w14:textId="06FEF2EB" w:rsidR="00677434" w:rsidRDefault="00296447" w:rsidP="001B539F">
      <w:pPr>
        <w:spacing w:before="0"/>
        <w:ind w:left="284" w:hanging="284"/>
        <w:jc w:val="left"/>
      </w:pPr>
      <w:r>
        <w:t xml:space="preserve">von </w:t>
      </w:r>
      <w:proofErr w:type="spellStart"/>
      <w:r>
        <w:t>Meduna</w:t>
      </w:r>
      <w:proofErr w:type="spellEnd"/>
      <w:r>
        <w:t xml:space="preserve">, M., Steinmetz, F., Ante, L., Reynolds, J., &amp; Fiedler, I. (2020). Loot boxes are gambling-like elements in video games with harmful potential: Results from a large-scale population survey. </w:t>
      </w:r>
      <w:r>
        <w:rPr>
          <w:i/>
        </w:rPr>
        <w:t>Technology in Society</w:t>
      </w:r>
      <w:r>
        <w:t xml:space="preserve">, </w:t>
      </w:r>
      <w:r>
        <w:rPr>
          <w:i/>
        </w:rPr>
        <w:t>63</w:t>
      </w:r>
      <w:r>
        <w:t xml:space="preserve">, 101395. </w:t>
      </w:r>
      <w:hyperlink r:id="rId93" w:history="1">
        <w:r w:rsidR="00677434" w:rsidRPr="008270B9">
          <w:rPr>
            <w:rStyle w:val="Hyperlink"/>
          </w:rPr>
          <w:t>doi.org/10.1016/j.techsoc.2020.101395</w:t>
        </w:r>
      </w:hyperlink>
    </w:p>
    <w:p w14:paraId="2CE1BE1D" w14:textId="77777777" w:rsidR="00677434" w:rsidRDefault="00296447" w:rsidP="001B539F">
      <w:pPr>
        <w:spacing w:before="0"/>
        <w:ind w:left="284" w:hanging="284"/>
        <w:jc w:val="left"/>
      </w:pPr>
      <w:r>
        <w:t xml:space="preserve">Wardle, H., &amp; </w:t>
      </w:r>
      <w:proofErr w:type="spellStart"/>
      <w:r>
        <w:t>Zendle</w:t>
      </w:r>
      <w:proofErr w:type="spellEnd"/>
      <w:r>
        <w:t xml:space="preserve">, D. (2021). Loot </w:t>
      </w:r>
      <w:r w:rsidR="007C5BAA">
        <w:t>boxes, gambling, and problem gambling among young people</w:t>
      </w:r>
      <w:r>
        <w:t xml:space="preserve">: Results from a </w:t>
      </w:r>
      <w:r w:rsidR="007C5BAA">
        <w:t>cross-sectional online survey</w:t>
      </w:r>
      <w:r>
        <w:t xml:space="preserve">. </w:t>
      </w:r>
      <w:r>
        <w:rPr>
          <w:i/>
        </w:rPr>
        <w:t xml:space="preserve">Cyberpsychology, </w:t>
      </w:r>
      <w:proofErr w:type="spellStart"/>
      <w:r>
        <w:rPr>
          <w:i/>
        </w:rPr>
        <w:t>Behavior</w:t>
      </w:r>
      <w:proofErr w:type="spellEnd"/>
      <w:r>
        <w:rPr>
          <w:i/>
        </w:rPr>
        <w:t xml:space="preserve"> and Social Networking</w:t>
      </w:r>
      <w:r>
        <w:t xml:space="preserve">, </w:t>
      </w:r>
      <w:r>
        <w:rPr>
          <w:i/>
        </w:rPr>
        <w:t>24</w:t>
      </w:r>
      <w:r>
        <w:t xml:space="preserve">(4), 267–274. </w:t>
      </w:r>
      <w:hyperlink r:id="rId94" w:history="1">
        <w:r w:rsidR="00677434" w:rsidRPr="008270B9">
          <w:rPr>
            <w:rStyle w:val="Hyperlink"/>
          </w:rPr>
          <w:t>doi.org/10.1089/cyber.2020.0299</w:t>
        </w:r>
      </w:hyperlink>
    </w:p>
    <w:p w14:paraId="5958AFF1" w14:textId="77777777" w:rsidR="00B74047" w:rsidRPr="0020367F" w:rsidRDefault="00B74047" w:rsidP="00B74047">
      <w:pPr>
        <w:spacing w:before="0" w:line="280" w:lineRule="exact"/>
        <w:ind w:left="284" w:hanging="284"/>
        <w:jc w:val="left"/>
        <w:rPr>
          <w:rFonts w:cs="Arial"/>
          <w:szCs w:val="20"/>
        </w:rPr>
      </w:pPr>
      <w:r w:rsidRPr="0020367F">
        <w:rPr>
          <w:rFonts w:cs="Arial"/>
          <w:szCs w:val="20"/>
        </w:rPr>
        <w:t xml:space="preserve">Warren, D., &amp; Yu, M. (2018). </w:t>
      </w:r>
      <w:r w:rsidRPr="0020367F">
        <w:rPr>
          <w:rFonts w:cs="Arial"/>
          <w:iCs/>
          <w:szCs w:val="20"/>
        </w:rPr>
        <w:t>Are children and adolescents getting enough sleep? In G. Daraganova and N. Joss (Eds.),</w:t>
      </w:r>
      <w:r w:rsidRPr="0020367F">
        <w:rPr>
          <w:rFonts w:cs="Arial"/>
          <w:i/>
          <w:szCs w:val="20"/>
        </w:rPr>
        <w:t xml:space="preserve"> </w:t>
      </w:r>
      <w:r w:rsidRPr="0020367F">
        <w:rPr>
          <w:rFonts w:cs="Arial"/>
          <w:iCs/>
          <w:szCs w:val="20"/>
        </w:rPr>
        <w:t xml:space="preserve">Growing Up </w:t>
      </w:r>
      <w:proofErr w:type="gramStart"/>
      <w:r w:rsidRPr="0020367F">
        <w:rPr>
          <w:rFonts w:cs="Arial"/>
          <w:iCs/>
          <w:szCs w:val="20"/>
        </w:rPr>
        <w:t>In</w:t>
      </w:r>
      <w:proofErr w:type="gramEnd"/>
      <w:r w:rsidRPr="0020367F">
        <w:rPr>
          <w:rFonts w:cs="Arial"/>
          <w:iCs/>
          <w:szCs w:val="20"/>
        </w:rPr>
        <w:t xml:space="preserve"> Australia</w:t>
      </w:r>
      <w:r w:rsidRPr="0020367F">
        <w:rPr>
          <w:rFonts w:cs="Arial"/>
          <w:i/>
          <w:szCs w:val="20"/>
        </w:rPr>
        <w:t xml:space="preserve"> – The Longitudinal Study of Australian Children, Annual Statistical Report 2018. Melbourne: Australian Institute of Family </w:t>
      </w:r>
      <w:proofErr w:type="gramStart"/>
      <w:r w:rsidRPr="0020367F">
        <w:rPr>
          <w:rFonts w:cs="Arial"/>
          <w:i/>
          <w:szCs w:val="20"/>
        </w:rPr>
        <w:t>Studies.</w:t>
      </w:r>
      <w:r w:rsidRPr="0020367F">
        <w:rPr>
          <w:rFonts w:cs="Arial"/>
          <w:szCs w:val="20"/>
        </w:rPr>
        <w:t>.</w:t>
      </w:r>
      <w:proofErr w:type="gramEnd"/>
      <w:r w:rsidRPr="0020367F">
        <w:rPr>
          <w:rFonts w:cs="Arial"/>
          <w:szCs w:val="20"/>
        </w:rPr>
        <w:t xml:space="preserve"> Retrieved from: </w:t>
      </w:r>
      <w:hyperlink r:id="rId95" w:history="1">
        <w:r w:rsidRPr="0020367F">
          <w:rPr>
            <w:rStyle w:val="Hyperlink"/>
            <w:rFonts w:cs="Arial"/>
            <w:szCs w:val="20"/>
          </w:rPr>
          <w:t>growingupinaustralia.gov.au/sites/default/files/publication-documents/lsac-asr-2018-chap7-gambling.pdf</w:t>
        </w:r>
      </w:hyperlink>
    </w:p>
    <w:p w14:paraId="208F6E2F" w14:textId="77777777" w:rsidR="001F521B" w:rsidRPr="0020367F" w:rsidRDefault="001F521B" w:rsidP="001F521B">
      <w:pPr>
        <w:spacing w:before="0" w:line="280" w:lineRule="exact"/>
        <w:ind w:left="284" w:hanging="284"/>
        <w:jc w:val="left"/>
        <w:rPr>
          <w:rStyle w:val="Hyperlink"/>
          <w:rFonts w:cs="Arial"/>
          <w:szCs w:val="20"/>
        </w:rPr>
      </w:pPr>
      <w:r w:rsidRPr="0020367F">
        <w:rPr>
          <w:rFonts w:cs="Arial"/>
          <w:szCs w:val="20"/>
        </w:rPr>
        <w:t xml:space="preserve">Xiao, L. Y., Henderson, L. L., Yang, Y., &amp; Newall, P. W. S. (2021). Gaming the system: Suboptimal compliance with loot box probability disclosure regulations in China. </w:t>
      </w:r>
      <w:r w:rsidRPr="0020367F">
        <w:rPr>
          <w:rFonts w:cs="Arial"/>
          <w:i/>
          <w:szCs w:val="20"/>
        </w:rPr>
        <w:t>Behavioural Public Policy</w:t>
      </w:r>
      <w:r w:rsidRPr="0020367F">
        <w:rPr>
          <w:rFonts w:cs="Arial"/>
          <w:szCs w:val="20"/>
        </w:rPr>
        <w:t xml:space="preserve">, 1–27. </w:t>
      </w:r>
      <w:hyperlink r:id="rId96" w:history="1">
        <w:r w:rsidRPr="0020367F">
          <w:rPr>
            <w:rStyle w:val="Hyperlink"/>
            <w:rFonts w:cs="Arial"/>
            <w:szCs w:val="20"/>
          </w:rPr>
          <w:t>doi.org/10.1017/bpp.2021.23</w:t>
        </w:r>
      </w:hyperlink>
    </w:p>
    <w:p w14:paraId="6B472B09" w14:textId="6539ED09" w:rsidR="00677434" w:rsidRDefault="00296447" w:rsidP="001B539F">
      <w:pPr>
        <w:spacing w:before="0"/>
        <w:ind w:left="284" w:hanging="284"/>
        <w:jc w:val="left"/>
      </w:pPr>
      <w:r>
        <w:t xml:space="preserve">Yokomitsu, K., </w:t>
      </w:r>
      <w:proofErr w:type="spellStart"/>
      <w:r>
        <w:t>Irie</w:t>
      </w:r>
      <w:proofErr w:type="spellEnd"/>
      <w:r>
        <w:t xml:space="preserve">, T., </w:t>
      </w:r>
      <w:proofErr w:type="spellStart"/>
      <w:r>
        <w:t>Shinkawa</w:t>
      </w:r>
      <w:proofErr w:type="spellEnd"/>
      <w:r>
        <w:t xml:space="preserve">, H., &amp; Tanaka, M. (2021). Characteristics of </w:t>
      </w:r>
      <w:r w:rsidR="007C5BAA">
        <w:t>gamers who purchase loot box</w:t>
      </w:r>
      <w:r>
        <w:t xml:space="preserve">: </w:t>
      </w:r>
      <w:r w:rsidR="007C5BAA">
        <w:t>A systematic literature review</w:t>
      </w:r>
      <w:r>
        <w:t xml:space="preserve">. </w:t>
      </w:r>
      <w:r>
        <w:rPr>
          <w:i/>
        </w:rPr>
        <w:t>Current Addiction Reports</w:t>
      </w:r>
      <w:r>
        <w:t xml:space="preserve">, 1–13. </w:t>
      </w:r>
      <w:hyperlink r:id="rId97" w:history="1">
        <w:r w:rsidR="00677434" w:rsidRPr="008270B9">
          <w:rPr>
            <w:rStyle w:val="Hyperlink"/>
          </w:rPr>
          <w:t>doi.org/10.1007/s40429-021-00386-4</w:t>
        </w:r>
      </w:hyperlink>
    </w:p>
    <w:p w14:paraId="244AE392" w14:textId="77777777" w:rsidR="00677434" w:rsidRDefault="00296447" w:rsidP="001B539F">
      <w:pPr>
        <w:spacing w:before="0"/>
        <w:ind w:left="284" w:hanging="284"/>
        <w:jc w:val="left"/>
      </w:pPr>
      <w:proofErr w:type="spellStart"/>
      <w:r>
        <w:lastRenderedPageBreak/>
        <w:t>Zendle</w:t>
      </w:r>
      <w:proofErr w:type="spellEnd"/>
      <w:r>
        <w:t xml:space="preserve">, D. (2019). Problem gamblers spend less money when loot boxes are removed from a game: </w:t>
      </w:r>
      <w:r w:rsidR="007C5BAA">
        <w:t xml:space="preserve">A </w:t>
      </w:r>
      <w:r>
        <w:t xml:space="preserve">before and after study of Heroes of the Storm. </w:t>
      </w:r>
      <w:proofErr w:type="spellStart"/>
      <w:r>
        <w:rPr>
          <w:i/>
        </w:rPr>
        <w:t>PeerJ</w:t>
      </w:r>
      <w:proofErr w:type="spellEnd"/>
      <w:r>
        <w:t xml:space="preserve">, </w:t>
      </w:r>
      <w:r>
        <w:rPr>
          <w:i/>
        </w:rPr>
        <w:t>7</w:t>
      </w:r>
      <w:r>
        <w:t xml:space="preserve">, e7700. </w:t>
      </w:r>
      <w:hyperlink r:id="rId98" w:history="1">
        <w:r w:rsidR="00677434" w:rsidRPr="008270B9">
          <w:rPr>
            <w:rStyle w:val="Hyperlink"/>
          </w:rPr>
          <w:t>doi.org/10.7717/peerj.7700</w:t>
        </w:r>
      </w:hyperlink>
    </w:p>
    <w:p w14:paraId="68090FB5" w14:textId="77777777" w:rsidR="00677434" w:rsidRDefault="00296447" w:rsidP="001B539F">
      <w:pPr>
        <w:spacing w:before="0"/>
        <w:ind w:left="284" w:hanging="284"/>
        <w:jc w:val="left"/>
      </w:pPr>
      <w:proofErr w:type="spellStart"/>
      <w:r>
        <w:t>Zendle</w:t>
      </w:r>
      <w:proofErr w:type="spellEnd"/>
      <w:r>
        <w:t xml:space="preserve">, D. (2020). Beyond loot boxes: </w:t>
      </w:r>
      <w:r w:rsidR="007C5BAA">
        <w:t xml:space="preserve">A </w:t>
      </w:r>
      <w:r>
        <w:t xml:space="preserve">variety of gambling-like practices in video games are linked to both problem gambling and disordered gaming. </w:t>
      </w:r>
      <w:proofErr w:type="spellStart"/>
      <w:r>
        <w:rPr>
          <w:i/>
        </w:rPr>
        <w:t>PeerJ</w:t>
      </w:r>
      <w:proofErr w:type="spellEnd"/>
      <w:r>
        <w:t xml:space="preserve">, </w:t>
      </w:r>
      <w:r>
        <w:rPr>
          <w:i/>
        </w:rPr>
        <w:t>8</w:t>
      </w:r>
      <w:r>
        <w:t xml:space="preserve">, e9466. </w:t>
      </w:r>
      <w:hyperlink r:id="rId99" w:history="1">
        <w:r w:rsidR="00677434" w:rsidRPr="008270B9">
          <w:rPr>
            <w:rStyle w:val="Hyperlink"/>
          </w:rPr>
          <w:t>doi.org/10.7717/peerj.9466</w:t>
        </w:r>
      </w:hyperlink>
    </w:p>
    <w:p w14:paraId="3EAC9162" w14:textId="77777777" w:rsidR="00677434" w:rsidRDefault="00296447" w:rsidP="001B539F">
      <w:pPr>
        <w:spacing w:before="0"/>
        <w:ind w:left="284" w:hanging="284"/>
        <w:jc w:val="left"/>
      </w:pPr>
      <w:proofErr w:type="spellStart"/>
      <w:r>
        <w:t>Zendle</w:t>
      </w:r>
      <w:proofErr w:type="spellEnd"/>
      <w:r>
        <w:t xml:space="preserve">, D., &amp; Cairns, P. (2018). Video game loot boxes are linked to problem gambling: Results of a large-scale survey. </w:t>
      </w:r>
      <w:proofErr w:type="spellStart"/>
      <w:r>
        <w:rPr>
          <w:i/>
        </w:rPr>
        <w:t>PloS</w:t>
      </w:r>
      <w:proofErr w:type="spellEnd"/>
      <w:r>
        <w:rPr>
          <w:i/>
        </w:rPr>
        <w:t xml:space="preserve"> One</w:t>
      </w:r>
      <w:r>
        <w:t xml:space="preserve">, </w:t>
      </w:r>
      <w:r>
        <w:rPr>
          <w:i/>
        </w:rPr>
        <w:t>13</w:t>
      </w:r>
      <w:r>
        <w:t xml:space="preserve">(11), e0206767. </w:t>
      </w:r>
      <w:hyperlink r:id="rId100" w:history="1">
        <w:r w:rsidR="00677434" w:rsidRPr="008270B9">
          <w:rPr>
            <w:rStyle w:val="Hyperlink"/>
          </w:rPr>
          <w:t>doi.org/10.1371/journal.pone.0206767</w:t>
        </w:r>
      </w:hyperlink>
    </w:p>
    <w:p w14:paraId="7D523563" w14:textId="77777777" w:rsidR="00677434" w:rsidRDefault="00296447" w:rsidP="001B539F">
      <w:pPr>
        <w:spacing w:before="0"/>
        <w:ind w:left="284" w:hanging="284"/>
        <w:jc w:val="left"/>
      </w:pPr>
      <w:proofErr w:type="spellStart"/>
      <w:r>
        <w:t>Zendle</w:t>
      </w:r>
      <w:proofErr w:type="spellEnd"/>
      <w:r>
        <w:t xml:space="preserve">, D., &amp; Cairns, P. (2019). Loot boxes are again linked to problem gambling: Results of a replication study. </w:t>
      </w:r>
      <w:proofErr w:type="spellStart"/>
      <w:r>
        <w:rPr>
          <w:i/>
        </w:rPr>
        <w:t>PloS</w:t>
      </w:r>
      <w:proofErr w:type="spellEnd"/>
      <w:r>
        <w:rPr>
          <w:i/>
        </w:rPr>
        <w:t xml:space="preserve"> One</w:t>
      </w:r>
      <w:r>
        <w:t xml:space="preserve">, </w:t>
      </w:r>
      <w:r>
        <w:rPr>
          <w:i/>
        </w:rPr>
        <w:t>14</w:t>
      </w:r>
      <w:r>
        <w:t xml:space="preserve">(3), e0213194. </w:t>
      </w:r>
      <w:hyperlink r:id="rId101" w:history="1">
        <w:r w:rsidR="00677434" w:rsidRPr="008270B9">
          <w:rPr>
            <w:rStyle w:val="Hyperlink"/>
          </w:rPr>
          <w:t>doi.org/10.1371/journal.pone.0213194</w:t>
        </w:r>
      </w:hyperlink>
    </w:p>
    <w:p w14:paraId="55D72088" w14:textId="77777777" w:rsidR="00677434" w:rsidRDefault="00296447" w:rsidP="001B539F">
      <w:pPr>
        <w:spacing w:before="0"/>
        <w:ind w:left="284" w:hanging="284"/>
        <w:jc w:val="left"/>
      </w:pPr>
      <w:proofErr w:type="spellStart"/>
      <w:r>
        <w:t>Zendle</w:t>
      </w:r>
      <w:proofErr w:type="spellEnd"/>
      <w:r>
        <w:t xml:space="preserve">, D., Cairns, P., Barnett, H., &amp; McCall, C. (2019). Paying for loot boxes is linked to problem gambling, regardless of specific features like cash-out and pay-to-win. </w:t>
      </w:r>
      <w:r>
        <w:rPr>
          <w:i/>
        </w:rPr>
        <w:t xml:space="preserve">Computers in Human </w:t>
      </w:r>
      <w:proofErr w:type="spellStart"/>
      <w:r>
        <w:rPr>
          <w:i/>
        </w:rPr>
        <w:t>Behavior</w:t>
      </w:r>
      <w:proofErr w:type="spellEnd"/>
      <w:r>
        <w:t xml:space="preserve">. </w:t>
      </w:r>
      <w:hyperlink r:id="rId102" w:history="1">
        <w:r w:rsidR="00677434" w:rsidRPr="008270B9">
          <w:rPr>
            <w:rStyle w:val="Hyperlink"/>
          </w:rPr>
          <w:t>doi.org/10.1016/j.chb.2019.07.003</w:t>
        </w:r>
      </w:hyperlink>
    </w:p>
    <w:p w14:paraId="3D87F5FC" w14:textId="77777777" w:rsidR="00DB5F7D" w:rsidRPr="0020367F" w:rsidRDefault="00DB5F7D" w:rsidP="00DB5F7D">
      <w:pPr>
        <w:spacing w:before="0" w:line="280" w:lineRule="exact"/>
        <w:ind w:left="284" w:hanging="284"/>
        <w:jc w:val="left"/>
        <w:rPr>
          <w:rFonts w:cs="Arial"/>
          <w:szCs w:val="20"/>
        </w:rPr>
      </w:pPr>
      <w:proofErr w:type="spellStart"/>
      <w:r w:rsidRPr="0020367F">
        <w:rPr>
          <w:rFonts w:cs="Arial"/>
          <w:szCs w:val="20"/>
        </w:rPr>
        <w:t>Zendle</w:t>
      </w:r>
      <w:proofErr w:type="spellEnd"/>
      <w:r w:rsidRPr="0020367F">
        <w:rPr>
          <w:rFonts w:cs="Arial"/>
          <w:szCs w:val="20"/>
        </w:rPr>
        <w:t xml:space="preserve">, D., Meyer, R., &amp; Ballou, N. (2020). The changing face of desktop video game monetisation: An exploration of exposure to loot boxes, pay to win, and cosmetic microtransactions in the most-played Steam games of 2010-2019. </w:t>
      </w:r>
      <w:proofErr w:type="spellStart"/>
      <w:r w:rsidRPr="0020367F">
        <w:rPr>
          <w:rFonts w:cs="Arial"/>
          <w:i/>
          <w:iCs/>
          <w:szCs w:val="20"/>
        </w:rPr>
        <w:t>PloS</w:t>
      </w:r>
      <w:proofErr w:type="spellEnd"/>
      <w:r w:rsidRPr="0020367F">
        <w:rPr>
          <w:rFonts w:cs="Arial"/>
          <w:i/>
          <w:iCs/>
          <w:szCs w:val="20"/>
        </w:rPr>
        <w:t xml:space="preserve"> One</w:t>
      </w:r>
      <w:r w:rsidRPr="0020367F">
        <w:rPr>
          <w:rFonts w:cs="Arial"/>
          <w:szCs w:val="20"/>
        </w:rPr>
        <w:t xml:space="preserve">, </w:t>
      </w:r>
      <w:r w:rsidRPr="0020367F">
        <w:rPr>
          <w:rFonts w:cs="Arial"/>
          <w:i/>
          <w:iCs/>
          <w:szCs w:val="20"/>
        </w:rPr>
        <w:t>15</w:t>
      </w:r>
      <w:r w:rsidRPr="0020367F">
        <w:rPr>
          <w:rFonts w:cs="Arial"/>
          <w:szCs w:val="20"/>
        </w:rPr>
        <w:t>(5), e0232780. doi.org/10.1371/journal.pone.0232780</w:t>
      </w:r>
    </w:p>
    <w:p w14:paraId="3907EE21" w14:textId="1134DB59" w:rsidR="00296447" w:rsidRDefault="00296447" w:rsidP="001B539F">
      <w:pPr>
        <w:spacing w:before="0"/>
        <w:ind w:left="284" w:hanging="284"/>
        <w:jc w:val="left"/>
      </w:pPr>
      <w:proofErr w:type="spellStart"/>
      <w:r>
        <w:t>Zendle</w:t>
      </w:r>
      <w:proofErr w:type="spellEnd"/>
      <w:r>
        <w:t xml:space="preserve">, D., Meyer, R., &amp; Over, H. (2019). Adolescents and loot boxes: </w:t>
      </w:r>
      <w:r w:rsidR="007C5BAA">
        <w:t xml:space="preserve">Links </w:t>
      </w:r>
      <w:r>
        <w:t xml:space="preserve">with problem gambling and motivations for purchase. </w:t>
      </w:r>
      <w:r>
        <w:rPr>
          <w:i/>
        </w:rPr>
        <w:t>Royal Society Open Science</w:t>
      </w:r>
      <w:r>
        <w:t xml:space="preserve">, </w:t>
      </w:r>
      <w:r>
        <w:rPr>
          <w:i/>
        </w:rPr>
        <w:t>6</w:t>
      </w:r>
      <w:r>
        <w:t xml:space="preserve">(6), 190049. </w:t>
      </w:r>
      <w:hyperlink r:id="rId103" w:history="1">
        <w:r w:rsidR="00677434" w:rsidRPr="008270B9">
          <w:rPr>
            <w:rStyle w:val="Hyperlink"/>
          </w:rPr>
          <w:t>doi.org/10.1098/rsos.190049</w:t>
        </w:r>
      </w:hyperlink>
    </w:p>
    <w:p w14:paraId="6F45A72C" w14:textId="77777777" w:rsidR="00A97D94" w:rsidRDefault="00A97D94" w:rsidP="00E67FF0">
      <w:pPr>
        <w:spacing w:before="0" w:line="280" w:lineRule="exact"/>
        <w:ind w:left="284" w:hanging="284"/>
        <w:jc w:val="left"/>
        <w:rPr>
          <w:rStyle w:val="Hyperlink"/>
        </w:rPr>
      </w:pPr>
    </w:p>
    <w:p w14:paraId="7E2BB04A" w14:textId="77777777" w:rsidR="00DD374B" w:rsidRDefault="00817B59" w:rsidP="008A00F7">
      <w:pPr>
        <w:pStyle w:val="AppendixHeading1"/>
        <w:numPr>
          <w:ilvl w:val="0"/>
          <w:numId w:val="0"/>
        </w:numPr>
        <w:ind w:left="284" w:hanging="227"/>
      </w:pPr>
      <w:bookmarkStart w:id="72" w:name="_Toc97649970"/>
      <w:bookmarkStart w:id="73" w:name="_Toc106359531"/>
      <w:r>
        <w:lastRenderedPageBreak/>
        <w:t>Appendi</w:t>
      </w:r>
      <w:r w:rsidR="00836AC7">
        <w:t>ces</w:t>
      </w:r>
      <w:bookmarkEnd w:id="72"/>
      <w:bookmarkEnd w:id="73"/>
    </w:p>
    <w:p w14:paraId="6D1713D2" w14:textId="2EAAD829" w:rsidR="009210F4" w:rsidRDefault="009210F4" w:rsidP="000B2101">
      <w:pPr>
        <w:pStyle w:val="AppendixHeading2"/>
      </w:pPr>
      <w:bookmarkStart w:id="74" w:name="_Toc97649971"/>
      <w:bookmarkStart w:id="75" w:name="_Toc106359532"/>
      <w:r>
        <w:t xml:space="preserve">Appendix </w:t>
      </w:r>
      <w:r w:rsidR="00D66724">
        <w:t>A</w:t>
      </w:r>
      <w:r w:rsidR="00EC37DE">
        <w:t>. Glossary</w:t>
      </w:r>
      <w:bookmarkEnd w:id="74"/>
      <w:bookmarkEnd w:id="75"/>
    </w:p>
    <w:tbl>
      <w:tblPr>
        <w:tblStyle w:val="TableGrid"/>
        <w:tblW w:w="8222" w:type="dxa"/>
        <w:tblLook w:val="04A0" w:firstRow="1" w:lastRow="0" w:firstColumn="1" w:lastColumn="0" w:noHBand="0" w:noVBand="1"/>
      </w:tblPr>
      <w:tblGrid>
        <w:gridCol w:w="2268"/>
        <w:gridCol w:w="5954"/>
      </w:tblGrid>
      <w:tr w:rsidR="009210F4" w14:paraId="73421B42" w14:textId="77777777" w:rsidTr="34ECA987">
        <w:trPr>
          <w:cnfStyle w:val="100000000000" w:firstRow="1" w:lastRow="0" w:firstColumn="0" w:lastColumn="0" w:oddVBand="0" w:evenVBand="0" w:oddHBand="0" w:evenHBand="0" w:firstRowFirstColumn="0" w:firstRowLastColumn="0" w:lastRowFirstColumn="0" w:lastRowLastColumn="0"/>
          <w:tblHeader/>
        </w:trPr>
        <w:tc>
          <w:tcPr>
            <w:tcW w:w="2268" w:type="dxa"/>
          </w:tcPr>
          <w:p w14:paraId="296052C1" w14:textId="77777777" w:rsidR="009210F4" w:rsidRPr="000801C8" w:rsidRDefault="009210F4" w:rsidP="00CC3DA5">
            <w:pPr>
              <w:pStyle w:val="TableColHeadLeft"/>
              <w:keepNext w:val="0"/>
              <w:numPr>
                <w:ilvl w:val="0"/>
                <w:numId w:val="0"/>
              </w:numPr>
              <w:ind w:left="31"/>
              <w:rPr>
                <w:b/>
              </w:rPr>
            </w:pPr>
            <w:r w:rsidRPr="000801C8">
              <w:rPr>
                <w:b/>
              </w:rPr>
              <w:t>Term</w:t>
            </w:r>
          </w:p>
        </w:tc>
        <w:tc>
          <w:tcPr>
            <w:tcW w:w="5954" w:type="dxa"/>
          </w:tcPr>
          <w:p w14:paraId="6F538C81" w14:textId="77777777" w:rsidR="009210F4" w:rsidRPr="000801C8" w:rsidRDefault="009210F4" w:rsidP="001A7DB6">
            <w:pPr>
              <w:pStyle w:val="TableColHeadLeft"/>
              <w:keepNext w:val="0"/>
              <w:numPr>
                <w:ilvl w:val="0"/>
                <w:numId w:val="0"/>
              </w:numPr>
              <w:ind w:left="34"/>
              <w:rPr>
                <w:b/>
              </w:rPr>
            </w:pPr>
            <w:r w:rsidRPr="000801C8">
              <w:rPr>
                <w:b/>
              </w:rPr>
              <w:t>Description</w:t>
            </w:r>
          </w:p>
        </w:tc>
      </w:tr>
      <w:tr w:rsidR="009210F4" w14:paraId="4A142DCC" w14:textId="77777777" w:rsidTr="34ECA987">
        <w:tc>
          <w:tcPr>
            <w:tcW w:w="2268" w:type="dxa"/>
          </w:tcPr>
          <w:p w14:paraId="4A1CB07B" w14:textId="77777777" w:rsidR="009210F4" w:rsidRDefault="009210F4" w:rsidP="00D007FB">
            <w:pPr>
              <w:pStyle w:val="TableText"/>
              <w:keepNext w:val="0"/>
              <w:numPr>
                <w:ilvl w:val="0"/>
                <w:numId w:val="0"/>
              </w:numPr>
              <w:ind w:left="31"/>
              <w:jc w:val="left"/>
            </w:pPr>
            <w:r>
              <w:t>Case study</w:t>
            </w:r>
          </w:p>
        </w:tc>
        <w:tc>
          <w:tcPr>
            <w:tcW w:w="5954" w:type="dxa"/>
          </w:tcPr>
          <w:p w14:paraId="49AB421D" w14:textId="77777777" w:rsidR="009210F4" w:rsidRPr="006760B7" w:rsidRDefault="009210F4" w:rsidP="001A7DB6">
            <w:pPr>
              <w:pStyle w:val="TableColHeadLeft"/>
              <w:keepNext w:val="0"/>
              <w:numPr>
                <w:ilvl w:val="0"/>
                <w:numId w:val="0"/>
              </w:numPr>
              <w:ind w:left="34"/>
              <w:rPr>
                <w:color w:val="auto"/>
              </w:rPr>
            </w:pPr>
            <w:r w:rsidRPr="39B45D9B">
              <w:rPr>
                <w:color w:val="auto"/>
              </w:rPr>
              <w:t xml:space="preserve">An in-depth, detailed examination of a particular case (or cases) within the real-world context. Case studies cannot be </w:t>
            </w:r>
            <w:proofErr w:type="spellStart"/>
            <w:r w:rsidRPr="39B45D9B">
              <w:rPr>
                <w:color w:val="auto"/>
              </w:rPr>
              <w:t>generalised</w:t>
            </w:r>
            <w:proofErr w:type="spellEnd"/>
            <w:r w:rsidRPr="39B45D9B">
              <w:rPr>
                <w:color w:val="auto"/>
              </w:rPr>
              <w:t xml:space="preserve"> to the larger population and do not demonstrate causal relationships. </w:t>
            </w:r>
          </w:p>
        </w:tc>
      </w:tr>
      <w:tr w:rsidR="009210F4" w14:paraId="5D070D54" w14:textId="77777777" w:rsidTr="34ECA987">
        <w:tc>
          <w:tcPr>
            <w:tcW w:w="2268" w:type="dxa"/>
          </w:tcPr>
          <w:p w14:paraId="032DCE18" w14:textId="77777777" w:rsidR="009210F4" w:rsidRDefault="009210F4" w:rsidP="00D007FB">
            <w:pPr>
              <w:pStyle w:val="TableText"/>
              <w:keepNext w:val="0"/>
              <w:numPr>
                <w:ilvl w:val="0"/>
                <w:numId w:val="0"/>
              </w:numPr>
              <w:ind w:left="31"/>
              <w:jc w:val="left"/>
            </w:pPr>
            <w:r>
              <w:t>Cross-sectional study</w:t>
            </w:r>
          </w:p>
        </w:tc>
        <w:tc>
          <w:tcPr>
            <w:tcW w:w="5954" w:type="dxa"/>
          </w:tcPr>
          <w:p w14:paraId="0F48202D" w14:textId="77777777" w:rsidR="009210F4" w:rsidRPr="006760B7" w:rsidRDefault="009210F4" w:rsidP="001A7DB6">
            <w:pPr>
              <w:pStyle w:val="TableColHeadLeft"/>
              <w:keepNext w:val="0"/>
              <w:numPr>
                <w:ilvl w:val="0"/>
                <w:numId w:val="0"/>
              </w:numPr>
              <w:ind w:left="34"/>
              <w:rPr>
                <w:color w:val="auto"/>
              </w:rPr>
            </w:pPr>
            <w:r w:rsidRPr="39B45D9B">
              <w:rPr>
                <w:color w:val="auto"/>
              </w:rPr>
              <w:t>A non-experimental research design in which the researcher collects data from a sample at a specified point in time. The variables are not manipulated by the researchers, nor can the results be used to assert causal relationships between variables.</w:t>
            </w:r>
          </w:p>
        </w:tc>
      </w:tr>
      <w:tr w:rsidR="00370FEC" w14:paraId="3AB49CFD" w14:textId="77777777" w:rsidTr="34ECA987">
        <w:tc>
          <w:tcPr>
            <w:tcW w:w="2268" w:type="dxa"/>
          </w:tcPr>
          <w:p w14:paraId="72973C15" w14:textId="77777777" w:rsidR="00370FEC" w:rsidRDefault="00370FEC" w:rsidP="00D007FB">
            <w:pPr>
              <w:pStyle w:val="TableText"/>
              <w:keepNext w:val="0"/>
              <w:numPr>
                <w:ilvl w:val="0"/>
                <w:numId w:val="0"/>
              </w:numPr>
              <w:ind w:left="31"/>
              <w:jc w:val="left"/>
            </w:pPr>
            <w:r>
              <w:t>DV</w:t>
            </w:r>
          </w:p>
        </w:tc>
        <w:tc>
          <w:tcPr>
            <w:tcW w:w="5954" w:type="dxa"/>
          </w:tcPr>
          <w:p w14:paraId="2EE8F966" w14:textId="77777777" w:rsidR="00370FEC" w:rsidRPr="39B45D9B" w:rsidRDefault="00370FEC" w:rsidP="001A7DB6">
            <w:pPr>
              <w:pStyle w:val="TableColHeadLeft"/>
              <w:keepNext w:val="0"/>
              <w:numPr>
                <w:ilvl w:val="0"/>
                <w:numId w:val="0"/>
              </w:numPr>
              <w:ind w:left="34"/>
              <w:rPr>
                <w:color w:val="auto"/>
              </w:rPr>
            </w:pPr>
            <w:r>
              <w:rPr>
                <w:color w:val="auto"/>
              </w:rPr>
              <w:t>Dependent variable</w:t>
            </w:r>
          </w:p>
        </w:tc>
      </w:tr>
      <w:tr w:rsidR="009210F4" w14:paraId="606368DC" w14:textId="77777777" w:rsidTr="34ECA987">
        <w:tc>
          <w:tcPr>
            <w:tcW w:w="2268" w:type="dxa"/>
          </w:tcPr>
          <w:p w14:paraId="3DF77512" w14:textId="77777777" w:rsidR="009210F4" w:rsidRDefault="009210F4" w:rsidP="00D007FB">
            <w:pPr>
              <w:pStyle w:val="TableText"/>
              <w:keepNext w:val="0"/>
              <w:numPr>
                <w:ilvl w:val="0"/>
                <w:numId w:val="0"/>
              </w:numPr>
              <w:ind w:left="31"/>
              <w:jc w:val="left"/>
            </w:pPr>
            <w:r>
              <w:t>Effect size</w:t>
            </w:r>
          </w:p>
        </w:tc>
        <w:tc>
          <w:tcPr>
            <w:tcW w:w="5954" w:type="dxa"/>
          </w:tcPr>
          <w:p w14:paraId="5953013D" w14:textId="77777777" w:rsidR="009210F4" w:rsidRPr="006760B7" w:rsidRDefault="009210F4" w:rsidP="001A7DB6">
            <w:pPr>
              <w:pStyle w:val="TableColHeadLeft"/>
              <w:keepNext w:val="0"/>
              <w:numPr>
                <w:ilvl w:val="0"/>
                <w:numId w:val="0"/>
              </w:numPr>
              <w:ind w:left="34"/>
              <w:rPr>
                <w:color w:val="auto"/>
              </w:rPr>
            </w:pPr>
            <w:r w:rsidRPr="002D7CB8">
              <w:rPr>
                <w:color w:val="auto"/>
              </w:rPr>
              <w:t>A numeric measure of the size or strength of a relationship between two variables. The larger the effect size, the stronger the relationship</w:t>
            </w:r>
            <w:r>
              <w:rPr>
                <w:color w:val="auto"/>
              </w:rPr>
              <w:t>.</w:t>
            </w:r>
          </w:p>
        </w:tc>
      </w:tr>
      <w:tr w:rsidR="00C135AA" w14:paraId="3A5BF81D" w14:textId="77777777" w:rsidTr="34ECA987">
        <w:tc>
          <w:tcPr>
            <w:tcW w:w="2268" w:type="dxa"/>
          </w:tcPr>
          <w:p w14:paraId="60BAA8BF" w14:textId="77777777" w:rsidR="00C135AA" w:rsidRDefault="00C135AA" w:rsidP="00D007FB">
            <w:pPr>
              <w:pStyle w:val="TableText"/>
              <w:keepNext w:val="0"/>
              <w:numPr>
                <w:ilvl w:val="0"/>
                <w:numId w:val="0"/>
              </w:numPr>
              <w:ind w:left="31"/>
              <w:jc w:val="left"/>
            </w:pPr>
            <w:r>
              <w:t>Electronic gaming machines (EGMs)</w:t>
            </w:r>
          </w:p>
        </w:tc>
        <w:tc>
          <w:tcPr>
            <w:tcW w:w="5954" w:type="dxa"/>
          </w:tcPr>
          <w:p w14:paraId="73E885A5" w14:textId="77777777" w:rsidR="00C135AA" w:rsidRPr="002D7CB8" w:rsidRDefault="00A163C1" w:rsidP="001A7DB6">
            <w:pPr>
              <w:pStyle w:val="TableColHeadLeft"/>
              <w:keepNext w:val="0"/>
              <w:numPr>
                <w:ilvl w:val="0"/>
                <w:numId w:val="0"/>
              </w:numPr>
              <w:ind w:left="34"/>
              <w:rPr>
                <w:color w:val="auto"/>
              </w:rPr>
            </w:pPr>
            <w:r w:rsidRPr="00A163C1">
              <w:rPr>
                <w:color w:val="auto"/>
              </w:rPr>
              <w:t xml:space="preserve">Also known as ‘slots’, ‘pokies’, ‘poker machines’ and ‘fruit </w:t>
            </w:r>
            <w:proofErr w:type="gramStart"/>
            <w:r w:rsidRPr="00A163C1">
              <w:rPr>
                <w:color w:val="auto"/>
              </w:rPr>
              <w:t>machines’</w:t>
            </w:r>
            <w:proofErr w:type="gramEnd"/>
            <w:r w:rsidRPr="00A163C1">
              <w:rPr>
                <w:color w:val="auto"/>
              </w:rPr>
              <w:t xml:space="preserve">. EGMs usually have three or more computer-simulated reels which </w:t>
            </w:r>
            <w:r w:rsidR="00B214BC">
              <w:rPr>
                <w:color w:val="auto"/>
              </w:rPr>
              <w:t>‘</w:t>
            </w:r>
            <w:r w:rsidRPr="00A163C1">
              <w:rPr>
                <w:color w:val="auto"/>
              </w:rPr>
              <w:t>spin</w:t>
            </w:r>
            <w:r w:rsidR="00B214BC">
              <w:rPr>
                <w:color w:val="auto"/>
              </w:rPr>
              <w:t>’</w:t>
            </w:r>
            <w:r w:rsidRPr="00A163C1">
              <w:rPr>
                <w:color w:val="auto"/>
              </w:rPr>
              <w:t xml:space="preserve"> when a button is pushed. When winning symbols line up a prize is awarded.</w:t>
            </w:r>
          </w:p>
        </w:tc>
      </w:tr>
      <w:tr w:rsidR="009210F4" w14:paraId="76BC31B5" w14:textId="77777777" w:rsidTr="34ECA987">
        <w:tc>
          <w:tcPr>
            <w:tcW w:w="2268" w:type="dxa"/>
          </w:tcPr>
          <w:p w14:paraId="754A3D09" w14:textId="77777777" w:rsidR="009210F4" w:rsidRDefault="009210F4" w:rsidP="00D007FB">
            <w:pPr>
              <w:pStyle w:val="TableText"/>
              <w:keepNext w:val="0"/>
              <w:numPr>
                <w:ilvl w:val="0"/>
                <w:numId w:val="0"/>
              </w:numPr>
              <w:ind w:left="31"/>
              <w:jc w:val="left"/>
            </w:pPr>
            <w:r>
              <w:t>Experimental study</w:t>
            </w:r>
          </w:p>
        </w:tc>
        <w:tc>
          <w:tcPr>
            <w:tcW w:w="5954" w:type="dxa"/>
          </w:tcPr>
          <w:p w14:paraId="3C146D91" w14:textId="77777777" w:rsidR="009210F4" w:rsidRDefault="009210F4" w:rsidP="001A7DB6">
            <w:pPr>
              <w:pStyle w:val="TableColHeadLeft"/>
              <w:keepNext w:val="0"/>
              <w:numPr>
                <w:ilvl w:val="0"/>
                <w:numId w:val="0"/>
              </w:numPr>
              <w:ind w:left="34"/>
              <w:rPr>
                <w:color w:val="auto"/>
              </w:rPr>
            </w:pPr>
            <w:r w:rsidRPr="003208B7">
              <w:rPr>
                <w:color w:val="auto"/>
              </w:rPr>
              <w:t xml:space="preserve">A study in which the researcher manipulates an independent variable to determine its effect on an outcome, randomly assigns participants to </w:t>
            </w:r>
            <w:r>
              <w:rPr>
                <w:color w:val="auto"/>
              </w:rPr>
              <w:t xml:space="preserve">certain </w:t>
            </w:r>
            <w:r w:rsidRPr="003208B7">
              <w:rPr>
                <w:color w:val="auto"/>
              </w:rPr>
              <w:t>conditions, or both. Experimental studies are used to determine causal relationships</w:t>
            </w:r>
            <w:r>
              <w:rPr>
                <w:color w:val="auto"/>
              </w:rPr>
              <w:t>.</w:t>
            </w:r>
          </w:p>
        </w:tc>
      </w:tr>
      <w:tr w:rsidR="00446C30" w14:paraId="17EC8A47" w14:textId="77777777" w:rsidTr="34ECA987">
        <w:tc>
          <w:tcPr>
            <w:tcW w:w="2268" w:type="dxa"/>
          </w:tcPr>
          <w:p w14:paraId="2CCBEB62" w14:textId="77777777" w:rsidR="00446C30" w:rsidRDefault="00446C30" w:rsidP="00D007FB">
            <w:pPr>
              <w:pStyle w:val="TableText"/>
              <w:keepNext w:val="0"/>
              <w:numPr>
                <w:ilvl w:val="0"/>
                <w:numId w:val="0"/>
              </w:numPr>
              <w:ind w:left="31"/>
              <w:jc w:val="left"/>
            </w:pPr>
            <w:r>
              <w:t>Gambling-related harms</w:t>
            </w:r>
          </w:p>
        </w:tc>
        <w:tc>
          <w:tcPr>
            <w:tcW w:w="5954" w:type="dxa"/>
          </w:tcPr>
          <w:p w14:paraId="2611E78B" w14:textId="77777777" w:rsidR="00446C30" w:rsidRPr="003208B7" w:rsidRDefault="00446C30" w:rsidP="001A7DB6">
            <w:pPr>
              <w:pStyle w:val="TableColHeadLeft"/>
              <w:keepNext w:val="0"/>
              <w:numPr>
                <w:ilvl w:val="0"/>
                <w:numId w:val="0"/>
              </w:numPr>
              <w:ind w:left="34"/>
              <w:rPr>
                <w:color w:val="auto"/>
              </w:rPr>
            </w:pPr>
            <w:r w:rsidRPr="00446C30">
              <w:rPr>
                <w:color w:val="auto"/>
              </w:rPr>
              <w:t>The negative consequences of maladaptive gambling-related behaviour and cognitions (Browne</w:t>
            </w:r>
            <w:r w:rsidR="004E4671">
              <w:rPr>
                <w:color w:val="auto"/>
              </w:rPr>
              <w:t xml:space="preserve"> et al</w:t>
            </w:r>
            <w:r w:rsidR="00B4223E">
              <w:rPr>
                <w:color w:val="auto"/>
              </w:rPr>
              <w:t>.</w:t>
            </w:r>
            <w:r w:rsidRPr="00446C30">
              <w:rPr>
                <w:color w:val="auto"/>
              </w:rPr>
              <w:t>, 201</w:t>
            </w:r>
            <w:r w:rsidR="00B4223E">
              <w:rPr>
                <w:color w:val="auto"/>
              </w:rPr>
              <w:t>6</w:t>
            </w:r>
            <w:r w:rsidRPr="00446C30">
              <w:rPr>
                <w:color w:val="auto"/>
              </w:rPr>
              <w:t xml:space="preserve">). Browne and colleagues (2016) developed a conceptual framework for gambling-related harm that comprises </w:t>
            </w:r>
            <w:r w:rsidR="00D57A6E">
              <w:rPr>
                <w:color w:val="auto"/>
              </w:rPr>
              <w:t>seven</w:t>
            </w:r>
            <w:r w:rsidR="00D57A6E" w:rsidRPr="00446C30">
              <w:rPr>
                <w:color w:val="auto"/>
              </w:rPr>
              <w:t xml:space="preserve"> </w:t>
            </w:r>
            <w:r w:rsidRPr="00446C30">
              <w:rPr>
                <w:color w:val="auto"/>
              </w:rPr>
              <w:t xml:space="preserve">main domains: financial, relationships, emotional/psychological, decrements to health, reduced performance at work/study, cultural </w:t>
            </w:r>
            <w:proofErr w:type="gramStart"/>
            <w:r w:rsidRPr="00446C30">
              <w:rPr>
                <w:color w:val="auto"/>
              </w:rPr>
              <w:t>harm</w:t>
            </w:r>
            <w:proofErr w:type="gramEnd"/>
            <w:r w:rsidRPr="00446C30">
              <w:rPr>
                <w:color w:val="auto"/>
              </w:rPr>
              <w:t xml:space="preserve"> and criminal activities.</w:t>
            </w:r>
          </w:p>
        </w:tc>
      </w:tr>
      <w:tr w:rsidR="009210F4" w14:paraId="788E7185" w14:textId="77777777" w:rsidTr="34ECA987">
        <w:tc>
          <w:tcPr>
            <w:tcW w:w="2268" w:type="dxa"/>
          </w:tcPr>
          <w:p w14:paraId="688183E8" w14:textId="77777777" w:rsidR="009210F4" w:rsidRDefault="009210F4" w:rsidP="00D007FB">
            <w:pPr>
              <w:pStyle w:val="TableText"/>
              <w:keepNext w:val="0"/>
              <w:numPr>
                <w:ilvl w:val="0"/>
                <w:numId w:val="0"/>
              </w:numPr>
              <w:ind w:left="31"/>
              <w:jc w:val="left"/>
            </w:pPr>
            <w:proofErr w:type="spellStart"/>
            <w:r>
              <w:t>Generalisability</w:t>
            </w:r>
            <w:proofErr w:type="spellEnd"/>
          </w:p>
        </w:tc>
        <w:tc>
          <w:tcPr>
            <w:tcW w:w="5954" w:type="dxa"/>
          </w:tcPr>
          <w:p w14:paraId="4BAE4B60" w14:textId="77777777" w:rsidR="009210F4" w:rsidRDefault="009210F4" w:rsidP="001A7DB6">
            <w:pPr>
              <w:pStyle w:val="TableColHeadLeft"/>
              <w:keepNext w:val="0"/>
              <w:numPr>
                <w:ilvl w:val="0"/>
                <w:numId w:val="0"/>
              </w:numPr>
              <w:ind w:left="34"/>
              <w:rPr>
                <w:color w:val="auto"/>
              </w:rPr>
            </w:pPr>
            <w:r w:rsidRPr="000621C8">
              <w:rPr>
                <w:color w:val="auto"/>
              </w:rPr>
              <w:t>The extent to which the results of a study can be applied to other contexts or circumstances. Also called external validity or applicability</w:t>
            </w:r>
            <w:r>
              <w:rPr>
                <w:color w:val="auto"/>
              </w:rPr>
              <w:t>.</w:t>
            </w:r>
          </w:p>
        </w:tc>
      </w:tr>
      <w:tr w:rsidR="009210F4" w14:paraId="4CECC257" w14:textId="77777777" w:rsidTr="34ECA987">
        <w:tc>
          <w:tcPr>
            <w:tcW w:w="2268" w:type="dxa"/>
          </w:tcPr>
          <w:p w14:paraId="0BA5FEBF" w14:textId="77777777" w:rsidR="009210F4" w:rsidRDefault="009210F4" w:rsidP="00D007FB">
            <w:pPr>
              <w:pStyle w:val="TableText"/>
              <w:keepNext w:val="0"/>
              <w:numPr>
                <w:ilvl w:val="0"/>
                <w:numId w:val="0"/>
              </w:numPr>
              <w:ind w:left="31"/>
              <w:jc w:val="left"/>
            </w:pPr>
            <w:r>
              <w:t>Interactive gambling</w:t>
            </w:r>
          </w:p>
        </w:tc>
        <w:tc>
          <w:tcPr>
            <w:tcW w:w="5954" w:type="dxa"/>
          </w:tcPr>
          <w:p w14:paraId="7A2A8993" w14:textId="77777777" w:rsidR="009210F4" w:rsidRDefault="009210F4" w:rsidP="001A7DB6">
            <w:pPr>
              <w:pStyle w:val="TableColHeadLeft"/>
              <w:keepNext w:val="0"/>
              <w:numPr>
                <w:ilvl w:val="0"/>
                <w:numId w:val="0"/>
              </w:numPr>
              <w:ind w:left="34"/>
              <w:rPr>
                <w:color w:val="auto"/>
              </w:rPr>
            </w:pPr>
            <w:r>
              <w:rPr>
                <w:color w:val="auto"/>
              </w:rPr>
              <w:t>Gambling using the internet via a device. Excludes purely land-based gambling activities.</w:t>
            </w:r>
          </w:p>
        </w:tc>
      </w:tr>
      <w:tr w:rsidR="009210F4" w14:paraId="571D3AA1" w14:textId="77777777" w:rsidTr="34ECA987">
        <w:tc>
          <w:tcPr>
            <w:tcW w:w="2268" w:type="dxa"/>
          </w:tcPr>
          <w:p w14:paraId="31E859D9" w14:textId="77777777" w:rsidR="009210F4" w:rsidRDefault="009210F4" w:rsidP="00D007FB">
            <w:pPr>
              <w:pStyle w:val="TableText"/>
              <w:keepNext w:val="0"/>
              <w:numPr>
                <w:ilvl w:val="0"/>
                <w:numId w:val="0"/>
              </w:numPr>
              <w:ind w:left="31"/>
              <w:jc w:val="left"/>
            </w:pPr>
            <w:r>
              <w:t>Internet Gaming Disorder (IGD)</w:t>
            </w:r>
          </w:p>
        </w:tc>
        <w:tc>
          <w:tcPr>
            <w:tcW w:w="5954" w:type="dxa"/>
          </w:tcPr>
          <w:p w14:paraId="39CBB64B" w14:textId="7AEAF3D8" w:rsidR="009210F4" w:rsidRPr="006D77D7" w:rsidRDefault="00C72F2A" w:rsidP="001A7DB6">
            <w:pPr>
              <w:pStyle w:val="TableColHeadLeft"/>
              <w:keepNext w:val="0"/>
              <w:numPr>
                <w:ilvl w:val="0"/>
                <w:numId w:val="0"/>
              </w:numPr>
              <w:ind w:left="34"/>
              <w:rPr>
                <w:color w:val="auto"/>
              </w:rPr>
            </w:pPr>
            <w:r w:rsidRPr="00C72F2A">
              <w:rPr>
                <w:color w:val="auto"/>
              </w:rPr>
              <w:t>A measure of disordered gaming based on the Diagnostic and Statistical Manual for Mental Disorders (DSM-</w:t>
            </w:r>
            <w:r w:rsidR="001E7C32">
              <w:rPr>
                <w:color w:val="auto"/>
              </w:rPr>
              <w:t>V</w:t>
            </w:r>
            <w:r w:rsidRPr="00C72F2A">
              <w:rPr>
                <w:color w:val="auto"/>
              </w:rPr>
              <w:t>) criteria for gaming disorder (Petry et al., 2014). Various measures of IGD, also referred to as gaming disorder, are used in research (</w:t>
            </w:r>
            <w:proofErr w:type="gramStart"/>
            <w:r w:rsidRPr="00C72F2A">
              <w:rPr>
                <w:color w:val="auto"/>
              </w:rPr>
              <w:t>e.g.</w:t>
            </w:r>
            <w:proofErr w:type="gramEnd"/>
            <w:r w:rsidRPr="00C72F2A">
              <w:rPr>
                <w:color w:val="auto"/>
              </w:rPr>
              <w:t xml:space="preserve"> IGD-20, IGDS9-SF, IGD scale</w:t>
            </w:r>
            <w:r w:rsidR="0001047B">
              <w:rPr>
                <w:color w:val="auto"/>
              </w:rPr>
              <w:t>).</w:t>
            </w:r>
          </w:p>
        </w:tc>
      </w:tr>
      <w:tr w:rsidR="009210F4" w14:paraId="1869A40A" w14:textId="77777777" w:rsidTr="34ECA987">
        <w:tc>
          <w:tcPr>
            <w:tcW w:w="2268" w:type="dxa"/>
          </w:tcPr>
          <w:p w14:paraId="175F1519" w14:textId="77777777" w:rsidR="009210F4" w:rsidRDefault="009210F4" w:rsidP="00D007FB">
            <w:pPr>
              <w:pStyle w:val="TableText"/>
              <w:keepNext w:val="0"/>
              <w:numPr>
                <w:ilvl w:val="0"/>
                <w:numId w:val="0"/>
              </w:numPr>
              <w:ind w:left="31"/>
              <w:jc w:val="left"/>
            </w:pPr>
            <w:r>
              <w:t>In-app purchase</w:t>
            </w:r>
            <w:r w:rsidR="00A2418A">
              <w:t>s</w:t>
            </w:r>
          </w:p>
        </w:tc>
        <w:tc>
          <w:tcPr>
            <w:tcW w:w="5954" w:type="dxa"/>
          </w:tcPr>
          <w:p w14:paraId="35B9150F" w14:textId="77777777" w:rsidR="009210F4" w:rsidRDefault="00A2418A" w:rsidP="001A7DB6">
            <w:pPr>
              <w:pStyle w:val="TableColHeadLeft"/>
              <w:keepNext w:val="0"/>
              <w:numPr>
                <w:ilvl w:val="0"/>
                <w:numId w:val="0"/>
              </w:numPr>
              <w:ind w:left="34"/>
              <w:rPr>
                <w:color w:val="auto"/>
              </w:rPr>
            </w:pPr>
            <w:r>
              <w:rPr>
                <w:color w:val="auto"/>
              </w:rPr>
              <w:t>I</w:t>
            </w:r>
            <w:r w:rsidR="00D74097">
              <w:rPr>
                <w:color w:val="auto"/>
              </w:rPr>
              <w:t>n-game purchase</w:t>
            </w:r>
            <w:r>
              <w:rPr>
                <w:color w:val="auto"/>
              </w:rPr>
              <w:t>s</w:t>
            </w:r>
            <w:r w:rsidR="009210F4">
              <w:rPr>
                <w:color w:val="auto"/>
              </w:rPr>
              <w:t xml:space="preserve"> (see below)</w:t>
            </w:r>
            <w:r w:rsidR="00C7356A">
              <w:rPr>
                <w:color w:val="auto"/>
              </w:rPr>
              <w:t xml:space="preserve"> made in </w:t>
            </w:r>
            <w:r w:rsidR="006F7F32">
              <w:rPr>
                <w:color w:val="auto"/>
              </w:rPr>
              <w:t>device applications</w:t>
            </w:r>
          </w:p>
        </w:tc>
      </w:tr>
      <w:tr w:rsidR="009210F4" w14:paraId="193CA2D4" w14:textId="77777777" w:rsidTr="34ECA987">
        <w:tc>
          <w:tcPr>
            <w:tcW w:w="2268" w:type="dxa"/>
          </w:tcPr>
          <w:p w14:paraId="27C6C0F7" w14:textId="77777777" w:rsidR="009210F4" w:rsidRDefault="009210F4" w:rsidP="00D007FB">
            <w:pPr>
              <w:pStyle w:val="TableText"/>
              <w:keepNext w:val="0"/>
              <w:numPr>
                <w:ilvl w:val="0"/>
                <w:numId w:val="0"/>
              </w:numPr>
              <w:ind w:left="31"/>
              <w:jc w:val="left"/>
            </w:pPr>
            <w:r>
              <w:t>In-game purchase</w:t>
            </w:r>
            <w:r w:rsidR="00A2418A">
              <w:t>s</w:t>
            </w:r>
          </w:p>
        </w:tc>
        <w:tc>
          <w:tcPr>
            <w:tcW w:w="5954" w:type="dxa"/>
          </w:tcPr>
          <w:p w14:paraId="0EE59974" w14:textId="4943AF07" w:rsidR="009210F4" w:rsidRPr="006D77D7" w:rsidRDefault="00D74097" w:rsidP="001A7DB6">
            <w:pPr>
              <w:pStyle w:val="TableColHeadLeft"/>
              <w:keepNext w:val="0"/>
              <w:numPr>
                <w:ilvl w:val="0"/>
                <w:numId w:val="0"/>
              </w:numPr>
              <w:ind w:left="34"/>
              <w:rPr>
                <w:color w:val="auto"/>
              </w:rPr>
            </w:pPr>
            <w:r w:rsidRPr="00D74097">
              <w:rPr>
                <w:color w:val="auto"/>
              </w:rPr>
              <w:t xml:space="preserve">Financial purchases in games for digital goods or services, also referred to in the literature as </w:t>
            </w:r>
            <w:r w:rsidR="0001047B">
              <w:rPr>
                <w:color w:val="auto"/>
              </w:rPr>
              <w:t>‘</w:t>
            </w:r>
            <w:r w:rsidRPr="00D74097">
              <w:rPr>
                <w:color w:val="auto"/>
              </w:rPr>
              <w:t>microtransactions</w:t>
            </w:r>
            <w:r w:rsidR="0001047B">
              <w:rPr>
                <w:color w:val="auto"/>
              </w:rPr>
              <w:t>’</w:t>
            </w:r>
            <w:r w:rsidRPr="00D74097">
              <w:rPr>
                <w:color w:val="auto"/>
              </w:rPr>
              <w:t xml:space="preserve">. In-game purchases may be purely aesthetic (cosmetic), confer in-game advantages (pay to win), contain items as </w:t>
            </w:r>
            <w:proofErr w:type="spellStart"/>
            <w:r w:rsidRPr="00D74097">
              <w:rPr>
                <w:color w:val="auto"/>
              </w:rPr>
              <w:t>randomised</w:t>
            </w:r>
            <w:proofErr w:type="spellEnd"/>
            <w:r w:rsidRPr="00D74097">
              <w:rPr>
                <w:color w:val="auto"/>
              </w:rPr>
              <w:t xml:space="preserve"> contents of uncertain value (loot boxes)</w:t>
            </w:r>
            <w:r w:rsidR="00680D50">
              <w:rPr>
                <w:color w:val="auto"/>
              </w:rPr>
              <w:t>, or any other in-game expenditure</w:t>
            </w:r>
            <w:r w:rsidRPr="00D74097">
              <w:rPr>
                <w:color w:val="auto"/>
              </w:rPr>
              <w:t xml:space="preserve"> (</w:t>
            </w:r>
            <w:proofErr w:type="spellStart"/>
            <w:r w:rsidRPr="00D74097">
              <w:rPr>
                <w:color w:val="auto"/>
              </w:rPr>
              <w:t>Zendle</w:t>
            </w:r>
            <w:proofErr w:type="spellEnd"/>
            <w:r w:rsidR="00D934E4">
              <w:rPr>
                <w:color w:val="auto"/>
              </w:rPr>
              <w:t>, Meyer, &amp; Ballou</w:t>
            </w:r>
            <w:r w:rsidRPr="00D74097">
              <w:rPr>
                <w:color w:val="auto"/>
              </w:rPr>
              <w:t>, 2020).</w:t>
            </w:r>
          </w:p>
        </w:tc>
      </w:tr>
      <w:tr w:rsidR="00751E3D" w14:paraId="6AE16B99" w14:textId="77777777" w:rsidTr="34ECA987">
        <w:tc>
          <w:tcPr>
            <w:tcW w:w="2268" w:type="dxa"/>
          </w:tcPr>
          <w:p w14:paraId="463F4E85" w14:textId="77777777" w:rsidR="00751E3D" w:rsidRDefault="00751E3D" w:rsidP="00CC3DA5">
            <w:pPr>
              <w:pStyle w:val="TableText"/>
              <w:keepNext w:val="0"/>
              <w:numPr>
                <w:ilvl w:val="0"/>
                <w:numId w:val="0"/>
              </w:numPr>
              <w:ind w:left="31"/>
            </w:pPr>
            <w:r>
              <w:t>IV</w:t>
            </w:r>
          </w:p>
        </w:tc>
        <w:tc>
          <w:tcPr>
            <w:tcW w:w="5954" w:type="dxa"/>
          </w:tcPr>
          <w:p w14:paraId="05B4244E" w14:textId="77777777" w:rsidR="00751E3D" w:rsidRPr="00D74097" w:rsidRDefault="00751E3D" w:rsidP="001A7DB6">
            <w:pPr>
              <w:pStyle w:val="TableColHeadLeft"/>
              <w:keepNext w:val="0"/>
              <w:numPr>
                <w:ilvl w:val="0"/>
                <w:numId w:val="0"/>
              </w:numPr>
              <w:ind w:left="34"/>
              <w:rPr>
                <w:color w:val="auto"/>
              </w:rPr>
            </w:pPr>
            <w:r>
              <w:rPr>
                <w:color w:val="auto"/>
              </w:rPr>
              <w:t>Indep</w:t>
            </w:r>
            <w:r w:rsidR="008B322B">
              <w:rPr>
                <w:color w:val="auto"/>
              </w:rPr>
              <w:t>en</w:t>
            </w:r>
            <w:r>
              <w:rPr>
                <w:color w:val="auto"/>
              </w:rPr>
              <w:t>dent variable</w:t>
            </w:r>
          </w:p>
        </w:tc>
      </w:tr>
      <w:tr w:rsidR="009210F4" w14:paraId="790AE17B" w14:textId="77777777" w:rsidTr="34ECA987">
        <w:tc>
          <w:tcPr>
            <w:tcW w:w="2268" w:type="dxa"/>
          </w:tcPr>
          <w:p w14:paraId="64E9AD50" w14:textId="77777777" w:rsidR="009210F4" w:rsidRDefault="009210F4" w:rsidP="00D007FB">
            <w:pPr>
              <w:pStyle w:val="TableText"/>
              <w:keepNext w:val="0"/>
              <w:numPr>
                <w:ilvl w:val="0"/>
                <w:numId w:val="0"/>
              </w:numPr>
              <w:ind w:left="31"/>
              <w:jc w:val="left"/>
            </w:pPr>
            <w:r>
              <w:lastRenderedPageBreak/>
              <w:t>Loot boxes (LB)</w:t>
            </w:r>
          </w:p>
        </w:tc>
        <w:tc>
          <w:tcPr>
            <w:tcW w:w="5954" w:type="dxa"/>
          </w:tcPr>
          <w:p w14:paraId="73AAC315" w14:textId="2927E78E" w:rsidR="009210F4" w:rsidRPr="006D77D7" w:rsidRDefault="009210F4" w:rsidP="001A7DB6">
            <w:pPr>
              <w:pStyle w:val="TableText"/>
              <w:keepNext w:val="0"/>
              <w:numPr>
                <w:ilvl w:val="0"/>
                <w:numId w:val="0"/>
              </w:numPr>
              <w:ind w:left="34"/>
              <w:rPr>
                <w:color w:val="auto"/>
              </w:rPr>
            </w:pPr>
            <w:r w:rsidRPr="006D77D7">
              <w:rPr>
                <w:color w:val="auto"/>
              </w:rPr>
              <w:t xml:space="preserve">An in-game purchase </w:t>
            </w:r>
            <w:r w:rsidR="00020778">
              <w:rPr>
                <w:color w:val="auto"/>
              </w:rPr>
              <w:t xml:space="preserve">of </w:t>
            </w:r>
            <w:r w:rsidRPr="006D77D7">
              <w:rPr>
                <w:color w:val="auto"/>
              </w:rPr>
              <w:t xml:space="preserve">a virtual container </w:t>
            </w:r>
            <w:r w:rsidR="00020778">
              <w:rPr>
                <w:color w:val="auto"/>
              </w:rPr>
              <w:t>(</w:t>
            </w:r>
            <w:proofErr w:type="gramStart"/>
            <w:r w:rsidR="00020778">
              <w:rPr>
                <w:color w:val="auto"/>
              </w:rPr>
              <w:t>i.e.</w:t>
            </w:r>
            <w:proofErr w:type="gramEnd"/>
            <w:r w:rsidR="00020778">
              <w:rPr>
                <w:color w:val="auto"/>
              </w:rPr>
              <w:t xml:space="preserve"> loot box, mystery box or chest)</w:t>
            </w:r>
            <w:r w:rsidR="00833F1E">
              <w:rPr>
                <w:color w:val="auto"/>
              </w:rPr>
              <w:t xml:space="preserve"> </w:t>
            </w:r>
            <w:r w:rsidRPr="006D77D7">
              <w:rPr>
                <w:color w:val="auto"/>
              </w:rPr>
              <w:t xml:space="preserve">that randomly awards players with functional items </w:t>
            </w:r>
            <w:r w:rsidR="00833F1E">
              <w:rPr>
                <w:color w:val="auto"/>
              </w:rPr>
              <w:t>or</w:t>
            </w:r>
            <w:r w:rsidR="00833F1E" w:rsidRPr="006D77D7">
              <w:rPr>
                <w:color w:val="auto"/>
              </w:rPr>
              <w:t xml:space="preserve"> </w:t>
            </w:r>
            <w:r w:rsidRPr="006D77D7">
              <w:rPr>
                <w:color w:val="auto"/>
              </w:rPr>
              <w:t>modifications (</w:t>
            </w:r>
            <w:r w:rsidR="0034064D">
              <w:rPr>
                <w:color w:val="auto"/>
              </w:rPr>
              <w:t xml:space="preserve">such as </w:t>
            </w:r>
            <w:r w:rsidRPr="006D77D7">
              <w:rPr>
                <w:color w:val="auto"/>
              </w:rPr>
              <w:t>cosmetic items</w:t>
            </w:r>
            <w:r w:rsidR="00505F33">
              <w:rPr>
                <w:color w:val="auto"/>
              </w:rPr>
              <w:t xml:space="preserve"> or weapons</w:t>
            </w:r>
            <w:r w:rsidRPr="006D77D7">
              <w:rPr>
                <w:color w:val="auto"/>
              </w:rPr>
              <w:t xml:space="preserve">) based on chance or adjusted probabilities (King &amp; </w:t>
            </w:r>
            <w:proofErr w:type="spellStart"/>
            <w:r w:rsidRPr="006D77D7">
              <w:rPr>
                <w:color w:val="auto"/>
              </w:rPr>
              <w:t>Delfabbro</w:t>
            </w:r>
            <w:proofErr w:type="spellEnd"/>
            <w:r w:rsidRPr="006D77D7">
              <w:rPr>
                <w:color w:val="auto"/>
              </w:rPr>
              <w:t>, 2020).</w:t>
            </w:r>
            <w:r w:rsidR="005679E2">
              <w:rPr>
                <w:color w:val="auto"/>
              </w:rPr>
              <w:t xml:space="preserve"> </w:t>
            </w:r>
            <w:r w:rsidR="0000203D">
              <w:t>Loot boxes are also obtainable for free via gameplay</w:t>
            </w:r>
            <w:r w:rsidR="007848B7">
              <w:t xml:space="preserve"> (</w:t>
            </w:r>
            <w:proofErr w:type="spellStart"/>
            <w:r w:rsidR="007848B7">
              <w:t>Rockloff</w:t>
            </w:r>
            <w:proofErr w:type="spellEnd"/>
            <w:r w:rsidR="007848B7">
              <w:t xml:space="preserve"> et al., 2020)</w:t>
            </w:r>
            <w:r w:rsidR="0000203D">
              <w:t>.</w:t>
            </w:r>
          </w:p>
        </w:tc>
      </w:tr>
      <w:tr w:rsidR="009210F4" w14:paraId="513AED67" w14:textId="77777777" w:rsidTr="34ECA987">
        <w:tc>
          <w:tcPr>
            <w:tcW w:w="2268" w:type="dxa"/>
          </w:tcPr>
          <w:p w14:paraId="31791868" w14:textId="77777777" w:rsidR="009210F4" w:rsidRDefault="009210F4" w:rsidP="00D007FB">
            <w:pPr>
              <w:pStyle w:val="TableText"/>
              <w:keepNext w:val="0"/>
              <w:numPr>
                <w:ilvl w:val="0"/>
                <w:numId w:val="0"/>
              </w:numPr>
              <w:ind w:left="31"/>
              <w:jc w:val="left"/>
            </w:pPr>
            <w:r>
              <w:t>Microtransaction (MT)</w:t>
            </w:r>
          </w:p>
        </w:tc>
        <w:tc>
          <w:tcPr>
            <w:tcW w:w="5954" w:type="dxa"/>
          </w:tcPr>
          <w:p w14:paraId="0DAA16D7" w14:textId="77777777" w:rsidR="009210F4" w:rsidRPr="006D77D7" w:rsidRDefault="00A2418A" w:rsidP="001A7DB6">
            <w:pPr>
              <w:pStyle w:val="TableText"/>
              <w:keepNext w:val="0"/>
              <w:numPr>
                <w:ilvl w:val="0"/>
                <w:numId w:val="0"/>
              </w:numPr>
              <w:ind w:left="34"/>
              <w:rPr>
                <w:color w:val="auto"/>
              </w:rPr>
            </w:pPr>
            <w:r>
              <w:rPr>
                <w:color w:val="auto"/>
              </w:rPr>
              <w:t>I</w:t>
            </w:r>
            <w:r w:rsidR="00D74097">
              <w:rPr>
                <w:color w:val="auto"/>
              </w:rPr>
              <w:t>n-game purchase</w:t>
            </w:r>
            <w:r>
              <w:rPr>
                <w:color w:val="auto"/>
              </w:rPr>
              <w:t>s</w:t>
            </w:r>
            <w:r w:rsidR="00D74097">
              <w:rPr>
                <w:color w:val="auto"/>
              </w:rPr>
              <w:t xml:space="preserve"> (see above)</w:t>
            </w:r>
          </w:p>
        </w:tc>
      </w:tr>
      <w:tr w:rsidR="009210F4" w14:paraId="1CD32DDB" w14:textId="77777777" w:rsidTr="34ECA987">
        <w:tc>
          <w:tcPr>
            <w:tcW w:w="2268" w:type="dxa"/>
          </w:tcPr>
          <w:p w14:paraId="5CB26434" w14:textId="77777777" w:rsidR="009210F4" w:rsidRDefault="009210F4" w:rsidP="00D007FB">
            <w:pPr>
              <w:pStyle w:val="TableText"/>
              <w:keepNext w:val="0"/>
              <w:numPr>
                <w:ilvl w:val="0"/>
                <w:numId w:val="0"/>
              </w:numPr>
              <w:ind w:left="31"/>
              <w:jc w:val="left"/>
            </w:pPr>
            <w:r>
              <w:t>Meta-analysis</w:t>
            </w:r>
          </w:p>
        </w:tc>
        <w:tc>
          <w:tcPr>
            <w:tcW w:w="5954" w:type="dxa"/>
          </w:tcPr>
          <w:p w14:paraId="42BB0C49" w14:textId="77777777" w:rsidR="009210F4" w:rsidRDefault="009210F4" w:rsidP="001A7DB6">
            <w:pPr>
              <w:pStyle w:val="TableText"/>
              <w:keepNext w:val="0"/>
              <w:numPr>
                <w:ilvl w:val="0"/>
                <w:numId w:val="0"/>
              </w:numPr>
              <w:ind w:left="34"/>
              <w:rPr>
                <w:color w:val="auto"/>
              </w:rPr>
            </w:pPr>
            <w:r>
              <w:t xml:space="preserve">The analysis of a group of individual study results with the aim of deriving conclusions about that body of </w:t>
            </w:r>
            <w:proofErr w:type="gramStart"/>
            <w:r>
              <w:t>research as a whole</w:t>
            </w:r>
            <w:proofErr w:type="gramEnd"/>
            <w:r>
              <w:t xml:space="preserve">. Together with </w:t>
            </w:r>
            <w:r>
              <w:rPr>
                <w:i/>
                <w:iCs/>
              </w:rPr>
              <w:t>systematic reviews</w:t>
            </w:r>
            <w:r>
              <w:t>, meta-analyses are considered the strongest form of evidence on a topic</w:t>
            </w:r>
            <w:r w:rsidR="008B322B">
              <w:t>.</w:t>
            </w:r>
          </w:p>
        </w:tc>
      </w:tr>
      <w:tr w:rsidR="009210F4" w14:paraId="13E82FC0" w14:textId="77777777" w:rsidTr="34ECA987">
        <w:tc>
          <w:tcPr>
            <w:tcW w:w="2268" w:type="dxa"/>
          </w:tcPr>
          <w:p w14:paraId="6C92DC29" w14:textId="77777777" w:rsidR="009210F4" w:rsidRDefault="009210F4" w:rsidP="00D007FB">
            <w:pPr>
              <w:pStyle w:val="TableText"/>
              <w:keepNext w:val="0"/>
              <w:numPr>
                <w:ilvl w:val="0"/>
                <w:numId w:val="0"/>
              </w:numPr>
              <w:ind w:left="31"/>
              <w:jc w:val="left"/>
            </w:pPr>
            <w:r>
              <w:t>Monetary gambling</w:t>
            </w:r>
          </w:p>
        </w:tc>
        <w:tc>
          <w:tcPr>
            <w:tcW w:w="5954" w:type="dxa"/>
          </w:tcPr>
          <w:p w14:paraId="5914F42C" w14:textId="77777777" w:rsidR="009210F4" w:rsidRPr="006D77D7" w:rsidRDefault="009210F4" w:rsidP="001A7DB6">
            <w:pPr>
              <w:pStyle w:val="TableText"/>
              <w:keepNext w:val="0"/>
              <w:numPr>
                <w:ilvl w:val="0"/>
                <w:numId w:val="0"/>
              </w:numPr>
              <w:ind w:left="34"/>
              <w:rPr>
                <w:color w:val="auto"/>
              </w:rPr>
            </w:pPr>
            <w:r>
              <w:rPr>
                <w:color w:val="auto"/>
              </w:rPr>
              <w:t>Refers to gambling with real</w:t>
            </w:r>
            <w:r w:rsidR="008B322B">
              <w:rPr>
                <w:color w:val="auto"/>
              </w:rPr>
              <w:t xml:space="preserve"> </w:t>
            </w:r>
            <w:r>
              <w:rPr>
                <w:color w:val="auto"/>
              </w:rPr>
              <w:t>money on commercial gambling products (online or land-based)</w:t>
            </w:r>
          </w:p>
        </w:tc>
      </w:tr>
      <w:tr w:rsidR="009210F4" w14:paraId="60CFE6E0" w14:textId="77777777" w:rsidTr="34ECA987">
        <w:tc>
          <w:tcPr>
            <w:tcW w:w="2268" w:type="dxa"/>
          </w:tcPr>
          <w:p w14:paraId="4D7CA494" w14:textId="77777777" w:rsidR="009210F4" w:rsidRDefault="009210F4" w:rsidP="00D007FB">
            <w:pPr>
              <w:pStyle w:val="TableText"/>
              <w:keepNext w:val="0"/>
              <w:numPr>
                <w:ilvl w:val="0"/>
                <w:numId w:val="0"/>
              </w:numPr>
              <w:ind w:left="31"/>
              <w:jc w:val="left"/>
            </w:pPr>
            <w:r>
              <w:t>Pay-to-win (P2W)</w:t>
            </w:r>
          </w:p>
        </w:tc>
        <w:tc>
          <w:tcPr>
            <w:tcW w:w="5954" w:type="dxa"/>
          </w:tcPr>
          <w:p w14:paraId="41C294B6" w14:textId="77777777" w:rsidR="009210F4" w:rsidRDefault="009210F4" w:rsidP="001A7DB6">
            <w:pPr>
              <w:pStyle w:val="TableText"/>
              <w:keepNext w:val="0"/>
              <w:numPr>
                <w:ilvl w:val="0"/>
                <w:numId w:val="0"/>
              </w:numPr>
              <w:ind w:left="34"/>
              <w:rPr>
                <w:color w:val="auto"/>
              </w:rPr>
            </w:pPr>
            <w:r>
              <w:t>M</w:t>
            </w:r>
            <w:r w:rsidRPr="00516BDB">
              <w:t>aking microtransactions in games for increasing chances of winning, gaining time or keeping the game ongoing (Steinmetz et al., 2021).</w:t>
            </w:r>
          </w:p>
        </w:tc>
      </w:tr>
      <w:tr w:rsidR="009210F4" w14:paraId="03E34F4C" w14:textId="77777777" w:rsidTr="34ECA987">
        <w:tc>
          <w:tcPr>
            <w:tcW w:w="2268" w:type="dxa"/>
          </w:tcPr>
          <w:p w14:paraId="22D91AA2" w14:textId="77777777" w:rsidR="009210F4" w:rsidRDefault="009210F4" w:rsidP="00D007FB">
            <w:pPr>
              <w:pStyle w:val="TableText"/>
              <w:keepNext w:val="0"/>
              <w:numPr>
                <w:ilvl w:val="0"/>
                <w:numId w:val="0"/>
              </w:numPr>
              <w:ind w:left="31"/>
              <w:jc w:val="left"/>
            </w:pPr>
            <w:r>
              <w:t>Pre-registration</w:t>
            </w:r>
          </w:p>
        </w:tc>
        <w:tc>
          <w:tcPr>
            <w:tcW w:w="5954" w:type="dxa"/>
          </w:tcPr>
          <w:p w14:paraId="7DDF8AF8" w14:textId="77777777" w:rsidR="009210F4" w:rsidRDefault="009210F4" w:rsidP="001A7DB6">
            <w:pPr>
              <w:pStyle w:val="TableText"/>
              <w:keepNext w:val="0"/>
              <w:numPr>
                <w:ilvl w:val="0"/>
                <w:numId w:val="0"/>
              </w:numPr>
              <w:ind w:left="34"/>
              <w:rPr>
                <w:color w:val="auto"/>
              </w:rPr>
            </w:pPr>
            <w:r w:rsidRPr="00054B43">
              <w:rPr>
                <w:color w:val="auto"/>
              </w:rPr>
              <w:t xml:space="preserve">The public specification of a researcher’s research </w:t>
            </w:r>
            <w:proofErr w:type="gramStart"/>
            <w:r w:rsidRPr="00054B43">
              <w:rPr>
                <w:color w:val="auto"/>
              </w:rPr>
              <w:t>plan in advance</w:t>
            </w:r>
            <w:proofErr w:type="gramEnd"/>
            <w:r w:rsidRPr="00054B43">
              <w:rPr>
                <w:color w:val="auto"/>
              </w:rPr>
              <w:t xml:space="preserve"> of a study. Pre-registration aims to improve research integrity by preventing selective analysis and reporting of results that support the researcher’s own biases</w:t>
            </w:r>
            <w:r>
              <w:rPr>
                <w:color w:val="auto"/>
              </w:rPr>
              <w:t>.</w:t>
            </w:r>
          </w:p>
        </w:tc>
      </w:tr>
      <w:tr w:rsidR="009210F4" w14:paraId="62100B16" w14:textId="77777777" w:rsidTr="34ECA987">
        <w:tc>
          <w:tcPr>
            <w:tcW w:w="2268" w:type="dxa"/>
          </w:tcPr>
          <w:p w14:paraId="4265CC2F" w14:textId="77777777" w:rsidR="009210F4" w:rsidRDefault="009210F4" w:rsidP="00D007FB">
            <w:pPr>
              <w:pStyle w:val="TableText"/>
              <w:keepNext w:val="0"/>
              <w:numPr>
                <w:ilvl w:val="0"/>
                <w:numId w:val="0"/>
              </w:numPr>
              <w:ind w:left="31"/>
              <w:jc w:val="left"/>
            </w:pPr>
            <w:r>
              <w:t xml:space="preserve">Problem </w:t>
            </w:r>
            <w:r w:rsidR="00B50E04">
              <w:t xml:space="preserve">gambling </w:t>
            </w:r>
            <w:r>
              <w:t>(PG)</w:t>
            </w:r>
          </w:p>
        </w:tc>
        <w:tc>
          <w:tcPr>
            <w:tcW w:w="5954" w:type="dxa"/>
          </w:tcPr>
          <w:p w14:paraId="5656FC0B" w14:textId="77777777" w:rsidR="009210F4" w:rsidRDefault="009210F4" w:rsidP="001A7DB6">
            <w:pPr>
              <w:pStyle w:val="TableText"/>
              <w:keepNext w:val="0"/>
              <w:numPr>
                <w:ilvl w:val="0"/>
                <w:numId w:val="0"/>
              </w:numPr>
              <w:ind w:left="34"/>
              <w:rPr>
                <w:color w:val="auto"/>
              </w:rPr>
            </w:pPr>
            <w:proofErr w:type="spellStart"/>
            <w:r w:rsidRPr="0001273C">
              <w:rPr>
                <w:color w:val="auto"/>
              </w:rPr>
              <w:t>Behavioural</w:t>
            </w:r>
            <w:proofErr w:type="spellEnd"/>
            <w:r w:rsidRPr="0001273C">
              <w:rPr>
                <w:color w:val="auto"/>
              </w:rPr>
              <w:t xml:space="preserve"> addiction to gambling (problem gambling) is largely considered an individual issue requiring clinical treatment or </w:t>
            </w:r>
            <w:proofErr w:type="spellStart"/>
            <w:r w:rsidRPr="0001273C">
              <w:rPr>
                <w:color w:val="auto"/>
              </w:rPr>
              <w:t>individualised</w:t>
            </w:r>
            <w:proofErr w:type="spellEnd"/>
            <w:r w:rsidRPr="0001273C">
              <w:rPr>
                <w:color w:val="auto"/>
              </w:rPr>
              <w:t xml:space="preserve"> interventions. Risk of problem gambling (in the past 12 months) is commonly assessed via the Problem Gambling Severity Index (PGSI; Ferris </w:t>
            </w:r>
            <w:r w:rsidR="00592A95">
              <w:rPr>
                <w:color w:val="auto"/>
              </w:rPr>
              <w:t>&amp;</w:t>
            </w:r>
            <w:r w:rsidR="00592A95" w:rsidRPr="0001273C">
              <w:rPr>
                <w:color w:val="auto"/>
              </w:rPr>
              <w:t xml:space="preserve"> </w:t>
            </w:r>
            <w:r w:rsidRPr="0001273C">
              <w:rPr>
                <w:color w:val="auto"/>
              </w:rPr>
              <w:t>Wynne</w:t>
            </w:r>
            <w:r w:rsidR="00592A95">
              <w:rPr>
                <w:color w:val="auto"/>
              </w:rPr>
              <w:t>,</w:t>
            </w:r>
            <w:r w:rsidRPr="0001273C">
              <w:rPr>
                <w:color w:val="auto"/>
              </w:rPr>
              <w:t xml:space="preserve"> 2001). Recent estimates suggest that around 7.2% of Australians (1.33 million people) would be classified as being ‘at some risk’ of experiencing gambling problems (</w:t>
            </w:r>
            <w:r w:rsidR="00A6270E">
              <w:rPr>
                <w:color w:val="auto"/>
              </w:rPr>
              <w:t>Australian Institute of Health and Welfare [</w:t>
            </w:r>
            <w:r w:rsidR="00935B96">
              <w:rPr>
                <w:color w:val="auto"/>
              </w:rPr>
              <w:t>AIHW</w:t>
            </w:r>
            <w:r w:rsidR="00B50E04">
              <w:rPr>
                <w:color w:val="auto"/>
              </w:rPr>
              <w:t>]</w:t>
            </w:r>
            <w:r w:rsidRPr="0001273C">
              <w:rPr>
                <w:color w:val="auto"/>
              </w:rPr>
              <w:t>, 2021).</w:t>
            </w:r>
          </w:p>
        </w:tc>
      </w:tr>
      <w:tr w:rsidR="009210F4" w14:paraId="722384C0" w14:textId="77777777" w:rsidTr="34ECA987">
        <w:tc>
          <w:tcPr>
            <w:tcW w:w="2268" w:type="dxa"/>
          </w:tcPr>
          <w:p w14:paraId="1C8623B6" w14:textId="77777777" w:rsidR="009210F4" w:rsidRDefault="009210F4" w:rsidP="00D007FB">
            <w:pPr>
              <w:pStyle w:val="TableText"/>
              <w:keepNext w:val="0"/>
              <w:numPr>
                <w:ilvl w:val="0"/>
                <w:numId w:val="0"/>
              </w:numPr>
              <w:ind w:left="31"/>
              <w:jc w:val="left"/>
            </w:pPr>
            <w:r>
              <w:t>Problem Gambling Severity Index (PGSI)</w:t>
            </w:r>
          </w:p>
        </w:tc>
        <w:tc>
          <w:tcPr>
            <w:tcW w:w="5954" w:type="dxa"/>
          </w:tcPr>
          <w:p w14:paraId="6114B2FD" w14:textId="77777777" w:rsidR="009210F4" w:rsidRPr="006D77D7" w:rsidRDefault="009210F4" w:rsidP="001A7DB6">
            <w:pPr>
              <w:pStyle w:val="TableText"/>
              <w:keepNext w:val="0"/>
              <w:numPr>
                <w:ilvl w:val="0"/>
                <w:numId w:val="0"/>
              </w:numPr>
              <w:ind w:left="34"/>
              <w:rPr>
                <w:color w:val="auto"/>
              </w:rPr>
            </w:pPr>
            <w:r>
              <w:rPr>
                <w:color w:val="auto"/>
              </w:rPr>
              <w:t xml:space="preserve">A validated </w:t>
            </w:r>
            <w:r w:rsidR="00B50E04">
              <w:rPr>
                <w:color w:val="auto"/>
              </w:rPr>
              <w:t>nine</w:t>
            </w:r>
            <w:r>
              <w:rPr>
                <w:color w:val="auto"/>
              </w:rPr>
              <w:t xml:space="preserve">-item measure of problem gambling by Ferris &amp; Wynne (2001). Total scores range from 0 to 27, </w:t>
            </w:r>
            <w:r w:rsidR="00F27028" w:rsidRPr="00F27028">
              <w:rPr>
                <w:color w:val="auto"/>
              </w:rPr>
              <w:t>with higher scores indicating higher problem gambling severity</w:t>
            </w:r>
            <w:r w:rsidR="00F27028">
              <w:rPr>
                <w:color w:val="auto"/>
              </w:rPr>
              <w:t>. T</w:t>
            </w:r>
            <w:r>
              <w:rPr>
                <w:color w:val="auto"/>
              </w:rPr>
              <w:t xml:space="preserve">he cut-off for categories for at-risk problem gambling: </w:t>
            </w:r>
            <w:r w:rsidRPr="00F86256">
              <w:rPr>
                <w:color w:val="auto"/>
              </w:rPr>
              <w:t>non</w:t>
            </w:r>
            <w:r w:rsidR="00F27028">
              <w:rPr>
                <w:color w:val="auto"/>
              </w:rPr>
              <w:t>-</w:t>
            </w:r>
            <w:r w:rsidRPr="00F86256">
              <w:rPr>
                <w:color w:val="auto"/>
              </w:rPr>
              <w:t>problem gambler (0), low</w:t>
            </w:r>
            <w:r w:rsidR="00F27028">
              <w:rPr>
                <w:color w:val="auto"/>
              </w:rPr>
              <w:t>-</w:t>
            </w:r>
            <w:r w:rsidRPr="00F86256">
              <w:rPr>
                <w:color w:val="auto"/>
              </w:rPr>
              <w:t>risk gambler (1</w:t>
            </w:r>
            <w:r w:rsidR="00B50E04">
              <w:rPr>
                <w:color w:val="auto"/>
              </w:rPr>
              <w:t>–</w:t>
            </w:r>
            <w:r w:rsidRPr="00F86256">
              <w:rPr>
                <w:color w:val="auto"/>
              </w:rPr>
              <w:t>2), moderate</w:t>
            </w:r>
            <w:r w:rsidR="00F27028">
              <w:rPr>
                <w:color w:val="auto"/>
              </w:rPr>
              <w:t>-</w:t>
            </w:r>
            <w:r w:rsidRPr="00F86256">
              <w:rPr>
                <w:color w:val="auto"/>
              </w:rPr>
              <w:t>risk gambler (3</w:t>
            </w:r>
            <w:r w:rsidR="00B50E04">
              <w:rPr>
                <w:color w:val="auto"/>
              </w:rPr>
              <w:t>–</w:t>
            </w:r>
            <w:r w:rsidRPr="00F86256">
              <w:rPr>
                <w:color w:val="auto"/>
              </w:rPr>
              <w:t>7), problem gambler (8+).</w:t>
            </w:r>
            <w:r>
              <w:rPr>
                <w:color w:val="auto"/>
              </w:rPr>
              <w:t xml:space="preserve"> Modified scoring of the PGSI categories by Currie, Hodgins, &amp; Casey (2013) is as follows: </w:t>
            </w:r>
            <w:r w:rsidRPr="00412BFB">
              <w:rPr>
                <w:color w:val="auto"/>
              </w:rPr>
              <w:t>non</w:t>
            </w:r>
            <w:r w:rsidR="00F27028">
              <w:rPr>
                <w:color w:val="auto"/>
              </w:rPr>
              <w:t>-</w:t>
            </w:r>
            <w:r w:rsidRPr="00412BFB">
              <w:rPr>
                <w:color w:val="auto"/>
              </w:rPr>
              <w:t>problem gambler (0), low</w:t>
            </w:r>
            <w:r w:rsidR="00F27028">
              <w:rPr>
                <w:color w:val="auto"/>
              </w:rPr>
              <w:t>-</w:t>
            </w:r>
            <w:r w:rsidRPr="00412BFB">
              <w:rPr>
                <w:color w:val="auto"/>
              </w:rPr>
              <w:t>risk gambler (1</w:t>
            </w:r>
            <w:r w:rsidR="00B50E04">
              <w:rPr>
                <w:color w:val="auto"/>
              </w:rPr>
              <w:t>–</w:t>
            </w:r>
            <w:r w:rsidRPr="00412BFB">
              <w:rPr>
                <w:color w:val="auto"/>
              </w:rPr>
              <w:t>4), moderate</w:t>
            </w:r>
            <w:r w:rsidR="00F27028">
              <w:rPr>
                <w:color w:val="auto"/>
              </w:rPr>
              <w:t>-</w:t>
            </w:r>
            <w:r w:rsidRPr="00412BFB">
              <w:rPr>
                <w:color w:val="auto"/>
              </w:rPr>
              <w:t>risk gambler (5</w:t>
            </w:r>
            <w:r w:rsidR="00B50E04">
              <w:rPr>
                <w:color w:val="auto"/>
              </w:rPr>
              <w:t>–</w:t>
            </w:r>
            <w:r w:rsidRPr="00412BFB">
              <w:rPr>
                <w:color w:val="auto"/>
              </w:rPr>
              <w:t>7), problem gambler (8+).</w:t>
            </w:r>
          </w:p>
        </w:tc>
      </w:tr>
      <w:tr w:rsidR="009210F4" w14:paraId="28636E79" w14:textId="77777777" w:rsidTr="34ECA987">
        <w:tc>
          <w:tcPr>
            <w:tcW w:w="2268" w:type="dxa"/>
          </w:tcPr>
          <w:p w14:paraId="57A8A8B8" w14:textId="77777777" w:rsidR="009210F4" w:rsidRDefault="009210F4" w:rsidP="00D007FB">
            <w:pPr>
              <w:pStyle w:val="TableText"/>
              <w:keepNext w:val="0"/>
              <w:numPr>
                <w:ilvl w:val="0"/>
                <w:numId w:val="0"/>
              </w:numPr>
              <w:ind w:left="31"/>
              <w:jc w:val="left"/>
            </w:pPr>
            <w:r>
              <w:t>Qualitative research</w:t>
            </w:r>
          </w:p>
        </w:tc>
        <w:tc>
          <w:tcPr>
            <w:tcW w:w="5954" w:type="dxa"/>
          </w:tcPr>
          <w:p w14:paraId="7C5D7521" w14:textId="77777777" w:rsidR="009210F4" w:rsidRDefault="009210F4" w:rsidP="001A7DB6">
            <w:pPr>
              <w:pStyle w:val="TableText"/>
              <w:keepNext w:val="0"/>
              <w:numPr>
                <w:ilvl w:val="0"/>
                <w:numId w:val="0"/>
              </w:numPr>
              <w:ind w:left="34"/>
              <w:rPr>
                <w:color w:val="auto"/>
              </w:rPr>
            </w:pPr>
            <w:r>
              <w:rPr>
                <w:color w:val="auto"/>
              </w:rPr>
              <w:t>D</w:t>
            </w:r>
            <w:r w:rsidRPr="007E011B">
              <w:rPr>
                <w:color w:val="auto"/>
              </w:rPr>
              <w:t>ata obtained by the researcher from first-hand observation, interviews, questionnaires, focus groups, participant</w:t>
            </w:r>
            <w:r w:rsidR="00D331C5">
              <w:rPr>
                <w:color w:val="auto"/>
              </w:rPr>
              <w:t xml:space="preserve"> </w:t>
            </w:r>
            <w:r w:rsidRPr="007E011B">
              <w:rPr>
                <w:color w:val="auto"/>
              </w:rPr>
              <w:t xml:space="preserve">observation, recordings made in natural settings, documents, and </w:t>
            </w:r>
            <w:r w:rsidRPr="51F6DB03">
              <w:rPr>
                <w:color w:val="auto"/>
              </w:rPr>
              <w:t>arte</w:t>
            </w:r>
            <w:r w:rsidRPr="007E011B">
              <w:rPr>
                <w:color w:val="auto"/>
              </w:rPr>
              <w:t>facts. The data are generally non</w:t>
            </w:r>
            <w:r w:rsidR="00D331C5">
              <w:rPr>
                <w:color w:val="auto"/>
              </w:rPr>
              <w:t>-</w:t>
            </w:r>
            <w:r w:rsidRPr="007E011B">
              <w:rPr>
                <w:color w:val="auto"/>
              </w:rPr>
              <w:t>numerical.</w:t>
            </w:r>
          </w:p>
        </w:tc>
      </w:tr>
      <w:tr w:rsidR="009210F4" w14:paraId="3FB806C9" w14:textId="77777777" w:rsidTr="34ECA987">
        <w:tc>
          <w:tcPr>
            <w:tcW w:w="2268" w:type="dxa"/>
          </w:tcPr>
          <w:p w14:paraId="0991D8A0" w14:textId="77777777" w:rsidR="009210F4" w:rsidRDefault="009210F4" w:rsidP="00D007FB">
            <w:pPr>
              <w:pStyle w:val="TableText"/>
              <w:keepNext w:val="0"/>
              <w:numPr>
                <w:ilvl w:val="0"/>
                <w:numId w:val="0"/>
              </w:numPr>
              <w:ind w:left="31"/>
              <w:jc w:val="left"/>
            </w:pPr>
            <w:proofErr w:type="spellStart"/>
            <w:r>
              <w:t>Randomised</w:t>
            </w:r>
            <w:proofErr w:type="spellEnd"/>
            <w:r>
              <w:t xml:space="preserve"> controlled trial (RCT)</w:t>
            </w:r>
          </w:p>
        </w:tc>
        <w:tc>
          <w:tcPr>
            <w:tcW w:w="5954" w:type="dxa"/>
          </w:tcPr>
          <w:p w14:paraId="3B301C3C" w14:textId="77777777" w:rsidR="009210F4" w:rsidRDefault="009210F4" w:rsidP="001A7DB6">
            <w:pPr>
              <w:pStyle w:val="TableText"/>
              <w:keepNext w:val="0"/>
              <w:numPr>
                <w:ilvl w:val="0"/>
                <w:numId w:val="0"/>
              </w:numPr>
              <w:ind w:left="34"/>
              <w:rPr>
                <w:color w:val="auto"/>
              </w:rPr>
            </w:pPr>
            <w:r>
              <w:t xml:space="preserve">An </w:t>
            </w:r>
            <w:r w:rsidRPr="00B500AE">
              <w:rPr>
                <w:i/>
                <w:iCs/>
              </w:rPr>
              <w:t>experimental</w:t>
            </w:r>
            <w:r>
              <w:t xml:space="preserve"> research design in which participants are randomly assigned to either receive the intervention that is being tested (the experimental or treatment group) or not (the control group). Members of each group are then followed up to see whether there are any differences in outcome. RCTs are considered the gold-standard method of determining whether there is a cause</w:t>
            </w:r>
            <w:r w:rsidR="00003426">
              <w:t>–</w:t>
            </w:r>
            <w:r>
              <w:t>effect relationship between the intervention and the outcome.</w:t>
            </w:r>
          </w:p>
        </w:tc>
      </w:tr>
      <w:tr w:rsidR="009210F4" w14:paraId="057ACE4E" w14:textId="77777777" w:rsidTr="34ECA987">
        <w:tc>
          <w:tcPr>
            <w:tcW w:w="2268" w:type="dxa"/>
          </w:tcPr>
          <w:p w14:paraId="11E91075" w14:textId="77777777" w:rsidR="009210F4" w:rsidRDefault="009210F4" w:rsidP="00D007FB">
            <w:pPr>
              <w:pStyle w:val="TableText"/>
              <w:keepNext w:val="0"/>
              <w:numPr>
                <w:ilvl w:val="0"/>
                <w:numId w:val="0"/>
              </w:numPr>
              <w:ind w:left="31"/>
              <w:jc w:val="left"/>
            </w:pPr>
            <w:r>
              <w:lastRenderedPageBreak/>
              <w:t>Replication</w:t>
            </w:r>
          </w:p>
        </w:tc>
        <w:tc>
          <w:tcPr>
            <w:tcW w:w="5954" w:type="dxa"/>
          </w:tcPr>
          <w:p w14:paraId="35291E43" w14:textId="77777777" w:rsidR="009210F4" w:rsidRDefault="009210F4" w:rsidP="001A7DB6">
            <w:pPr>
              <w:pStyle w:val="TableText"/>
              <w:keepNext w:val="0"/>
              <w:numPr>
                <w:ilvl w:val="0"/>
                <w:numId w:val="0"/>
              </w:numPr>
              <w:ind w:left="34"/>
            </w:pPr>
            <w:r>
              <w:t xml:space="preserve">The ability of other researchers to repeat an experiment or observation under the same or similar conditions as the original research and obtain the same findings. Also called </w:t>
            </w:r>
            <w:r>
              <w:rPr>
                <w:i/>
                <w:iCs/>
              </w:rPr>
              <w:t>reproducibility.</w:t>
            </w:r>
          </w:p>
        </w:tc>
      </w:tr>
      <w:tr w:rsidR="001A7DB6" w14:paraId="60D659A6" w14:textId="77777777" w:rsidTr="34ECA987">
        <w:tc>
          <w:tcPr>
            <w:tcW w:w="2268" w:type="dxa"/>
          </w:tcPr>
          <w:p w14:paraId="53493145" w14:textId="77777777" w:rsidR="001A7DB6" w:rsidRDefault="001A7DB6" w:rsidP="00D007FB">
            <w:pPr>
              <w:pStyle w:val="TableText"/>
              <w:keepNext w:val="0"/>
              <w:numPr>
                <w:ilvl w:val="0"/>
                <w:numId w:val="0"/>
              </w:numPr>
              <w:ind w:left="31"/>
              <w:jc w:val="left"/>
            </w:pPr>
            <w:r>
              <w:t>Risky loot box index (RLI)</w:t>
            </w:r>
          </w:p>
        </w:tc>
        <w:tc>
          <w:tcPr>
            <w:tcW w:w="5954" w:type="dxa"/>
          </w:tcPr>
          <w:p w14:paraId="39F400FA" w14:textId="77777777" w:rsidR="001A7DB6" w:rsidRDefault="707317AC" w:rsidP="001A4BB6">
            <w:pPr>
              <w:pStyle w:val="TableText"/>
              <w:ind w:left="34"/>
            </w:pPr>
            <w:r>
              <w:t xml:space="preserve">Problematic loot box </w:t>
            </w:r>
            <w:proofErr w:type="gramStart"/>
            <w:r>
              <w:t>use</w:t>
            </w:r>
            <w:proofErr w:type="gramEnd"/>
            <w:r>
              <w:t xml:space="preserve"> as </w:t>
            </w:r>
            <w:r w:rsidR="5415FA67">
              <w:t xml:space="preserve">a </w:t>
            </w:r>
            <w:r>
              <w:t>measure</w:t>
            </w:r>
            <w:r w:rsidR="4EBF8630">
              <w:t xml:space="preserve"> designed</w:t>
            </w:r>
            <w:r>
              <w:t xml:space="preserve"> by Brooks and Clark</w:t>
            </w:r>
            <w:r w:rsidR="4EBF8630">
              <w:t xml:space="preserve"> (</w:t>
            </w:r>
            <w:r>
              <w:t xml:space="preserve">2019). The RLI is a five-item measure including: </w:t>
            </w:r>
            <w:r w:rsidRPr="34ECA987">
              <w:rPr>
                <w:i/>
                <w:iCs/>
              </w:rPr>
              <w:t>1) The thrill of opening Loot Boxes has encouraged me to buy more; 2) I frequently play games longer than I intend to, so I can earn Loot Boxes; 3) I have put off other activities, work, or chores to be able to earn or buy more Loot Boxes; 4) Once I open a Loot Box, I often feel compelled to open another; and 5) I have bought more Loot Boxes after failing to receive valuable items</w:t>
            </w:r>
            <w:r>
              <w:t xml:space="preserve">.   </w:t>
            </w:r>
            <w:r w:rsidR="5956E601">
              <w:t xml:space="preserve">Higher scores indicate greater </w:t>
            </w:r>
            <w:r w:rsidR="3F2D9EE2">
              <w:t>risky loot box use.</w:t>
            </w:r>
          </w:p>
        </w:tc>
      </w:tr>
      <w:tr w:rsidR="009210F4" w14:paraId="1C716F3C" w14:textId="77777777" w:rsidTr="34ECA987">
        <w:tc>
          <w:tcPr>
            <w:tcW w:w="2268" w:type="dxa"/>
          </w:tcPr>
          <w:p w14:paraId="1A3A258D" w14:textId="77777777" w:rsidR="009210F4" w:rsidRDefault="009210F4" w:rsidP="00D007FB">
            <w:pPr>
              <w:pStyle w:val="TableText"/>
              <w:keepNext w:val="0"/>
              <w:numPr>
                <w:ilvl w:val="0"/>
                <w:numId w:val="0"/>
              </w:numPr>
              <w:ind w:left="31"/>
              <w:jc w:val="left"/>
            </w:pPr>
            <w:r>
              <w:t>Simulated gambling</w:t>
            </w:r>
            <w:r w:rsidR="00D44B8E">
              <w:t xml:space="preserve"> (SG)</w:t>
            </w:r>
          </w:p>
        </w:tc>
        <w:tc>
          <w:tcPr>
            <w:tcW w:w="5954" w:type="dxa"/>
          </w:tcPr>
          <w:p w14:paraId="43BF4972" w14:textId="43231B98" w:rsidR="00F00FDB" w:rsidRPr="006D77D7" w:rsidRDefault="00F00FDB" w:rsidP="001A7DB6">
            <w:pPr>
              <w:pStyle w:val="TableText"/>
              <w:keepNext w:val="0"/>
              <w:numPr>
                <w:ilvl w:val="0"/>
                <w:numId w:val="0"/>
              </w:numPr>
              <w:ind w:left="34"/>
              <w:rPr>
                <w:color w:val="auto"/>
              </w:rPr>
            </w:pPr>
            <w:r w:rsidRPr="00605211">
              <w:rPr>
                <w:color w:val="auto"/>
              </w:rPr>
              <w:t xml:space="preserve">Games with features </w:t>
            </w:r>
            <w:r w:rsidR="00565507">
              <w:rPr>
                <w:color w:val="auto"/>
              </w:rPr>
              <w:t>that</w:t>
            </w:r>
            <w:r w:rsidR="00565507" w:rsidRPr="00605211">
              <w:rPr>
                <w:color w:val="auto"/>
              </w:rPr>
              <w:t xml:space="preserve"> </w:t>
            </w:r>
            <w:r w:rsidRPr="00605211">
              <w:rPr>
                <w:color w:val="auto"/>
              </w:rPr>
              <w:t xml:space="preserve">resemble or function like commercial gambling activities (King, 2018). </w:t>
            </w:r>
            <w:r w:rsidR="0095097C" w:rsidRPr="00605211">
              <w:rPr>
                <w:color w:val="auto"/>
              </w:rPr>
              <w:t>Th</w:t>
            </w:r>
            <w:r w:rsidR="0095097C">
              <w:rPr>
                <w:color w:val="auto"/>
              </w:rPr>
              <w:t>ese</w:t>
            </w:r>
            <w:r w:rsidR="0095097C" w:rsidRPr="00605211">
              <w:rPr>
                <w:color w:val="auto"/>
              </w:rPr>
              <w:t xml:space="preserve"> </w:t>
            </w:r>
            <w:r w:rsidRPr="00605211">
              <w:rPr>
                <w:color w:val="auto"/>
              </w:rPr>
              <w:t>include social casino games, free demo (demonstration) games, and other games with gambling-like components</w:t>
            </w:r>
            <w:r w:rsidR="009D77D5">
              <w:rPr>
                <w:color w:val="auto"/>
              </w:rPr>
              <w:t>. Some, but not all, simulated gambling activities have in-game purchases; however, these in-game purchases operate in a closed-loop economy where they cannot be redeemed for money or traded among players.</w:t>
            </w:r>
          </w:p>
        </w:tc>
      </w:tr>
      <w:tr w:rsidR="009210F4" w14:paraId="07D14B4A" w14:textId="77777777" w:rsidTr="34ECA987">
        <w:tc>
          <w:tcPr>
            <w:tcW w:w="2268" w:type="dxa"/>
          </w:tcPr>
          <w:p w14:paraId="46C51BF3" w14:textId="77777777" w:rsidR="009210F4" w:rsidRDefault="009210F4" w:rsidP="00D007FB">
            <w:pPr>
              <w:pStyle w:val="TableText"/>
              <w:keepNext w:val="0"/>
              <w:numPr>
                <w:ilvl w:val="0"/>
                <w:numId w:val="0"/>
              </w:numPr>
              <w:ind w:left="31"/>
              <w:jc w:val="left"/>
            </w:pPr>
            <w:r>
              <w:t>Short Gambling Harm Sc</w:t>
            </w:r>
            <w:r w:rsidR="00BC6E4B">
              <w:t>reen</w:t>
            </w:r>
            <w:r>
              <w:t xml:space="preserve"> (SGHS)</w:t>
            </w:r>
          </w:p>
        </w:tc>
        <w:tc>
          <w:tcPr>
            <w:tcW w:w="5954" w:type="dxa"/>
          </w:tcPr>
          <w:p w14:paraId="12CE1A3D" w14:textId="77777777" w:rsidR="009210F4" w:rsidRPr="006D77D7" w:rsidRDefault="009210F4" w:rsidP="001A7DB6">
            <w:pPr>
              <w:pStyle w:val="TableText"/>
              <w:keepNext w:val="0"/>
              <w:numPr>
                <w:ilvl w:val="0"/>
                <w:numId w:val="0"/>
              </w:numPr>
              <w:ind w:left="34"/>
              <w:rPr>
                <w:color w:val="auto"/>
              </w:rPr>
            </w:pPr>
            <w:r>
              <w:rPr>
                <w:color w:val="auto"/>
              </w:rPr>
              <w:t xml:space="preserve">A validated 10-item measure of harms from gambling by Browne, Goodwin, &amp; </w:t>
            </w:r>
            <w:proofErr w:type="spellStart"/>
            <w:r>
              <w:rPr>
                <w:color w:val="auto"/>
              </w:rPr>
              <w:t>Rockloff</w:t>
            </w:r>
            <w:proofErr w:type="spellEnd"/>
            <w:r>
              <w:rPr>
                <w:color w:val="auto"/>
              </w:rPr>
              <w:t xml:space="preserve"> (2017). Scores range from 0 to 10 with a higher score indicating experiencing a higher number of gambling-related harms.</w:t>
            </w:r>
          </w:p>
        </w:tc>
      </w:tr>
      <w:tr w:rsidR="009210F4" w14:paraId="1CB2E840" w14:textId="77777777" w:rsidTr="34ECA987">
        <w:tc>
          <w:tcPr>
            <w:tcW w:w="2268" w:type="dxa"/>
          </w:tcPr>
          <w:p w14:paraId="0342010C" w14:textId="77777777" w:rsidR="009210F4" w:rsidRDefault="009210F4" w:rsidP="00D007FB">
            <w:pPr>
              <w:pStyle w:val="TableText"/>
              <w:keepNext w:val="0"/>
              <w:numPr>
                <w:ilvl w:val="0"/>
                <w:numId w:val="0"/>
              </w:numPr>
              <w:ind w:left="31"/>
              <w:jc w:val="left"/>
            </w:pPr>
            <w:r>
              <w:t>Social casino game (SCG)</w:t>
            </w:r>
          </w:p>
        </w:tc>
        <w:tc>
          <w:tcPr>
            <w:tcW w:w="5954" w:type="dxa"/>
          </w:tcPr>
          <w:p w14:paraId="162ECE74" w14:textId="77777777" w:rsidR="009210F4" w:rsidRPr="006D77D7" w:rsidRDefault="009210F4" w:rsidP="001A7DB6">
            <w:pPr>
              <w:pStyle w:val="TableText"/>
              <w:keepNext w:val="0"/>
              <w:numPr>
                <w:ilvl w:val="0"/>
                <w:numId w:val="0"/>
              </w:numPr>
              <w:ind w:left="34"/>
              <w:rPr>
                <w:color w:val="auto"/>
              </w:rPr>
            </w:pPr>
            <w:r w:rsidRPr="006D77D7">
              <w:rPr>
                <w:color w:val="auto"/>
              </w:rPr>
              <w:t xml:space="preserve">Gambling-themed games that are free-to-play, but payments can be made to unlock certain features or levels, or to buy in-game currency. No winnings can be withdrawn from these games. </w:t>
            </w:r>
            <w:proofErr w:type="spellStart"/>
            <w:r w:rsidRPr="006D77D7">
              <w:rPr>
                <w:color w:val="auto"/>
              </w:rPr>
              <w:t>Categorised</w:t>
            </w:r>
            <w:proofErr w:type="spellEnd"/>
            <w:r w:rsidRPr="006D77D7">
              <w:rPr>
                <w:color w:val="auto"/>
              </w:rPr>
              <w:t xml:space="preserve"> as ‘</w:t>
            </w:r>
            <w:proofErr w:type="spellStart"/>
            <w:r w:rsidRPr="006D77D7">
              <w:rPr>
                <w:color w:val="auto"/>
              </w:rPr>
              <w:t>monetised</w:t>
            </w:r>
            <w:proofErr w:type="spellEnd"/>
            <w:r w:rsidRPr="006D77D7">
              <w:rPr>
                <w:color w:val="auto"/>
              </w:rPr>
              <w:t xml:space="preserve"> simulated gambling’ (King, 2018).</w:t>
            </w:r>
            <w:r w:rsidR="00D44B8E">
              <w:rPr>
                <w:color w:val="auto"/>
              </w:rPr>
              <w:t xml:space="preserve"> </w:t>
            </w:r>
            <w:r w:rsidR="00D44B8E">
              <w:rPr>
                <w:rFonts w:cs="Arial"/>
                <w:color w:val="auto"/>
              </w:rPr>
              <w:t>However,</w:t>
            </w:r>
            <w:r w:rsidR="00A752D4">
              <w:rPr>
                <w:rFonts w:cs="Arial"/>
                <w:color w:val="auto"/>
              </w:rPr>
              <w:t xml:space="preserve"> these</w:t>
            </w:r>
            <w:r w:rsidR="00D44B8E">
              <w:rPr>
                <w:rFonts w:cs="Arial"/>
                <w:color w:val="auto"/>
              </w:rPr>
              <w:t xml:space="preserve"> in-game purchases operate in a closed-loop economy where they cannot be redeemed for money or traded among players.</w:t>
            </w:r>
          </w:p>
        </w:tc>
      </w:tr>
      <w:tr w:rsidR="009210F4" w14:paraId="730028FE" w14:textId="77777777" w:rsidTr="34ECA987">
        <w:tc>
          <w:tcPr>
            <w:tcW w:w="2268" w:type="dxa"/>
          </w:tcPr>
          <w:p w14:paraId="16849AE5" w14:textId="77777777" w:rsidR="009210F4" w:rsidRDefault="009210F4" w:rsidP="00D007FB">
            <w:pPr>
              <w:pStyle w:val="TableText"/>
              <w:keepNext w:val="0"/>
              <w:numPr>
                <w:ilvl w:val="0"/>
                <w:numId w:val="0"/>
              </w:numPr>
              <w:ind w:left="31"/>
              <w:jc w:val="left"/>
            </w:pPr>
            <w:r>
              <w:t>Systematic review</w:t>
            </w:r>
          </w:p>
        </w:tc>
        <w:tc>
          <w:tcPr>
            <w:tcW w:w="5954" w:type="dxa"/>
          </w:tcPr>
          <w:p w14:paraId="78370D24" w14:textId="77777777" w:rsidR="009210F4" w:rsidRPr="006D77D7" w:rsidRDefault="009210F4" w:rsidP="001A7DB6">
            <w:pPr>
              <w:pStyle w:val="TableText"/>
              <w:keepNext w:val="0"/>
              <w:numPr>
                <w:ilvl w:val="0"/>
                <w:numId w:val="0"/>
              </w:numPr>
              <w:ind w:left="34"/>
              <w:rPr>
                <w:color w:val="auto"/>
              </w:rPr>
            </w:pPr>
            <w:r w:rsidRPr="00F565B4">
              <w:rPr>
                <w:color w:val="auto"/>
              </w:rPr>
              <w:t xml:space="preserve">A synthesis of the results from all available studies in a particular topic area that provides a thorough analysis of the studies’ collective results, </w:t>
            </w:r>
            <w:proofErr w:type="gramStart"/>
            <w:r w:rsidRPr="00F565B4">
              <w:rPr>
                <w:color w:val="auto"/>
              </w:rPr>
              <w:t>strengths</w:t>
            </w:r>
            <w:proofErr w:type="gramEnd"/>
            <w:r w:rsidRPr="00F565B4">
              <w:rPr>
                <w:color w:val="auto"/>
              </w:rPr>
              <w:t xml:space="preserve"> and weaknesses. They seek to answer a clearly formulated question and use a pre-determined, explicitly defined search strategy to identify studies for inclusion. Together with </w:t>
            </w:r>
            <w:r w:rsidRPr="00F565B4">
              <w:rPr>
                <w:i/>
                <w:iCs/>
                <w:color w:val="auto"/>
              </w:rPr>
              <w:t>meta-analyses</w:t>
            </w:r>
            <w:r w:rsidRPr="00F565B4">
              <w:rPr>
                <w:color w:val="auto"/>
              </w:rPr>
              <w:t>, systematic reviews are considered the strongest form of evidence on a topic.</w:t>
            </w:r>
          </w:p>
        </w:tc>
      </w:tr>
    </w:tbl>
    <w:p w14:paraId="68318F7B" w14:textId="77777777" w:rsidR="003D3A93" w:rsidRPr="00C85C8B" w:rsidRDefault="009210F4" w:rsidP="00C85C8B">
      <w:pPr>
        <w:pStyle w:val="BodyText"/>
      </w:pPr>
      <w:r w:rsidRPr="00BF156A">
        <w:br w:type="page"/>
      </w:r>
    </w:p>
    <w:p w14:paraId="7D52D1DF" w14:textId="2806C5B4" w:rsidR="00400C15" w:rsidRDefault="00400C15" w:rsidP="000B2101">
      <w:pPr>
        <w:pStyle w:val="AppendixHeading2"/>
      </w:pPr>
      <w:bookmarkStart w:id="76" w:name="_Toc97649973"/>
      <w:bookmarkStart w:id="77" w:name="_Toc106359533"/>
      <w:r>
        <w:lastRenderedPageBreak/>
        <w:t xml:space="preserve">Appendix </w:t>
      </w:r>
      <w:r w:rsidR="00C43463">
        <w:t>B</w:t>
      </w:r>
      <w:r>
        <w:t xml:space="preserve">. </w:t>
      </w:r>
      <w:r w:rsidR="007C5D02">
        <w:t xml:space="preserve">Literature </w:t>
      </w:r>
      <w:r w:rsidR="00A04939">
        <w:t>sources</w:t>
      </w:r>
      <w:bookmarkEnd w:id="76"/>
      <w:bookmarkEnd w:id="77"/>
    </w:p>
    <w:tbl>
      <w:tblPr>
        <w:tblStyle w:val="TableGrid"/>
        <w:tblW w:w="8505" w:type="dxa"/>
        <w:tblBorders>
          <w:insideV w:val="single" w:sz="2" w:space="0" w:color="auto"/>
        </w:tblBorders>
        <w:tblLook w:val="04A0" w:firstRow="1" w:lastRow="0" w:firstColumn="1" w:lastColumn="0" w:noHBand="0" w:noVBand="1"/>
      </w:tblPr>
      <w:tblGrid>
        <w:gridCol w:w="8505"/>
      </w:tblGrid>
      <w:tr w:rsidR="00A80E17" w14:paraId="574F715A" w14:textId="77777777" w:rsidTr="00A80E17">
        <w:trPr>
          <w:cnfStyle w:val="100000000000" w:firstRow="1" w:lastRow="0" w:firstColumn="0" w:lastColumn="0" w:oddVBand="0" w:evenVBand="0" w:oddHBand="0" w:evenHBand="0" w:firstRowFirstColumn="0" w:firstRowLastColumn="0" w:lastRowFirstColumn="0" w:lastRowLastColumn="0"/>
          <w:tblHeader/>
        </w:trPr>
        <w:tc>
          <w:tcPr>
            <w:tcW w:w="8505" w:type="dxa"/>
          </w:tcPr>
          <w:p w14:paraId="6D4A5298" w14:textId="77777777" w:rsidR="00A80E17" w:rsidRPr="00E32B71" w:rsidRDefault="00A80E17" w:rsidP="00E24AE5">
            <w:pPr>
              <w:pStyle w:val="TableColHeadLeft"/>
              <w:keepNext w:val="0"/>
              <w:numPr>
                <w:ilvl w:val="0"/>
                <w:numId w:val="0"/>
              </w:numPr>
              <w:rPr>
                <w:b/>
                <w:bCs/>
              </w:rPr>
            </w:pPr>
            <w:r>
              <w:rPr>
                <w:b/>
                <w:bCs/>
              </w:rPr>
              <w:t>Literature sources</w:t>
            </w:r>
          </w:p>
        </w:tc>
      </w:tr>
      <w:tr w:rsidR="00A80E17" w14:paraId="5F884D56" w14:textId="77777777" w:rsidTr="00A80E17">
        <w:tc>
          <w:tcPr>
            <w:tcW w:w="8505" w:type="dxa"/>
            <w:vAlign w:val="center"/>
          </w:tcPr>
          <w:p w14:paraId="1DBC6556" w14:textId="77777777" w:rsidR="00A80E17" w:rsidRDefault="00A80E17" w:rsidP="00E24AE5">
            <w:pPr>
              <w:pStyle w:val="TableText"/>
              <w:keepNext w:val="0"/>
              <w:numPr>
                <w:ilvl w:val="0"/>
                <w:numId w:val="0"/>
              </w:numPr>
              <w:ind w:left="31"/>
            </w:pPr>
            <w:r>
              <w:t>Australian Gambling Research Centre internal sources. Primarily a dedicated shared Endnote library with approximately 130 articles on loot boxes, simulated gambling, and in-game purchases</w:t>
            </w:r>
          </w:p>
        </w:tc>
      </w:tr>
      <w:tr w:rsidR="00A80E17" w14:paraId="5DB0BA24" w14:textId="77777777" w:rsidTr="00A80E17">
        <w:tc>
          <w:tcPr>
            <w:tcW w:w="8505" w:type="dxa"/>
            <w:vAlign w:val="center"/>
          </w:tcPr>
          <w:p w14:paraId="0B0BC5D2" w14:textId="77777777" w:rsidR="00A80E17" w:rsidRDefault="00A80E17" w:rsidP="00E24AE5">
            <w:pPr>
              <w:pStyle w:val="TableText"/>
              <w:keepNext w:val="0"/>
              <w:numPr>
                <w:ilvl w:val="0"/>
                <w:numId w:val="0"/>
              </w:numPr>
              <w:ind w:left="31"/>
            </w:pPr>
            <w:r w:rsidRPr="00FA73D9">
              <w:t xml:space="preserve">Databases: Via Catalogue Plus </w:t>
            </w:r>
            <w:r w:rsidR="00F6235F">
              <w:t>that</w:t>
            </w:r>
            <w:r w:rsidR="00F6235F" w:rsidRPr="00FA73D9">
              <w:t xml:space="preserve"> </w:t>
            </w:r>
            <w:r w:rsidRPr="00FA73D9">
              <w:t>include</w:t>
            </w:r>
            <w:r w:rsidR="00F6235F">
              <w:t>s</w:t>
            </w:r>
            <w:r w:rsidRPr="00FA73D9">
              <w:t xml:space="preserve"> databases such as PubMed, Business Source Complete, </w:t>
            </w:r>
            <w:proofErr w:type="spellStart"/>
            <w:r w:rsidRPr="00FA73D9">
              <w:t>EconLit</w:t>
            </w:r>
            <w:proofErr w:type="spellEnd"/>
            <w:r w:rsidRPr="00FA73D9">
              <w:t xml:space="preserve">, Psychology and Behavioral Sciences Collection, </w:t>
            </w:r>
            <w:proofErr w:type="spellStart"/>
            <w:r w:rsidRPr="00FA73D9">
              <w:t>SocINDEX</w:t>
            </w:r>
            <w:proofErr w:type="spellEnd"/>
            <w:r w:rsidRPr="00FA73D9">
              <w:t>, Cochrane CENTRAL (systematic reviews), and the Attorney-General's Information Service (AGIS).</w:t>
            </w:r>
          </w:p>
        </w:tc>
      </w:tr>
      <w:tr w:rsidR="00A80E17" w14:paraId="7790FC97" w14:textId="77777777" w:rsidTr="00A80E17">
        <w:tc>
          <w:tcPr>
            <w:tcW w:w="8505" w:type="dxa"/>
            <w:vAlign w:val="center"/>
          </w:tcPr>
          <w:p w14:paraId="5FE1E166" w14:textId="77777777" w:rsidR="00A80E17" w:rsidRDefault="00A80E17" w:rsidP="00E24AE5">
            <w:pPr>
              <w:pStyle w:val="TableText"/>
              <w:keepNext w:val="0"/>
              <w:numPr>
                <w:ilvl w:val="0"/>
                <w:numId w:val="0"/>
              </w:numPr>
              <w:ind w:left="31"/>
            </w:pPr>
            <w:r>
              <w:t xml:space="preserve">Other online searches: </w:t>
            </w:r>
            <w:r w:rsidRPr="00592425">
              <w:t>Google Scholar</w:t>
            </w:r>
            <w:r>
              <w:t xml:space="preserve"> was searched to identify any relevant literature not captured by the Catalogue Plus search.</w:t>
            </w:r>
          </w:p>
        </w:tc>
      </w:tr>
      <w:tr w:rsidR="00A80E17" w14:paraId="2C13D4E0" w14:textId="77777777" w:rsidTr="00A80E17">
        <w:tc>
          <w:tcPr>
            <w:tcW w:w="8505" w:type="dxa"/>
            <w:vAlign w:val="center"/>
          </w:tcPr>
          <w:p w14:paraId="10371456" w14:textId="77777777" w:rsidR="00A80E17" w:rsidRDefault="00A80E17" w:rsidP="00E24AE5">
            <w:pPr>
              <w:pStyle w:val="TableText"/>
              <w:keepNext w:val="0"/>
              <w:numPr>
                <w:ilvl w:val="0"/>
                <w:numId w:val="0"/>
              </w:numPr>
              <w:ind w:left="31"/>
            </w:pPr>
            <w:r w:rsidRPr="00FA73D9">
              <w:t xml:space="preserve">Individual gambling and video/online gaming journal archives, such as: </w:t>
            </w:r>
            <w:r w:rsidRPr="002E24AC">
              <w:rPr>
                <w:i/>
              </w:rPr>
              <w:t>Journal of Gambling Studies</w:t>
            </w:r>
            <w:r w:rsidRPr="00FA73D9">
              <w:t xml:space="preserve">, </w:t>
            </w:r>
            <w:r w:rsidRPr="002E24AC">
              <w:rPr>
                <w:i/>
              </w:rPr>
              <w:t>Journal of Behavioral Addictions</w:t>
            </w:r>
            <w:r w:rsidRPr="00FA73D9">
              <w:t xml:space="preserve">, </w:t>
            </w:r>
            <w:r w:rsidRPr="002E24AC">
              <w:rPr>
                <w:i/>
              </w:rPr>
              <w:t>International Gambling Studies</w:t>
            </w:r>
            <w:r w:rsidRPr="00FA73D9">
              <w:t xml:space="preserve">, </w:t>
            </w:r>
            <w:r w:rsidRPr="002E24AC">
              <w:rPr>
                <w:i/>
              </w:rPr>
              <w:t>Computers in Human Behavior</w:t>
            </w:r>
            <w:r w:rsidRPr="00FA73D9">
              <w:t xml:space="preserve">, </w:t>
            </w:r>
            <w:r w:rsidRPr="002E24AC">
              <w:rPr>
                <w:i/>
              </w:rPr>
              <w:t>Addictive Behaviors</w:t>
            </w:r>
            <w:r w:rsidRPr="00FA73D9">
              <w:t xml:space="preserve">, </w:t>
            </w:r>
            <w:r w:rsidRPr="002E24AC">
              <w:rPr>
                <w:i/>
              </w:rPr>
              <w:t>Games and Culture</w:t>
            </w:r>
            <w:r w:rsidRPr="00FA73D9">
              <w:t>.</w:t>
            </w:r>
          </w:p>
        </w:tc>
      </w:tr>
      <w:tr w:rsidR="00A80E17" w14:paraId="47B8DBDF" w14:textId="77777777" w:rsidTr="00A80E17">
        <w:tc>
          <w:tcPr>
            <w:tcW w:w="8505" w:type="dxa"/>
            <w:vAlign w:val="center"/>
          </w:tcPr>
          <w:p w14:paraId="0FDA609B" w14:textId="77777777" w:rsidR="00A80E17" w:rsidRDefault="00A80E17" w:rsidP="00E24AE5">
            <w:pPr>
              <w:pStyle w:val="TableText"/>
              <w:keepNext w:val="0"/>
              <w:numPr>
                <w:ilvl w:val="0"/>
                <w:numId w:val="0"/>
              </w:numPr>
              <w:ind w:left="31"/>
            </w:pPr>
            <w:r w:rsidRPr="00FA73D9">
              <w:t xml:space="preserve">Australian and international grey literature for studies conducted for/by known government, research, industry, or other relevant agencies in this research area, such as: NSW Responsible Gambling Fund, Gambling Research Australia, Victorian Responsible Gambling Foundation, Office of the </w:t>
            </w:r>
            <w:proofErr w:type="spellStart"/>
            <w:r w:rsidRPr="00FA73D9">
              <w:t>eSafety</w:t>
            </w:r>
            <w:proofErr w:type="spellEnd"/>
            <w:r w:rsidRPr="00FA73D9">
              <w:t xml:space="preserve"> Commissioner, UK Gambling Commission, GREO (Canada), NZ Ministry of Health, and the Australasian Gaming Council.</w:t>
            </w:r>
          </w:p>
        </w:tc>
      </w:tr>
      <w:tr w:rsidR="00A80E17" w14:paraId="07884824" w14:textId="77777777" w:rsidTr="00A80E17">
        <w:tc>
          <w:tcPr>
            <w:tcW w:w="8505" w:type="dxa"/>
            <w:vAlign w:val="center"/>
          </w:tcPr>
          <w:p w14:paraId="19D7D161" w14:textId="77777777" w:rsidR="00A80E17" w:rsidRDefault="00A80E17" w:rsidP="00E24AE5">
            <w:pPr>
              <w:pStyle w:val="TableText"/>
              <w:keepNext w:val="0"/>
              <w:numPr>
                <w:ilvl w:val="0"/>
                <w:numId w:val="0"/>
              </w:numPr>
              <w:ind w:left="31"/>
            </w:pPr>
            <w:r w:rsidRPr="00FA73D9">
              <w:t>Relevant literature cited in the 2018 Senate Inquiry into Gaming microtransactions for chance-based items.</w:t>
            </w:r>
          </w:p>
        </w:tc>
      </w:tr>
      <w:tr w:rsidR="00A80E17" w14:paraId="5CBE582A" w14:textId="77777777" w:rsidTr="00A80E17">
        <w:tc>
          <w:tcPr>
            <w:tcW w:w="8505" w:type="dxa"/>
            <w:vAlign w:val="center"/>
          </w:tcPr>
          <w:p w14:paraId="12442EA6" w14:textId="77777777" w:rsidR="00A80E17" w:rsidRDefault="00A80E17" w:rsidP="00E24AE5">
            <w:pPr>
              <w:pStyle w:val="TableText"/>
              <w:keepNext w:val="0"/>
              <w:numPr>
                <w:ilvl w:val="0"/>
                <w:numId w:val="0"/>
              </w:numPr>
              <w:ind w:left="31"/>
            </w:pPr>
            <w:r w:rsidRPr="00FA73D9">
              <w:t>Reference lists of identified relevant publications.</w:t>
            </w:r>
          </w:p>
        </w:tc>
      </w:tr>
    </w:tbl>
    <w:p w14:paraId="0D493680" w14:textId="77777777" w:rsidR="00BC3D80" w:rsidRDefault="00BC3D80">
      <w:pPr>
        <w:suppressAutoHyphens w:val="0"/>
        <w:spacing w:before="0" w:line="240" w:lineRule="auto"/>
        <w:jc w:val="left"/>
        <w:rPr>
          <w:rFonts w:cs="Arial"/>
          <w:color w:val="62136D"/>
          <w:kern w:val="32"/>
          <w:sz w:val="38"/>
          <w:szCs w:val="38"/>
        </w:rPr>
      </w:pPr>
      <w:r>
        <w:br w:type="page"/>
      </w:r>
    </w:p>
    <w:p w14:paraId="4CBC8DE9" w14:textId="4BE19465" w:rsidR="003868D4" w:rsidRDefault="008A0AEB" w:rsidP="000B2101">
      <w:pPr>
        <w:pStyle w:val="AppendixHeading2"/>
      </w:pPr>
      <w:bookmarkStart w:id="78" w:name="_Toc97649974"/>
      <w:bookmarkStart w:id="79" w:name="_Toc106359534"/>
      <w:r>
        <w:lastRenderedPageBreak/>
        <w:t xml:space="preserve">Appendix </w:t>
      </w:r>
      <w:r w:rsidR="00C43463">
        <w:t>C</w:t>
      </w:r>
      <w:r w:rsidR="00EC37DE">
        <w:t>. Review flowchart</w:t>
      </w:r>
      <w:bookmarkEnd w:id="78"/>
      <w:bookmarkEnd w:id="79"/>
    </w:p>
    <w:p w14:paraId="789D136F" w14:textId="2FD51CF8" w:rsidR="008A0AEB" w:rsidRDefault="009E6635" w:rsidP="008A0AEB">
      <w:pPr>
        <w:suppressAutoHyphens w:val="0"/>
        <w:spacing w:before="0" w:line="240" w:lineRule="auto"/>
        <w:jc w:val="left"/>
        <w:rPr>
          <w:rFonts w:cs="Arial"/>
          <w:color w:val="000000"/>
          <w:szCs w:val="20"/>
        </w:rPr>
      </w:pPr>
      <w:r>
        <w:rPr>
          <w:noProof/>
        </w:rPr>
      </w:r>
      <w:r>
        <w:pict w14:anchorId="2E0924CA">
          <v:group id="Group 23" o:spid="_x0000_s2050" alt="Review flowchart&#10;AGRC Library (N = 129)&#10;AIFS Catalogue Plus Library (N = 85)&#10;Grey Literature (N = 1)&#10;AIFS Internal Sources Duplicates Removed (N = 154)&#10;Google Scholar (N = 63)&#10;Journal Article Searches (N = 17)&#10;Screening Process Rayyan (N = 235)&#10;Articles Included Review Findings (N = 64)&#10;Articles excluded (N = 171) &#10;Reasons excluded: did not meet inclusions criterion 4: pre-print journal article, not peer reviewed (n = 12)&#10;Did not meet inclusion criterion 5: no reporting on data (not qualitative/quantitative research, meta-analysis or literature review ) (n = 64)&#10;Did not meet inclusion criterion 6: no in-scope products and harm (n = 95)." style="width:429.1pt;height:641pt;mso-position-horizontal-relative:char;mso-position-vertical-relative:line" coordsize="54492,8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2051" type="#_x0000_t34" style="position:absolute;left:36984;top:16777;width:25;height:201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" adj="2085881" strokecolor="black [3213]"/>
            <v:group id="Group 17" o:spid="_x0000_s2052" style="position:absolute;width:54492;height:81408" coordsize="54492,8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Connector: Elbow 30" o:spid="_x0000_s2053" type="#_x0000_t34" style="position:absolute;left:16800;top:16777;width:25;height:201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" adj="2085881" strokecolor="black [3213]"/>
              <v:group id="Group 14" o:spid="_x0000_s2054" style="position:absolute;width:54492;height:81408" coordsize="54492,8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 o:spid="_x0000_s2055" type="#_x0000_t32" style="position:absolute;left:26763;top:29353;width:102;height:127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" strokecolor="black [3213]">
                  <v:stroke endarrow="block"/>
                </v:shape>
                <v:rect id="Rectangle 7" o:spid="_x0000_s2056" style="position:absolute;left:40485;top:17890;width:13481;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" filled="f" strokecolor="black [3213]" strokeweight="2pt">
                  <v:textbox>
                    <w:txbxContent>
                      <w:p w14:paraId="0CDC784A" w14:textId="77777777" w:rsidR="004D2594" w:rsidRDefault="004D2594" w:rsidP="008A0AEB">
                        <w:pPr>
                          <w:spacing w:before="0" w:line="276" w:lineRule="auto"/>
                          <w:jc w:val="center"/>
                          <w:rPr>
                            <w:rFonts w:cs="Arial"/>
                            <w:color w:val="000000" w:themeColor="text1"/>
                            <w:kern w:val="24"/>
                            <w:sz w:val="24"/>
                          </w:rPr>
                        </w:pPr>
                        <w:r>
                          <w:rPr>
                            <w:rFonts w:cs="Arial"/>
                            <w:color w:val="000000" w:themeColor="text1"/>
                            <w:kern w:val="24"/>
                          </w:rPr>
                          <w:t xml:space="preserve">Google Scholar </w:t>
                        </w:r>
                        <w:r>
                          <w:rPr>
                            <w:rFonts w:cs="Arial"/>
                            <w:color w:val="000000" w:themeColor="text1"/>
                            <w:kern w:val="24"/>
                          </w:rPr>
                          <w:br/>
                          <w:t>(</w:t>
                        </w:r>
                        <w:r w:rsidRPr="004D12BD">
                          <w:rPr>
                            <w:rFonts w:cs="Arial"/>
                            <w:i/>
                            <w:iCs/>
                            <w:color w:val="000000" w:themeColor="text1"/>
                            <w:kern w:val="24"/>
                          </w:rPr>
                          <w:t>N</w:t>
                        </w:r>
                        <w:r>
                          <w:rPr>
                            <w:rFonts w:cs="Arial"/>
                            <w:color w:val="000000" w:themeColor="text1"/>
                            <w:kern w:val="24"/>
                          </w:rPr>
                          <w:t xml:space="preserve"> = 63)</w:t>
                        </w:r>
                      </w:p>
                    </w:txbxContent>
                  </v:textbox>
                </v:rect>
                <v:rect id="Rectangle 11" o:spid="_x0000_s2057" style="position:absolute;left:8547;top:61291;width:13481;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textbox>
                    <w:txbxContent>
                      <w:p w14:paraId="60E5EFA9" w14:textId="77777777" w:rsidR="004D2594" w:rsidRDefault="004D2594" w:rsidP="008A0AEB">
                        <w:pPr>
                          <w:spacing w:before="0" w:line="276" w:lineRule="auto"/>
                          <w:jc w:val="center"/>
                          <w:rPr>
                            <w:rFonts w:cs="Arial"/>
                            <w:color w:val="000000" w:themeColor="text1"/>
                            <w:kern w:val="24"/>
                            <w:sz w:val="24"/>
                          </w:rPr>
                        </w:pPr>
                        <w:r w:rsidRPr="009D1DF7">
                          <w:rPr>
                            <w:rFonts w:cs="Arial"/>
                            <w:b/>
                            <w:bCs/>
                            <w:color w:val="000000" w:themeColor="text1"/>
                            <w:kern w:val="24"/>
                          </w:rPr>
                          <w:t>Articles included</w:t>
                        </w:r>
                        <w:r>
                          <w:rPr>
                            <w:rFonts w:cs="Arial"/>
                            <w:color w:val="000000" w:themeColor="text1"/>
                            <w:kern w:val="24"/>
                          </w:rPr>
                          <w:br/>
                        </w:r>
                        <w:r>
                          <w:rPr>
                            <w:rFonts w:cs="Arial"/>
                            <w:i/>
                            <w:iCs/>
                            <w:color w:val="000000" w:themeColor="text1"/>
                            <w:kern w:val="24"/>
                          </w:rPr>
                          <w:t xml:space="preserve">Review Findings </w:t>
                        </w:r>
                        <w:r>
                          <w:rPr>
                            <w:rFonts w:cs="Arial"/>
                            <w:i/>
                            <w:iCs/>
                            <w:color w:val="000000" w:themeColor="text1"/>
                            <w:kern w:val="24"/>
                          </w:rPr>
                          <w:br/>
                        </w:r>
                        <w:r>
                          <w:rPr>
                            <w:rFonts w:cs="Arial"/>
                            <w:color w:val="000000" w:themeColor="text1"/>
                            <w:kern w:val="24"/>
                          </w:rPr>
                          <w:t>(</w:t>
                        </w:r>
                        <w:r w:rsidRPr="004D12BD">
                          <w:rPr>
                            <w:rFonts w:cs="Arial"/>
                            <w:i/>
                            <w:iCs/>
                            <w:color w:val="000000" w:themeColor="text1"/>
                            <w:kern w:val="24"/>
                          </w:rPr>
                          <w:t>N</w:t>
                        </w:r>
                        <w:r>
                          <w:rPr>
                            <w:rFonts w:cs="Arial"/>
                            <w:color w:val="000000" w:themeColor="text1"/>
                            <w:kern w:val="24"/>
                          </w:rPr>
                          <w:t xml:space="preserve"> = 64)</w:t>
                        </w:r>
                      </w:p>
                    </w:txbxContent>
                  </v:textbox>
                </v:rect>
                <v:rect id="Rectangle 14" o:spid="_x0000_s2058" style="position:absolute;top:17824;width:13481;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" filled="f" strokecolor="black [3213]" strokeweight="2pt">
                  <v:textbox>
                    <w:txbxContent>
                      <w:p w14:paraId="4C5B3B60" w14:textId="77777777" w:rsidR="004D2594" w:rsidRDefault="004D2594" w:rsidP="008A0AEB">
                        <w:pPr>
                          <w:spacing w:before="0" w:line="276" w:lineRule="auto"/>
                          <w:jc w:val="center"/>
                          <w:rPr>
                            <w:rFonts w:cs="Arial"/>
                            <w:color w:val="000000" w:themeColor="text1"/>
                            <w:kern w:val="24"/>
                            <w:sz w:val="24"/>
                          </w:rPr>
                        </w:pPr>
                        <w:r>
                          <w:rPr>
                            <w:rFonts w:cs="Arial"/>
                            <w:color w:val="000000" w:themeColor="text1"/>
                            <w:kern w:val="24"/>
                          </w:rPr>
                          <w:t>Grey Literature</w:t>
                        </w:r>
                        <w:r>
                          <w:rPr>
                            <w:rFonts w:cs="Arial"/>
                            <w:color w:val="000000" w:themeColor="text1"/>
                            <w:kern w:val="24"/>
                          </w:rPr>
                          <w:br/>
                          <w:t>(</w:t>
                        </w:r>
                        <w:r w:rsidRPr="004D12BD">
                          <w:rPr>
                            <w:rFonts w:cs="Arial"/>
                            <w:i/>
                            <w:iCs/>
                            <w:color w:val="000000" w:themeColor="text1"/>
                            <w:kern w:val="24"/>
                          </w:rPr>
                          <w:t>N</w:t>
                        </w:r>
                        <w:r>
                          <w:rPr>
                            <w:rFonts w:cs="Arial"/>
                            <w:color w:val="000000" w:themeColor="text1"/>
                            <w:kern w:val="24"/>
                          </w:rPr>
                          <w:t xml:space="preserve"> = 1)</w:t>
                        </w:r>
                      </w:p>
                    </w:txbxContent>
                  </v:textbox>
                </v:rect>
                <v:rect id="Rectangle 15" o:spid="_x0000_s2059" style="position:absolute;left:20143;top:43798;width:13481;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" filled="f" strokecolor="black [3213]" strokeweight="2pt">
                  <v:textbox>
                    <w:txbxContent>
                      <w:p w14:paraId="556CB763" w14:textId="77777777" w:rsidR="004D2594" w:rsidRDefault="004D2594" w:rsidP="008A0AEB">
                        <w:pPr>
                          <w:spacing w:before="0" w:line="276" w:lineRule="auto"/>
                          <w:jc w:val="center"/>
                          <w:rPr>
                            <w:rFonts w:cs="Arial"/>
                            <w:color w:val="000000" w:themeColor="text1"/>
                            <w:kern w:val="24"/>
                          </w:rPr>
                        </w:pPr>
                        <w:r>
                          <w:rPr>
                            <w:rFonts w:cs="Arial"/>
                            <w:color w:val="000000" w:themeColor="text1"/>
                            <w:kern w:val="24"/>
                          </w:rPr>
                          <w:t xml:space="preserve">Screening Process </w:t>
                        </w:r>
                        <w:r>
                          <w:rPr>
                            <w:rFonts w:cs="Arial"/>
                            <w:color w:val="000000" w:themeColor="text1"/>
                            <w:kern w:val="24"/>
                          </w:rPr>
                          <w:br/>
                        </w:r>
                        <w:r>
                          <w:rPr>
                            <w:rFonts w:cs="Arial"/>
                            <w:i/>
                            <w:iCs/>
                            <w:color w:val="000000" w:themeColor="text1"/>
                            <w:kern w:val="24"/>
                          </w:rPr>
                          <w:t>Rayyan</w:t>
                        </w:r>
                      </w:p>
                      <w:p w14:paraId="46C442A2" w14:textId="77777777" w:rsidR="004D2594" w:rsidRPr="008F1E6E" w:rsidRDefault="004D2594" w:rsidP="008A0AEB">
                        <w:pPr>
                          <w:spacing w:before="0" w:line="276" w:lineRule="auto"/>
                          <w:jc w:val="center"/>
                          <w:rPr>
                            <w:rFonts w:cs="Arial"/>
                            <w:color w:val="000000" w:themeColor="text1"/>
                            <w:kern w:val="24"/>
                            <w:sz w:val="24"/>
                          </w:rPr>
                        </w:pPr>
                        <w:r>
                          <w:rPr>
                            <w:rFonts w:cs="Arial"/>
                            <w:color w:val="000000" w:themeColor="text1"/>
                            <w:kern w:val="24"/>
                          </w:rPr>
                          <w:t>(</w:t>
                        </w:r>
                        <w:r w:rsidRPr="004D12BD">
                          <w:rPr>
                            <w:rFonts w:cs="Arial"/>
                            <w:i/>
                            <w:iCs/>
                            <w:color w:val="000000" w:themeColor="text1"/>
                            <w:kern w:val="24"/>
                          </w:rPr>
                          <w:t>N</w:t>
                        </w:r>
                        <w:r>
                          <w:rPr>
                            <w:rFonts w:cs="Arial"/>
                            <w:color w:val="000000" w:themeColor="text1"/>
                            <w:kern w:val="24"/>
                          </w:rPr>
                          <w:t xml:space="preserve"> = 235)</w:t>
                        </w:r>
                      </w:p>
                    </w:txbxContent>
                  </v:textbox>
                </v:rect>
                <v:rect id="Rectangle 22" o:spid="_x0000_s2060" style="position:absolute;left:10137;width:13481;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" filled="f" strokecolor="black [3213]" strokeweight="2pt">
                  <v:textbox>
                    <w:txbxContent>
                      <w:p w14:paraId="2A9DC7D9" w14:textId="77777777" w:rsidR="004D2594" w:rsidRDefault="004D2594" w:rsidP="008A0AEB">
                        <w:pPr>
                          <w:spacing w:before="0" w:line="276" w:lineRule="auto"/>
                          <w:contextualSpacing/>
                          <w:jc w:val="center"/>
                          <w:rPr>
                            <w:rFonts w:cs="Arial"/>
                            <w:color w:val="000000" w:themeColor="text1"/>
                            <w:kern w:val="24"/>
                            <w:sz w:val="24"/>
                          </w:rPr>
                        </w:pPr>
                        <w:r>
                          <w:rPr>
                            <w:rFonts w:cs="Arial"/>
                            <w:color w:val="000000" w:themeColor="text1"/>
                            <w:kern w:val="24"/>
                          </w:rPr>
                          <w:t>AGRC Library (</w:t>
                        </w:r>
                        <w:r w:rsidRPr="004D12BD">
                          <w:rPr>
                            <w:rFonts w:cs="Arial"/>
                            <w:i/>
                            <w:iCs/>
                            <w:color w:val="000000" w:themeColor="text1"/>
                            <w:kern w:val="24"/>
                          </w:rPr>
                          <w:t>N</w:t>
                        </w:r>
                        <w:r>
                          <w:rPr>
                            <w:rFonts w:cs="Arial"/>
                            <w:color w:val="000000" w:themeColor="text1"/>
                            <w:kern w:val="24"/>
                          </w:rPr>
                          <w:t xml:space="preserve"> = 129)</w:t>
                        </w:r>
                      </w:p>
                    </w:txbxContent>
                  </v:textbox>
                </v:rect>
                <v:rect id="Rectangle 23" o:spid="_x0000_s2061" style="position:absolute;left:30347;top:66;width:13481;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" filled="f" strokecolor="black [3213]" strokeweight="2pt">
                  <v:textbox>
                    <w:txbxContent>
                      <w:p w14:paraId="20428A17" w14:textId="77777777" w:rsidR="004D2594" w:rsidRDefault="004D2594" w:rsidP="008A0AEB">
                        <w:pPr>
                          <w:spacing w:before="0" w:line="276" w:lineRule="auto"/>
                          <w:jc w:val="center"/>
                          <w:rPr>
                            <w:rFonts w:cs="Arial"/>
                            <w:color w:val="000000" w:themeColor="text1"/>
                            <w:kern w:val="24"/>
                            <w:sz w:val="24"/>
                          </w:rPr>
                        </w:pPr>
                        <w:r>
                          <w:rPr>
                            <w:rFonts w:cs="Arial"/>
                            <w:color w:val="000000" w:themeColor="text1"/>
                            <w:kern w:val="24"/>
                          </w:rPr>
                          <w:t>AIFS Catalogue Plus Library (</w:t>
                        </w:r>
                        <w:r w:rsidRPr="004D12BD">
                          <w:rPr>
                            <w:rFonts w:cs="Arial"/>
                            <w:i/>
                            <w:iCs/>
                            <w:color w:val="000000" w:themeColor="text1"/>
                            <w:kern w:val="24"/>
                          </w:rPr>
                          <w:t>N</w:t>
                        </w:r>
                        <w:r>
                          <w:rPr>
                            <w:rFonts w:cs="Arial"/>
                            <w:color w:val="000000" w:themeColor="text1"/>
                            <w:kern w:val="24"/>
                          </w:rPr>
                          <w:t xml:space="preserve"> = 85)</w:t>
                        </w:r>
                      </w:p>
                    </w:txbxContent>
                  </v:textbox>
                </v:rect>
                <v:shape id="Connector: Elbow 25" o:spid="_x0000_s2062" type="#_x0000_t34" style="position:absolute;left:27016;top:-1100;width:25;height:201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" adj="2085881" strokecolor="black [3213]"/>
                <v:shape id="Straight Arrow Connector 28" o:spid="_x0000_s2063" type="#_x0000_t32" style="position:absolute;left:26935;top:11529;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" strokecolor="black [3213]">
                  <v:stroke endarrow="block"/>
                  <o:lock v:ext="edit" shapetype="f"/>
                </v:shape>
                <v:shape id="Connector: Elbow 39" o:spid="_x0000_s2064" type="#_x0000_t34" style="position:absolute;left:26972;top:50439;width:25;height:201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" adj="2085881" strokecolor="black [3213]">
                  <v:stroke startarrow="block" endarrow="block"/>
                  <o:lock v:ext="edit" shapetype="f"/>
                </v:shape>
                <v:line id="Straight Connector 41" o:spid="_x0000_s2065" style="position:absolute;visibility:visible;mso-wrap-style:square" from="26901,52830" to="26952,5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o:lock v:ext="edit" shapetype="f"/>
                </v:line>
                <v:rect id="Rectangle 49" o:spid="_x0000_s2066" style="position:absolute;top:32467;width:13481;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" filled="f" strokecolor="black [3213]" strokeweight="2pt">
                  <v:textbox>
                    <w:txbxContent>
                      <w:p w14:paraId="43DBAEB0" w14:textId="77777777" w:rsidR="004D2594" w:rsidRDefault="004D2594" w:rsidP="008A0AEB">
                        <w:pPr>
                          <w:spacing w:before="0" w:line="276" w:lineRule="auto"/>
                          <w:jc w:val="center"/>
                          <w:rPr>
                            <w:rFonts w:cs="Arial"/>
                            <w:color w:val="000000" w:themeColor="text1"/>
                            <w:kern w:val="24"/>
                            <w:sz w:val="24"/>
                          </w:rPr>
                        </w:pPr>
                        <w:r>
                          <w:rPr>
                            <w:rFonts w:cs="Arial"/>
                            <w:color w:val="000000" w:themeColor="text1"/>
                            <w:kern w:val="24"/>
                          </w:rPr>
                          <w:t>Journal Article Searches</w:t>
                        </w:r>
                        <w:r>
                          <w:rPr>
                            <w:rFonts w:cs="Arial"/>
                            <w:color w:val="000000" w:themeColor="text1"/>
                            <w:kern w:val="24"/>
                          </w:rPr>
                          <w:br/>
                          <w:t>(</w:t>
                        </w:r>
                        <w:r w:rsidRPr="004D12BD">
                          <w:rPr>
                            <w:rFonts w:cs="Arial"/>
                            <w:i/>
                            <w:iCs/>
                            <w:color w:val="000000" w:themeColor="text1"/>
                            <w:kern w:val="24"/>
                          </w:rPr>
                          <w:t>N</w:t>
                        </w:r>
                        <w:r>
                          <w:rPr>
                            <w:rFonts w:cs="Arial"/>
                            <w:color w:val="000000" w:themeColor="text1"/>
                            <w:kern w:val="24"/>
                          </w:rPr>
                          <w:t xml:space="preserve"> = 17)</w:t>
                        </w:r>
                      </w:p>
                    </w:txbxContent>
                  </v:textbox>
                </v:rect>
                <v:line id="Straight Connector 51" o:spid="_x0000_s2067" style="position:absolute;flip:x y;visibility:visible;mso-wrap-style:square" from="6723,28568" to="6755,3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" strokecolor="black [3213]"/>
                <v:rect id="Rectangle 6" o:spid="_x0000_s2068" style="position:absolute;left:16896;top:17824;width:2019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" filled="f" strokecolor="black [3213]" strokeweight="2pt">
                  <v:textbox>
                    <w:txbxContent>
                      <w:p w14:paraId="11623308" w14:textId="77777777" w:rsidR="004D2594" w:rsidRDefault="004D2594" w:rsidP="008A0AEB">
                        <w:pPr>
                          <w:spacing w:before="0" w:line="276" w:lineRule="auto"/>
                          <w:jc w:val="center"/>
                          <w:rPr>
                            <w:rFonts w:cs="Arial"/>
                            <w:color w:val="000000" w:themeColor="text1"/>
                            <w:kern w:val="24"/>
                            <w:sz w:val="24"/>
                          </w:rPr>
                        </w:pPr>
                        <w:r>
                          <w:rPr>
                            <w:rFonts w:cs="Arial"/>
                            <w:color w:val="000000" w:themeColor="text1"/>
                            <w:kern w:val="24"/>
                          </w:rPr>
                          <w:t xml:space="preserve">AIFS Internal Sources </w:t>
                        </w:r>
                      </w:p>
                      <w:p w14:paraId="7F4C78D8" w14:textId="77777777" w:rsidR="004D2594" w:rsidRDefault="004D2594" w:rsidP="008A0AEB">
                        <w:pPr>
                          <w:spacing w:before="0" w:line="276" w:lineRule="auto"/>
                          <w:jc w:val="center"/>
                          <w:rPr>
                            <w:rFonts w:cs="Arial"/>
                            <w:i/>
                            <w:iCs/>
                            <w:color w:val="000000" w:themeColor="text1"/>
                            <w:kern w:val="24"/>
                          </w:rPr>
                        </w:pPr>
                        <w:r>
                          <w:rPr>
                            <w:rFonts w:cs="Arial"/>
                            <w:i/>
                            <w:iCs/>
                            <w:color w:val="000000" w:themeColor="text1"/>
                            <w:kern w:val="24"/>
                          </w:rPr>
                          <w:t xml:space="preserve">Duplicates Removed </w:t>
                        </w:r>
                      </w:p>
                      <w:p w14:paraId="33C4E67D" w14:textId="77777777" w:rsidR="004D2594" w:rsidRDefault="004D2594" w:rsidP="008A0AEB">
                        <w:pPr>
                          <w:spacing w:before="0" w:line="276" w:lineRule="auto"/>
                          <w:jc w:val="center"/>
                          <w:rPr>
                            <w:rFonts w:cs="Arial"/>
                            <w:color w:val="000000" w:themeColor="text1"/>
                            <w:kern w:val="24"/>
                          </w:rPr>
                        </w:pPr>
                        <w:r>
                          <w:rPr>
                            <w:rFonts w:cs="Arial"/>
                            <w:color w:val="000000" w:themeColor="text1"/>
                            <w:kern w:val="24"/>
                          </w:rPr>
                          <w:t>(</w:t>
                        </w:r>
                        <w:r w:rsidRPr="004D12BD">
                          <w:rPr>
                            <w:rFonts w:cs="Arial"/>
                            <w:i/>
                            <w:iCs/>
                            <w:color w:val="000000" w:themeColor="text1"/>
                            <w:kern w:val="24"/>
                          </w:rPr>
                          <w:t>N</w:t>
                        </w:r>
                        <w:r>
                          <w:rPr>
                            <w:rFonts w:cs="Arial"/>
                            <w:color w:val="000000" w:themeColor="text1"/>
                            <w:kern w:val="24"/>
                          </w:rPr>
                          <w:t xml:space="preserve"> = 154)</w:t>
                        </w:r>
                      </w:p>
                    </w:txbxContent>
                  </v:textbox>
                </v:rect>
                <v:rect id="Rectangle 10" o:spid="_x0000_s2069" style="position:absolute;left:24251;top:61291;width:30241;height:20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" filled="f" strokecolor="black [3213]" strokeweight="2pt">
                  <v:textbox>
                    <w:txbxContent>
                      <w:p w14:paraId="4084BD69" w14:textId="77777777" w:rsidR="004D2594" w:rsidRPr="00457F05" w:rsidRDefault="004D2594" w:rsidP="00EC3151">
                        <w:pPr>
                          <w:spacing w:before="0" w:line="276" w:lineRule="auto"/>
                          <w:jc w:val="center"/>
                          <w:rPr>
                            <w:rFonts w:cs="Arial"/>
                            <w:b/>
                            <w:bCs/>
                            <w:color w:val="000000" w:themeColor="text1"/>
                            <w:kern w:val="24"/>
                          </w:rPr>
                        </w:pPr>
                        <w:r w:rsidRPr="00457F05">
                          <w:rPr>
                            <w:rFonts w:cs="Arial"/>
                            <w:b/>
                            <w:bCs/>
                            <w:color w:val="000000" w:themeColor="text1"/>
                            <w:kern w:val="24"/>
                          </w:rPr>
                          <w:t>Articles excluded</w:t>
                        </w:r>
                      </w:p>
                      <w:p w14:paraId="3F632B0E" w14:textId="77777777" w:rsidR="004D2594" w:rsidRDefault="004D2594" w:rsidP="00EC3151">
                        <w:pPr>
                          <w:spacing w:before="0" w:line="276" w:lineRule="auto"/>
                          <w:jc w:val="center"/>
                          <w:rPr>
                            <w:rFonts w:cs="Arial"/>
                            <w:color w:val="000000" w:themeColor="text1"/>
                            <w:kern w:val="24"/>
                          </w:rPr>
                        </w:pPr>
                        <w:r>
                          <w:rPr>
                            <w:rFonts w:cs="Arial"/>
                            <w:color w:val="000000" w:themeColor="text1"/>
                            <w:kern w:val="24"/>
                          </w:rPr>
                          <w:t>(</w:t>
                        </w:r>
                        <w:r w:rsidRPr="004D12BD">
                          <w:rPr>
                            <w:rFonts w:cs="Arial"/>
                            <w:i/>
                            <w:iCs/>
                            <w:color w:val="000000" w:themeColor="text1"/>
                            <w:kern w:val="24"/>
                          </w:rPr>
                          <w:t>N</w:t>
                        </w:r>
                        <w:r>
                          <w:rPr>
                            <w:rFonts w:cs="Arial"/>
                            <w:color w:val="000000" w:themeColor="text1"/>
                            <w:kern w:val="24"/>
                          </w:rPr>
                          <w:t xml:space="preserve"> = 171)</w:t>
                        </w:r>
                      </w:p>
                      <w:p w14:paraId="5A777D9E" w14:textId="77777777" w:rsidR="004D2594" w:rsidRDefault="004D2594" w:rsidP="00EC3151">
                        <w:pPr>
                          <w:spacing w:before="0" w:line="276" w:lineRule="auto"/>
                          <w:jc w:val="center"/>
                          <w:rPr>
                            <w:rFonts w:cs="Arial"/>
                            <w:i/>
                            <w:iCs/>
                            <w:color w:val="000000" w:themeColor="text1"/>
                            <w:kern w:val="24"/>
                          </w:rPr>
                        </w:pPr>
                        <w:r w:rsidRPr="006010ED">
                          <w:rPr>
                            <w:rFonts w:cs="Arial"/>
                            <w:i/>
                            <w:iCs/>
                            <w:color w:val="000000" w:themeColor="text1"/>
                            <w:kern w:val="24"/>
                          </w:rPr>
                          <w:t>Reasons excluded:</w:t>
                        </w:r>
                      </w:p>
                      <w:p w14:paraId="351B05D1" w14:textId="77777777" w:rsidR="004D2594" w:rsidRDefault="004D2594" w:rsidP="00F72306">
                        <w:pPr>
                          <w:pStyle w:val="ListParagraph"/>
                          <w:numPr>
                            <w:ilvl w:val="0"/>
                            <w:numId w:val="15"/>
                          </w:numPr>
                          <w:spacing w:before="0" w:line="276" w:lineRule="auto"/>
                          <w:ind w:left="284" w:hanging="284"/>
                          <w:rPr>
                            <w:rFonts w:cs="Arial"/>
                            <w:color w:val="000000" w:themeColor="text1"/>
                            <w:kern w:val="24"/>
                          </w:rPr>
                        </w:pPr>
                        <w:r w:rsidRPr="00CF5B4B">
                          <w:rPr>
                            <w:rFonts w:cs="Arial"/>
                            <w:color w:val="000000" w:themeColor="text1"/>
                            <w:kern w:val="24"/>
                          </w:rPr>
                          <w:t>Did not meet inclusion criteri</w:t>
                        </w:r>
                        <w:r>
                          <w:rPr>
                            <w:rFonts w:cs="Arial"/>
                            <w:color w:val="000000" w:themeColor="text1"/>
                            <w:kern w:val="24"/>
                          </w:rPr>
                          <w:t>on</w:t>
                        </w:r>
                        <w:r w:rsidRPr="00CF5B4B">
                          <w:rPr>
                            <w:rFonts w:cs="Arial"/>
                            <w:color w:val="000000" w:themeColor="text1"/>
                            <w:kern w:val="24"/>
                          </w:rPr>
                          <w:t xml:space="preserve"> 4: </w:t>
                        </w:r>
                        <w:r>
                          <w:rPr>
                            <w:rFonts w:cs="Arial"/>
                            <w:color w:val="000000" w:themeColor="text1"/>
                            <w:kern w:val="24"/>
                          </w:rPr>
                          <w:t>p</w:t>
                        </w:r>
                        <w:r w:rsidRPr="00CF5B4B">
                          <w:rPr>
                            <w:rFonts w:cs="Arial"/>
                            <w:color w:val="000000" w:themeColor="text1"/>
                            <w:kern w:val="24"/>
                          </w:rPr>
                          <w:t xml:space="preserve">re-print </w:t>
                        </w:r>
                        <w:r>
                          <w:rPr>
                            <w:rFonts w:cs="Arial"/>
                            <w:color w:val="000000" w:themeColor="text1"/>
                            <w:kern w:val="24"/>
                          </w:rPr>
                          <w:t xml:space="preserve">journal </w:t>
                        </w:r>
                        <w:r w:rsidRPr="00CF5B4B">
                          <w:rPr>
                            <w:rFonts w:cs="Arial"/>
                            <w:color w:val="000000" w:themeColor="text1"/>
                            <w:kern w:val="24"/>
                          </w:rPr>
                          <w:t>article, not peer reviewed (</w:t>
                        </w:r>
                        <w:r w:rsidRPr="004D12BD">
                          <w:rPr>
                            <w:rFonts w:cs="Arial"/>
                            <w:i/>
                            <w:iCs/>
                            <w:color w:val="000000" w:themeColor="text1"/>
                            <w:kern w:val="24"/>
                          </w:rPr>
                          <w:t>n</w:t>
                        </w:r>
                        <w:r>
                          <w:rPr>
                            <w:rFonts w:cs="Arial"/>
                            <w:color w:val="000000" w:themeColor="text1"/>
                            <w:kern w:val="24"/>
                          </w:rPr>
                          <w:t xml:space="preserve"> </w:t>
                        </w:r>
                        <w:r w:rsidRPr="00CF5B4B">
                          <w:rPr>
                            <w:rFonts w:cs="Arial"/>
                            <w:color w:val="000000" w:themeColor="text1"/>
                            <w:kern w:val="24"/>
                          </w:rPr>
                          <w:t>=</w:t>
                        </w:r>
                        <w:r>
                          <w:rPr>
                            <w:rFonts w:cs="Arial"/>
                            <w:color w:val="000000" w:themeColor="text1"/>
                            <w:kern w:val="24"/>
                          </w:rPr>
                          <w:t xml:space="preserve"> </w:t>
                        </w:r>
                        <w:r w:rsidRPr="00CF5B4B">
                          <w:rPr>
                            <w:rFonts w:cs="Arial"/>
                            <w:color w:val="000000" w:themeColor="text1"/>
                            <w:kern w:val="24"/>
                          </w:rPr>
                          <w:t>12)</w:t>
                        </w:r>
                      </w:p>
                      <w:p w14:paraId="68BB0096" w14:textId="77777777" w:rsidR="004D2594" w:rsidRDefault="004D2594" w:rsidP="00F72306">
                        <w:pPr>
                          <w:pStyle w:val="ListParagraph"/>
                          <w:numPr>
                            <w:ilvl w:val="0"/>
                            <w:numId w:val="15"/>
                          </w:numPr>
                          <w:spacing w:before="0" w:line="276" w:lineRule="auto"/>
                          <w:ind w:left="284" w:hanging="284"/>
                          <w:rPr>
                            <w:rFonts w:cs="Arial"/>
                            <w:color w:val="000000" w:themeColor="text1"/>
                            <w:kern w:val="24"/>
                          </w:rPr>
                        </w:pPr>
                        <w:r>
                          <w:rPr>
                            <w:rFonts w:cs="Arial"/>
                            <w:color w:val="000000" w:themeColor="text1"/>
                            <w:kern w:val="24"/>
                          </w:rPr>
                          <w:t>Did not meet inclusion criterion 5: no reporting on data (not qualitative/quantitative research, meta-analysis or literature review) (</w:t>
                        </w:r>
                        <w:r w:rsidRPr="004D12BD">
                          <w:rPr>
                            <w:rFonts w:cs="Arial"/>
                            <w:i/>
                            <w:iCs/>
                            <w:color w:val="000000" w:themeColor="text1"/>
                            <w:kern w:val="24"/>
                          </w:rPr>
                          <w:t>n</w:t>
                        </w:r>
                        <w:r>
                          <w:rPr>
                            <w:rFonts w:cs="Arial"/>
                            <w:color w:val="000000" w:themeColor="text1"/>
                            <w:kern w:val="24"/>
                          </w:rPr>
                          <w:t xml:space="preserve"> = 64)</w:t>
                        </w:r>
                      </w:p>
                      <w:p w14:paraId="69125647" w14:textId="77777777" w:rsidR="004D2594" w:rsidRPr="00273B7A" w:rsidRDefault="004D2594" w:rsidP="00F72306">
                        <w:pPr>
                          <w:pStyle w:val="ListParagraph"/>
                          <w:numPr>
                            <w:ilvl w:val="0"/>
                            <w:numId w:val="15"/>
                          </w:numPr>
                          <w:spacing w:before="0" w:line="276" w:lineRule="auto"/>
                          <w:ind w:left="284" w:hanging="284"/>
                          <w:rPr>
                            <w:rFonts w:cs="Arial"/>
                            <w:color w:val="000000" w:themeColor="text1"/>
                            <w:kern w:val="24"/>
                          </w:rPr>
                        </w:pPr>
                        <w:r>
                          <w:rPr>
                            <w:rFonts w:cs="Arial"/>
                            <w:color w:val="000000" w:themeColor="text1"/>
                            <w:kern w:val="24"/>
                          </w:rPr>
                          <w:t>Did not meet inclusion criterion 6: n</w:t>
                        </w:r>
                        <w:r w:rsidRPr="00273B7A">
                          <w:rPr>
                            <w:rFonts w:cs="Arial"/>
                            <w:color w:val="000000" w:themeColor="text1"/>
                            <w:kern w:val="24"/>
                          </w:rPr>
                          <w:t>o in-scope products and harm (</w:t>
                        </w:r>
                        <w:r w:rsidRPr="004D12BD">
                          <w:rPr>
                            <w:rFonts w:cs="Arial"/>
                            <w:i/>
                            <w:iCs/>
                            <w:color w:val="000000" w:themeColor="text1"/>
                            <w:kern w:val="24"/>
                          </w:rPr>
                          <w:t>n</w:t>
                        </w:r>
                        <w:r>
                          <w:rPr>
                            <w:rFonts w:cs="Arial"/>
                            <w:color w:val="000000" w:themeColor="text1"/>
                            <w:kern w:val="24"/>
                          </w:rPr>
                          <w:t xml:space="preserve"> </w:t>
                        </w:r>
                        <w:r w:rsidRPr="00273B7A">
                          <w:rPr>
                            <w:rFonts w:cs="Arial"/>
                            <w:color w:val="000000" w:themeColor="text1"/>
                            <w:kern w:val="24"/>
                          </w:rPr>
                          <w:t>=</w:t>
                        </w:r>
                        <w:r>
                          <w:rPr>
                            <w:rFonts w:cs="Arial"/>
                            <w:color w:val="000000" w:themeColor="text1"/>
                            <w:kern w:val="24"/>
                          </w:rPr>
                          <w:t xml:space="preserve"> </w:t>
                        </w:r>
                        <w:r w:rsidRPr="00273B7A">
                          <w:rPr>
                            <w:rFonts w:cs="Arial"/>
                            <w:color w:val="000000" w:themeColor="text1"/>
                            <w:kern w:val="24"/>
                          </w:rPr>
                          <w:t>9</w:t>
                        </w:r>
                        <w:r>
                          <w:rPr>
                            <w:rFonts w:cs="Arial"/>
                            <w:color w:val="000000" w:themeColor="text1"/>
                            <w:kern w:val="24"/>
                          </w:rPr>
                          <w:t>5</w:t>
                        </w:r>
                        <w:r w:rsidRPr="00273B7A">
                          <w:rPr>
                            <w:rFonts w:cs="Arial"/>
                            <w:color w:val="000000" w:themeColor="text1"/>
                            <w:kern w:val="24"/>
                          </w:rPr>
                          <w:t>)</w:t>
                        </w:r>
                      </w:p>
                    </w:txbxContent>
                  </v:textbox>
                </v:rect>
              </v:group>
            </v:group>
            <w10:anchorlock/>
          </v:group>
        </w:pict>
      </w:r>
    </w:p>
    <w:p w14:paraId="3CFF89D4" w14:textId="77777777" w:rsidR="008A0AEB" w:rsidRDefault="008A0AEB" w:rsidP="008A0AEB">
      <w:pPr>
        <w:suppressAutoHyphens w:val="0"/>
        <w:spacing w:before="0" w:line="240" w:lineRule="auto"/>
        <w:jc w:val="left"/>
        <w:rPr>
          <w:rFonts w:eastAsia="Times New Roman" w:cs="Arial"/>
          <w:color w:val="000000"/>
          <w:szCs w:val="20"/>
          <w:lang w:eastAsia="en-AU"/>
        </w:rPr>
      </w:pPr>
      <w:r>
        <w:rPr>
          <w:rFonts w:cs="Arial"/>
          <w:color w:val="000000"/>
          <w:szCs w:val="20"/>
        </w:rPr>
        <w:br w:type="page"/>
      </w:r>
    </w:p>
    <w:p w14:paraId="32575146" w14:textId="2299ADB1" w:rsidR="00824BA4" w:rsidRDefault="00824BA4" w:rsidP="000B2101">
      <w:pPr>
        <w:pStyle w:val="AppendixHeading2"/>
      </w:pPr>
      <w:bookmarkStart w:id="80" w:name="_Toc97649975"/>
      <w:bookmarkStart w:id="81" w:name="_Toc106359535"/>
      <w:r>
        <w:lastRenderedPageBreak/>
        <w:t xml:space="preserve">Appendix </w:t>
      </w:r>
      <w:r w:rsidR="00C43463">
        <w:t>D</w:t>
      </w:r>
      <w:r>
        <w:t xml:space="preserve">. </w:t>
      </w:r>
      <w:r w:rsidR="007C5EA5">
        <w:t>Assessment of the s</w:t>
      </w:r>
      <w:r>
        <w:t>trength</w:t>
      </w:r>
      <w:r w:rsidR="0073739F">
        <w:t xml:space="preserve"> and </w:t>
      </w:r>
      <w:r w:rsidR="00A01287">
        <w:t xml:space="preserve">value </w:t>
      </w:r>
      <w:r>
        <w:t>of evidence</w:t>
      </w:r>
      <w:bookmarkEnd w:id="80"/>
      <w:r w:rsidR="0098387A">
        <w:t>, and generalisability to Australia</w:t>
      </w:r>
      <w:bookmarkEnd w:id="81"/>
    </w:p>
    <w:tbl>
      <w:tblPr>
        <w:tblStyle w:val="TableGrid"/>
        <w:tblW w:w="5000" w:type="pct"/>
        <w:tblLook w:val="04A0" w:firstRow="1" w:lastRow="0" w:firstColumn="1" w:lastColumn="0" w:noHBand="0" w:noVBand="1"/>
      </w:tblPr>
      <w:tblGrid>
        <w:gridCol w:w="441"/>
        <w:gridCol w:w="2758"/>
        <w:gridCol w:w="2758"/>
        <w:gridCol w:w="2758"/>
      </w:tblGrid>
      <w:tr w:rsidR="00434145" w:rsidRPr="009A7C0F" w14:paraId="7C616A06" w14:textId="77777777" w:rsidTr="00142B05">
        <w:trPr>
          <w:cnfStyle w:val="100000000000" w:firstRow="1" w:lastRow="0" w:firstColumn="0" w:lastColumn="0" w:oddVBand="0" w:evenVBand="0" w:oddHBand="0" w:evenHBand="0" w:firstRowFirstColumn="0" w:firstRowLastColumn="0" w:lastRowFirstColumn="0" w:lastRowLastColumn="0"/>
          <w:trHeight w:val="454"/>
          <w:tblHeader/>
        </w:trPr>
        <w:tc>
          <w:tcPr>
            <w:tcW w:w="256" w:type="pct"/>
            <w:tcBorders>
              <w:top w:val="single" w:sz="4"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auto"/>
            <w:vAlign w:val="center"/>
          </w:tcPr>
          <w:p w14:paraId="5AD5BA4D" w14:textId="77777777" w:rsidR="0000747F" w:rsidRPr="0000747F" w:rsidRDefault="0000747F" w:rsidP="00E40B5E">
            <w:pPr>
              <w:spacing w:before="0" w:line="240" w:lineRule="auto"/>
              <w:contextualSpacing/>
              <w:jc w:val="center"/>
              <w:rPr>
                <w:rFonts w:cs="Arial"/>
                <w:b/>
                <w:color w:val="FFFFFF" w:themeColor="background1"/>
                <w:szCs w:val="20"/>
              </w:rPr>
            </w:pPr>
          </w:p>
        </w:tc>
        <w:tc>
          <w:tcPr>
            <w:tcW w:w="158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vAlign w:val="center"/>
          </w:tcPr>
          <w:p w14:paraId="54590DF0" w14:textId="77777777" w:rsidR="0000747F" w:rsidRPr="0000747F" w:rsidRDefault="0000747F" w:rsidP="0000747F">
            <w:pPr>
              <w:spacing w:before="0" w:line="240" w:lineRule="auto"/>
              <w:contextualSpacing/>
              <w:jc w:val="left"/>
              <w:rPr>
                <w:rFonts w:cs="Arial"/>
                <w:b/>
                <w:color w:val="FFFFFF" w:themeColor="background1"/>
                <w:szCs w:val="20"/>
              </w:rPr>
            </w:pPr>
            <w:r w:rsidRPr="0000747F">
              <w:rPr>
                <w:rFonts w:cs="Arial"/>
                <w:b/>
                <w:color w:val="FFFFFF" w:themeColor="background1"/>
                <w:szCs w:val="20"/>
              </w:rPr>
              <w:t>Low</w:t>
            </w:r>
          </w:p>
        </w:tc>
        <w:tc>
          <w:tcPr>
            <w:tcW w:w="158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vAlign w:val="center"/>
          </w:tcPr>
          <w:p w14:paraId="77789497" w14:textId="77777777" w:rsidR="0000747F" w:rsidRPr="0000747F" w:rsidRDefault="0000747F" w:rsidP="0000747F">
            <w:pPr>
              <w:spacing w:before="0" w:line="240" w:lineRule="auto"/>
              <w:contextualSpacing/>
              <w:jc w:val="left"/>
              <w:rPr>
                <w:rFonts w:cs="Arial"/>
                <w:b/>
                <w:color w:val="FFFFFF" w:themeColor="background1"/>
                <w:szCs w:val="20"/>
              </w:rPr>
            </w:pPr>
            <w:r w:rsidRPr="0000747F">
              <w:rPr>
                <w:rFonts w:cs="Arial"/>
                <w:b/>
                <w:color w:val="FFFFFF" w:themeColor="background1"/>
                <w:szCs w:val="20"/>
              </w:rPr>
              <w:t>Medium</w:t>
            </w:r>
          </w:p>
        </w:tc>
        <w:tc>
          <w:tcPr>
            <w:tcW w:w="1581" w:type="pct"/>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vAlign w:val="center"/>
          </w:tcPr>
          <w:p w14:paraId="67E94DFA" w14:textId="77777777" w:rsidR="0000747F" w:rsidRPr="0000747F" w:rsidRDefault="0000747F" w:rsidP="0000747F">
            <w:pPr>
              <w:spacing w:before="0" w:line="240" w:lineRule="auto"/>
              <w:contextualSpacing/>
              <w:jc w:val="left"/>
              <w:rPr>
                <w:rFonts w:cs="Arial"/>
                <w:b/>
                <w:color w:val="FFFFFF" w:themeColor="background1"/>
                <w:szCs w:val="20"/>
              </w:rPr>
            </w:pPr>
            <w:r w:rsidRPr="0000747F">
              <w:rPr>
                <w:rFonts w:cs="Arial"/>
                <w:b/>
                <w:color w:val="FFFFFF" w:themeColor="background1"/>
                <w:szCs w:val="20"/>
              </w:rPr>
              <w:t>High</w:t>
            </w:r>
          </w:p>
        </w:tc>
      </w:tr>
      <w:tr w:rsidR="00FC75DC" w:rsidRPr="009A7C0F" w14:paraId="76850F4E" w14:textId="77777777" w:rsidTr="00142B05">
        <w:trPr>
          <w:trHeight w:val="1168"/>
        </w:trPr>
        <w:tc>
          <w:tcPr>
            <w:tcW w:w="256" w:type="pct"/>
            <w:vMerge w:val="restart"/>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0D3FCB04" w14:textId="77777777" w:rsidR="0000747F" w:rsidRPr="0000747F" w:rsidRDefault="00384B1A" w:rsidP="00E40B5E">
            <w:pPr>
              <w:spacing w:before="0" w:line="240" w:lineRule="auto"/>
              <w:ind w:left="113" w:right="113"/>
              <w:contextualSpacing/>
              <w:jc w:val="center"/>
              <w:rPr>
                <w:rFonts w:cs="Arial"/>
                <w:b/>
                <w:color w:val="FFFFFF" w:themeColor="background1"/>
                <w:szCs w:val="20"/>
              </w:rPr>
            </w:pPr>
            <w:r>
              <w:rPr>
                <w:rFonts w:cs="Arial"/>
                <w:b/>
                <w:color w:val="FFFFFF" w:themeColor="background1"/>
                <w:szCs w:val="20"/>
              </w:rPr>
              <w:t>Strength of Evidence</w:t>
            </w:r>
          </w:p>
        </w:tc>
        <w:tc>
          <w:tcPr>
            <w:tcW w:w="1581" w:type="pct"/>
            <w:tcBorders>
              <w:top w:val="single" w:sz="4" w:space="0" w:color="FFFFFF" w:themeColor="background1"/>
              <w:left w:val="single" w:sz="4" w:space="0" w:color="FFFFFF" w:themeColor="background1"/>
              <w:right w:val="single" w:sz="4" w:space="0" w:color="auto"/>
            </w:tcBorders>
          </w:tcPr>
          <w:p w14:paraId="635C1179" w14:textId="77777777" w:rsidR="0000747F" w:rsidRPr="0000747F" w:rsidRDefault="0000747F" w:rsidP="0000747F">
            <w:pPr>
              <w:spacing w:before="0" w:line="240" w:lineRule="auto"/>
              <w:contextualSpacing/>
              <w:jc w:val="left"/>
              <w:rPr>
                <w:rFonts w:cs="Arial"/>
                <w:szCs w:val="20"/>
              </w:rPr>
            </w:pPr>
            <w:r w:rsidRPr="0000747F">
              <w:rPr>
                <w:rFonts w:cs="Arial"/>
                <w:szCs w:val="20"/>
              </w:rPr>
              <w:t xml:space="preserve">Empirical study </w:t>
            </w:r>
            <w:r w:rsidR="0020001D">
              <w:rPr>
                <w:rFonts w:cs="Arial"/>
                <w:szCs w:val="20"/>
              </w:rPr>
              <w:t>that</w:t>
            </w:r>
            <w:r w:rsidR="0020001D" w:rsidRPr="0000747F">
              <w:rPr>
                <w:rFonts w:cs="Arial"/>
                <w:szCs w:val="20"/>
              </w:rPr>
              <w:t xml:space="preserve"> </w:t>
            </w:r>
            <w:r w:rsidRPr="0000747F">
              <w:rPr>
                <w:rFonts w:cs="Arial"/>
                <w:szCs w:val="20"/>
              </w:rPr>
              <w:t>is exploratory or cross-sectional (without comparison)</w:t>
            </w:r>
          </w:p>
        </w:tc>
        <w:tc>
          <w:tcPr>
            <w:tcW w:w="1581" w:type="pct"/>
            <w:tcBorders>
              <w:top w:val="single" w:sz="4" w:space="0" w:color="FFFFFF" w:themeColor="background1"/>
              <w:left w:val="single" w:sz="4" w:space="0" w:color="auto"/>
              <w:bottom w:val="single" w:sz="2" w:space="0" w:color="auto"/>
              <w:right w:val="single" w:sz="4" w:space="0" w:color="auto"/>
            </w:tcBorders>
          </w:tcPr>
          <w:p w14:paraId="5E173190" w14:textId="77777777" w:rsidR="0000747F" w:rsidRPr="0000747F" w:rsidRDefault="0000747F" w:rsidP="0000747F">
            <w:pPr>
              <w:spacing w:before="0" w:line="240" w:lineRule="auto"/>
              <w:contextualSpacing/>
              <w:jc w:val="left"/>
              <w:rPr>
                <w:rFonts w:cs="Arial"/>
                <w:szCs w:val="20"/>
              </w:rPr>
            </w:pPr>
            <w:r w:rsidRPr="0000747F">
              <w:rPr>
                <w:rFonts w:cs="Arial"/>
                <w:szCs w:val="20"/>
              </w:rPr>
              <w:t>Empirical studies: pre-post design, quasi-experimental, cross-sectional comparisons, longitudinal</w:t>
            </w:r>
          </w:p>
        </w:tc>
        <w:tc>
          <w:tcPr>
            <w:tcW w:w="1581" w:type="pct"/>
            <w:tcBorders>
              <w:top w:val="single" w:sz="4" w:space="0" w:color="FFFFFF" w:themeColor="background1"/>
              <w:left w:val="single" w:sz="4" w:space="0" w:color="auto"/>
              <w:bottom w:val="single" w:sz="2" w:space="0" w:color="auto"/>
            </w:tcBorders>
          </w:tcPr>
          <w:p w14:paraId="3AD53CA7" w14:textId="77777777" w:rsidR="0000747F" w:rsidRPr="0000747F" w:rsidRDefault="0000747F" w:rsidP="0000747F">
            <w:pPr>
              <w:pBdr>
                <w:bottom w:val="dashed" w:sz="4" w:space="1" w:color="auto"/>
              </w:pBdr>
              <w:spacing w:before="0" w:line="240" w:lineRule="auto"/>
              <w:contextualSpacing/>
              <w:jc w:val="left"/>
              <w:rPr>
                <w:rFonts w:cs="Arial"/>
                <w:szCs w:val="20"/>
              </w:rPr>
            </w:pPr>
            <w:r w:rsidRPr="0000747F">
              <w:rPr>
                <w:rFonts w:cs="Arial"/>
                <w:szCs w:val="20"/>
              </w:rPr>
              <w:t>Empirical study with a randomised controlled trial (RCT)</w:t>
            </w:r>
          </w:p>
          <w:p w14:paraId="21849641" w14:textId="77777777" w:rsidR="0000747F" w:rsidRPr="0000747F" w:rsidRDefault="0000747F" w:rsidP="0000747F">
            <w:pPr>
              <w:spacing w:before="0" w:line="240" w:lineRule="auto"/>
              <w:contextualSpacing/>
              <w:jc w:val="left"/>
              <w:rPr>
                <w:rFonts w:cs="Arial"/>
                <w:szCs w:val="20"/>
              </w:rPr>
            </w:pPr>
            <w:r w:rsidRPr="0000747F">
              <w:rPr>
                <w:rFonts w:cs="Arial"/>
                <w:szCs w:val="20"/>
              </w:rPr>
              <w:t>Pre-registered, peer-reviewed studies</w:t>
            </w:r>
          </w:p>
        </w:tc>
      </w:tr>
      <w:tr w:rsidR="00FC75DC" w:rsidRPr="009A7C0F" w14:paraId="2A689312"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69A91F6A" w14:textId="77777777" w:rsidR="0000747F" w:rsidRPr="0000747F" w:rsidRDefault="0000747F" w:rsidP="00E40B5E">
            <w:pPr>
              <w:spacing w:before="0" w:line="240" w:lineRule="auto"/>
              <w:ind w:left="113" w:right="113"/>
              <w:contextualSpacing/>
              <w:jc w:val="center"/>
              <w:rPr>
                <w:rFonts w:cs="Arial"/>
                <w:b/>
                <w:color w:val="FFFFFF" w:themeColor="background1"/>
                <w:szCs w:val="20"/>
              </w:rPr>
            </w:pPr>
          </w:p>
        </w:tc>
        <w:tc>
          <w:tcPr>
            <w:tcW w:w="1581" w:type="pct"/>
            <w:tcBorders>
              <w:left w:val="single" w:sz="4" w:space="0" w:color="FFFFFF" w:themeColor="background1"/>
              <w:bottom w:val="dashed" w:sz="4" w:space="0" w:color="auto"/>
              <w:right w:val="single" w:sz="4" w:space="0" w:color="auto"/>
            </w:tcBorders>
            <w:vAlign w:val="center"/>
          </w:tcPr>
          <w:p w14:paraId="18271DEC" w14:textId="77777777" w:rsidR="0000747F" w:rsidRPr="0000747F" w:rsidRDefault="0000747F" w:rsidP="0000747F">
            <w:pPr>
              <w:spacing w:before="0" w:line="240" w:lineRule="auto"/>
              <w:contextualSpacing/>
              <w:jc w:val="left"/>
              <w:rPr>
                <w:rFonts w:cs="Arial"/>
                <w:szCs w:val="20"/>
              </w:rPr>
            </w:pPr>
            <w:r w:rsidRPr="0000747F">
              <w:rPr>
                <w:rFonts w:cs="Arial"/>
                <w:szCs w:val="20"/>
              </w:rPr>
              <w:t>Narrative literature review with non-systematic search</w:t>
            </w:r>
          </w:p>
        </w:tc>
        <w:tc>
          <w:tcPr>
            <w:tcW w:w="1581" w:type="pct"/>
            <w:vMerge w:val="restart"/>
            <w:tcBorders>
              <w:left w:val="single" w:sz="4" w:space="0" w:color="auto"/>
              <w:bottom w:val="single" w:sz="4" w:space="0" w:color="FFFFFF" w:themeColor="background1"/>
              <w:right w:val="single" w:sz="4" w:space="0" w:color="auto"/>
            </w:tcBorders>
          </w:tcPr>
          <w:p w14:paraId="2FB3963E" w14:textId="77777777" w:rsidR="0000747F" w:rsidRPr="0000747F" w:rsidRDefault="0000747F" w:rsidP="0000747F">
            <w:pPr>
              <w:spacing w:before="0" w:line="240" w:lineRule="auto"/>
              <w:contextualSpacing/>
              <w:jc w:val="left"/>
              <w:rPr>
                <w:rFonts w:cs="Arial"/>
                <w:szCs w:val="20"/>
              </w:rPr>
            </w:pPr>
            <w:r w:rsidRPr="0000747F">
              <w:rPr>
                <w:rFonts w:cs="Arial"/>
                <w:szCs w:val="20"/>
              </w:rPr>
              <w:t>Narrative literature reviews with systematic search (rapid, scoping)</w:t>
            </w:r>
          </w:p>
        </w:tc>
        <w:tc>
          <w:tcPr>
            <w:tcW w:w="1581" w:type="pct"/>
            <w:vMerge w:val="restart"/>
            <w:tcBorders>
              <w:left w:val="single" w:sz="4" w:space="0" w:color="auto"/>
              <w:bottom w:val="single" w:sz="4" w:space="0" w:color="FFFFFF" w:themeColor="background1"/>
            </w:tcBorders>
          </w:tcPr>
          <w:p w14:paraId="17978225" w14:textId="77777777" w:rsidR="0000747F" w:rsidRPr="0000747F" w:rsidRDefault="0000747F" w:rsidP="0000747F">
            <w:pPr>
              <w:spacing w:before="0" w:line="240" w:lineRule="auto"/>
              <w:contextualSpacing/>
              <w:jc w:val="left"/>
              <w:rPr>
                <w:rFonts w:cs="Arial"/>
                <w:szCs w:val="20"/>
              </w:rPr>
            </w:pPr>
            <w:r w:rsidRPr="0000747F">
              <w:rPr>
                <w:rFonts w:cs="Arial"/>
                <w:szCs w:val="20"/>
              </w:rPr>
              <w:t>Systematic literature reviews, with or without meta-analysis</w:t>
            </w:r>
          </w:p>
        </w:tc>
      </w:tr>
      <w:tr w:rsidR="00FC75DC" w:rsidRPr="009A7C0F" w14:paraId="6703B0E9"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08DED3E9" w14:textId="77777777" w:rsidR="0000747F" w:rsidRPr="0000747F" w:rsidRDefault="0000747F" w:rsidP="00E40B5E">
            <w:pPr>
              <w:spacing w:before="0" w:line="240" w:lineRule="auto"/>
              <w:ind w:left="113" w:right="113"/>
              <w:contextualSpacing/>
              <w:jc w:val="center"/>
              <w:rPr>
                <w:rFonts w:cs="Arial"/>
                <w:b/>
                <w:color w:val="FFFFFF" w:themeColor="background1"/>
                <w:szCs w:val="20"/>
              </w:rPr>
            </w:pPr>
          </w:p>
        </w:tc>
        <w:tc>
          <w:tcPr>
            <w:tcW w:w="1581" w:type="pct"/>
            <w:tcBorders>
              <w:top w:val="dashed" w:sz="4" w:space="0" w:color="auto"/>
              <w:left w:val="single" w:sz="4" w:space="0" w:color="FFFFFF" w:themeColor="background1"/>
              <w:bottom w:val="dashed" w:sz="4" w:space="0" w:color="auto"/>
              <w:right w:val="single" w:sz="4" w:space="0" w:color="auto"/>
            </w:tcBorders>
            <w:vAlign w:val="center"/>
          </w:tcPr>
          <w:p w14:paraId="6774583A" w14:textId="77777777" w:rsidR="0000747F" w:rsidRPr="0000747F" w:rsidRDefault="0000747F" w:rsidP="0000747F">
            <w:pPr>
              <w:spacing w:before="0" w:line="240" w:lineRule="auto"/>
              <w:contextualSpacing/>
              <w:jc w:val="left"/>
              <w:rPr>
                <w:rFonts w:cs="Arial"/>
                <w:szCs w:val="20"/>
              </w:rPr>
            </w:pPr>
            <w:r w:rsidRPr="0000747F">
              <w:rPr>
                <w:rFonts w:cs="Arial"/>
                <w:szCs w:val="20"/>
              </w:rPr>
              <w:t>Qualitative research</w:t>
            </w:r>
          </w:p>
        </w:tc>
        <w:tc>
          <w:tcPr>
            <w:tcW w:w="1581" w:type="pct"/>
            <w:vMerge/>
            <w:tcBorders>
              <w:top w:val="single" w:sz="4" w:space="0" w:color="FFFFFF" w:themeColor="background1"/>
              <w:left w:val="single" w:sz="4" w:space="0" w:color="auto"/>
              <w:bottom w:val="single" w:sz="4" w:space="0" w:color="FFFFFF" w:themeColor="background1"/>
              <w:right w:val="single" w:sz="4" w:space="0" w:color="auto"/>
            </w:tcBorders>
          </w:tcPr>
          <w:p w14:paraId="756986F4" w14:textId="77777777" w:rsidR="0000747F" w:rsidRPr="0000747F" w:rsidRDefault="0000747F" w:rsidP="0000747F">
            <w:pPr>
              <w:spacing w:before="0" w:line="240" w:lineRule="auto"/>
              <w:contextualSpacing/>
              <w:jc w:val="left"/>
              <w:rPr>
                <w:rFonts w:cs="Arial"/>
                <w:szCs w:val="20"/>
              </w:rPr>
            </w:pPr>
          </w:p>
        </w:tc>
        <w:tc>
          <w:tcPr>
            <w:tcW w:w="1581" w:type="pct"/>
            <w:vMerge/>
            <w:tcBorders>
              <w:top w:val="single" w:sz="4" w:space="0" w:color="FFFFFF" w:themeColor="background1"/>
              <w:left w:val="single" w:sz="4" w:space="0" w:color="auto"/>
              <w:bottom w:val="single" w:sz="4" w:space="0" w:color="FFFFFF" w:themeColor="background1"/>
            </w:tcBorders>
          </w:tcPr>
          <w:p w14:paraId="6C6B2F55" w14:textId="77777777" w:rsidR="0000747F" w:rsidRPr="0000747F" w:rsidRDefault="0000747F" w:rsidP="0000747F">
            <w:pPr>
              <w:spacing w:before="0" w:line="240" w:lineRule="auto"/>
              <w:contextualSpacing/>
              <w:jc w:val="left"/>
              <w:rPr>
                <w:rFonts w:cs="Arial"/>
                <w:szCs w:val="20"/>
              </w:rPr>
            </w:pPr>
          </w:p>
        </w:tc>
      </w:tr>
      <w:tr w:rsidR="00FC75DC" w:rsidRPr="009A7C0F" w14:paraId="2C70029C"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13A6BD2E" w14:textId="77777777" w:rsidR="0000747F" w:rsidRPr="0000747F" w:rsidRDefault="0000747F" w:rsidP="00E40B5E">
            <w:pPr>
              <w:spacing w:before="0" w:line="240" w:lineRule="auto"/>
              <w:ind w:left="113" w:right="113"/>
              <w:contextualSpacing/>
              <w:jc w:val="center"/>
              <w:rPr>
                <w:rFonts w:cs="Arial"/>
                <w:b/>
                <w:color w:val="FFFFFF" w:themeColor="background1"/>
                <w:szCs w:val="20"/>
              </w:rPr>
            </w:pPr>
          </w:p>
        </w:tc>
        <w:tc>
          <w:tcPr>
            <w:tcW w:w="1581" w:type="pct"/>
            <w:tcBorders>
              <w:top w:val="dashed" w:sz="4" w:space="0" w:color="auto"/>
              <w:left w:val="single" w:sz="4" w:space="0" w:color="FFFFFF" w:themeColor="background1"/>
              <w:bottom w:val="dashed" w:sz="4" w:space="0" w:color="auto"/>
              <w:right w:val="single" w:sz="4" w:space="0" w:color="auto"/>
            </w:tcBorders>
            <w:vAlign w:val="center"/>
          </w:tcPr>
          <w:p w14:paraId="7EB43BB7" w14:textId="77777777" w:rsidR="0000747F" w:rsidRPr="0000747F" w:rsidRDefault="0000747F" w:rsidP="0000747F">
            <w:pPr>
              <w:spacing w:before="0" w:line="240" w:lineRule="auto"/>
              <w:contextualSpacing/>
              <w:jc w:val="left"/>
              <w:rPr>
                <w:rFonts w:cs="Arial"/>
                <w:szCs w:val="20"/>
              </w:rPr>
            </w:pPr>
            <w:r w:rsidRPr="0000747F">
              <w:rPr>
                <w:rFonts w:cs="Arial"/>
                <w:szCs w:val="20"/>
              </w:rPr>
              <w:t>Expert consensus, conceptual frameworks</w:t>
            </w:r>
          </w:p>
        </w:tc>
        <w:tc>
          <w:tcPr>
            <w:tcW w:w="1581" w:type="pct"/>
            <w:vMerge/>
            <w:tcBorders>
              <w:top w:val="single" w:sz="4" w:space="0" w:color="FFFFFF" w:themeColor="background1"/>
              <w:left w:val="single" w:sz="4" w:space="0" w:color="auto"/>
              <w:bottom w:val="single" w:sz="4" w:space="0" w:color="FFFFFF" w:themeColor="background1"/>
              <w:right w:val="single" w:sz="4" w:space="0" w:color="auto"/>
            </w:tcBorders>
          </w:tcPr>
          <w:p w14:paraId="6363C98C" w14:textId="77777777" w:rsidR="0000747F" w:rsidRPr="0000747F" w:rsidRDefault="0000747F" w:rsidP="0000747F">
            <w:pPr>
              <w:spacing w:before="0" w:line="240" w:lineRule="auto"/>
              <w:contextualSpacing/>
              <w:jc w:val="left"/>
              <w:rPr>
                <w:rFonts w:cs="Arial"/>
                <w:szCs w:val="20"/>
              </w:rPr>
            </w:pPr>
          </w:p>
        </w:tc>
        <w:tc>
          <w:tcPr>
            <w:tcW w:w="1581" w:type="pct"/>
            <w:vMerge/>
            <w:tcBorders>
              <w:top w:val="single" w:sz="4" w:space="0" w:color="FFFFFF" w:themeColor="background1"/>
              <w:left w:val="single" w:sz="4" w:space="0" w:color="auto"/>
              <w:bottom w:val="single" w:sz="4" w:space="0" w:color="FFFFFF" w:themeColor="background1"/>
            </w:tcBorders>
          </w:tcPr>
          <w:p w14:paraId="0637F99F" w14:textId="77777777" w:rsidR="0000747F" w:rsidRPr="0000747F" w:rsidRDefault="0000747F" w:rsidP="0000747F">
            <w:pPr>
              <w:spacing w:before="0" w:line="240" w:lineRule="auto"/>
              <w:contextualSpacing/>
              <w:jc w:val="left"/>
              <w:rPr>
                <w:rFonts w:cs="Arial"/>
                <w:szCs w:val="20"/>
              </w:rPr>
            </w:pPr>
          </w:p>
        </w:tc>
      </w:tr>
      <w:tr w:rsidR="00FC75DC" w:rsidRPr="009A7C0F" w14:paraId="36AF7C87"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6020D6D6" w14:textId="77777777" w:rsidR="0000747F" w:rsidRPr="0000747F" w:rsidRDefault="0000747F" w:rsidP="00E40B5E">
            <w:pPr>
              <w:spacing w:before="0" w:line="240" w:lineRule="auto"/>
              <w:ind w:left="113" w:right="113"/>
              <w:contextualSpacing/>
              <w:jc w:val="center"/>
              <w:rPr>
                <w:rFonts w:cs="Arial"/>
                <w:b/>
                <w:color w:val="FFFFFF" w:themeColor="background1"/>
                <w:szCs w:val="20"/>
              </w:rPr>
            </w:pPr>
          </w:p>
        </w:tc>
        <w:tc>
          <w:tcPr>
            <w:tcW w:w="1581" w:type="pct"/>
            <w:tcBorders>
              <w:top w:val="dashed" w:sz="4" w:space="0" w:color="auto"/>
              <w:left w:val="single" w:sz="4" w:space="0" w:color="FFFFFF" w:themeColor="background1"/>
              <w:bottom w:val="dashed" w:sz="4" w:space="0" w:color="auto"/>
              <w:right w:val="single" w:sz="4" w:space="0" w:color="auto"/>
            </w:tcBorders>
            <w:vAlign w:val="center"/>
          </w:tcPr>
          <w:p w14:paraId="66DECA79" w14:textId="77777777" w:rsidR="0000747F" w:rsidRPr="0000747F" w:rsidRDefault="0000747F" w:rsidP="0000747F">
            <w:pPr>
              <w:spacing w:before="0" w:line="240" w:lineRule="auto"/>
              <w:contextualSpacing/>
              <w:jc w:val="left"/>
              <w:rPr>
                <w:rFonts w:cs="Arial"/>
                <w:szCs w:val="20"/>
              </w:rPr>
            </w:pPr>
            <w:r w:rsidRPr="0000747F">
              <w:rPr>
                <w:rFonts w:cs="Arial"/>
                <w:szCs w:val="20"/>
              </w:rPr>
              <w:t>Expert opinion</w:t>
            </w:r>
          </w:p>
        </w:tc>
        <w:tc>
          <w:tcPr>
            <w:tcW w:w="1581" w:type="pct"/>
            <w:vMerge/>
            <w:tcBorders>
              <w:top w:val="single" w:sz="4" w:space="0" w:color="FFFFFF" w:themeColor="background1"/>
              <w:left w:val="single" w:sz="4" w:space="0" w:color="auto"/>
              <w:bottom w:val="single" w:sz="4" w:space="0" w:color="FFFFFF" w:themeColor="background1"/>
              <w:right w:val="single" w:sz="4" w:space="0" w:color="auto"/>
            </w:tcBorders>
          </w:tcPr>
          <w:p w14:paraId="0C0A7208" w14:textId="77777777" w:rsidR="0000747F" w:rsidRPr="0000747F" w:rsidRDefault="0000747F" w:rsidP="0000747F">
            <w:pPr>
              <w:spacing w:before="0" w:line="240" w:lineRule="auto"/>
              <w:contextualSpacing/>
              <w:jc w:val="left"/>
              <w:rPr>
                <w:rFonts w:cs="Arial"/>
                <w:szCs w:val="20"/>
              </w:rPr>
            </w:pPr>
          </w:p>
        </w:tc>
        <w:tc>
          <w:tcPr>
            <w:tcW w:w="1581" w:type="pct"/>
            <w:vMerge/>
            <w:tcBorders>
              <w:top w:val="single" w:sz="4" w:space="0" w:color="FFFFFF" w:themeColor="background1"/>
              <w:left w:val="single" w:sz="4" w:space="0" w:color="auto"/>
              <w:bottom w:val="single" w:sz="4" w:space="0" w:color="FFFFFF" w:themeColor="background1"/>
            </w:tcBorders>
          </w:tcPr>
          <w:p w14:paraId="07C549DE" w14:textId="77777777" w:rsidR="0000747F" w:rsidRPr="0000747F" w:rsidRDefault="0000747F" w:rsidP="0000747F">
            <w:pPr>
              <w:spacing w:before="0" w:line="240" w:lineRule="auto"/>
              <w:contextualSpacing/>
              <w:jc w:val="left"/>
              <w:rPr>
                <w:rFonts w:cs="Arial"/>
                <w:szCs w:val="20"/>
              </w:rPr>
            </w:pPr>
          </w:p>
        </w:tc>
      </w:tr>
      <w:tr w:rsidR="00FC75DC" w:rsidRPr="009A7C0F" w14:paraId="46443461"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05490756" w14:textId="77777777" w:rsidR="0000747F" w:rsidRPr="0000747F" w:rsidRDefault="0000747F" w:rsidP="00E40B5E">
            <w:pPr>
              <w:spacing w:before="0" w:line="240" w:lineRule="auto"/>
              <w:ind w:left="113" w:right="113"/>
              <w:contextualSpacing/>
              <w:jc w:val="center"/>
              <w:rPr>
                <w:rFonts w:cs="Arial"/>
                <w:b/>
                <w:color w:val="FFFFFF" w:themeColor="background1"/>
                <w:szCs w:val="20"/>
              </w:rPr>
            </w:pPr>
          </w:p>
        </w:tc>
        <w:tc>
          <w:tcPr>
            <w:tcW w:w="1581" w:type="pct"/>
            <w:tcBorders>
              <w:top w:val="dashed" w:sz="4" w:space="0" w:color="auto"/>
              <w:left w:val="single" w:sz="4" w:space="0" w:color="FFFFFF" w:themeColor="background1"/>
              <w:bottom w:val="single" w:sz="4" w:space="0" w:color="FFFFFF" w:themeColor="background1"/>
              <w:right w:val="single" w:sz="4" w:space="0" w:color="auto"/>
            </w:tcBorders>
            <w:vAlign w:val="center"/>
          </w:tcPr>
          <w:p w14:paraId="5DAB1BDF" w14:textId="77777777" w:rsidR="0000747F" w:rsidRPr="0000747F" w:rsidRDefault="0000747F" w:rsidP="0000747F">
            <w:pPr>
              <w:spacing w:before="0" w:line="240" w:lineRule="auto"/>
              <w:contextualSpacing/>
              <w:jc w:val="left"/>
              <w:rPr>
                <w:rFonts w:cs="Arial"/>
                <w:szCs w:val="20"/>
              </w:rPr>
            </w:pPr>
            <w:r w:rsidRPr="0000747F">
              <w:rPr>
                <w:rFonts w:cs="Arial"/>
                <w:szCs w:val="20"/>
              </w:rPr>
              <w:t>Case studies, series, reports</w:t>
            </w:r>
          </w:p>
        </w:tc>
        <w:tc>
          <w:tcPr>
            <w:tcW w:w="1581" w:type="pct"/>
            <w:vMerge/>
            <w:tcBorders>
              <w:top w:val="single" w:sz="4" w:space="0" w:color="FFFFFF" w:themeColor="background1"/>
              <w:left w:val="single" w:sz="4" w:space="0" w:color="auto"/>
              <w:bottom w:val="single" w:sz="4" w:space="0" w:color="FFFFFF" w:themeColor="background1"/>
              <w:right w:val="single" w:sz="4" w:space="0" w:color="auto"/>
            </w:tcBorders>
          </w:tcPr>
          <w:p w14:paraId="08592B9B" w14:textId="77777777" w:rsidR="0000747F" w:rsidRPr="0000747F" w:rsidRDefault="0000747F" w:rsidP="0000747F">
            <w:pPr>
              <w:spacing w:before="0" w:line="240" w:lineRule="auto"/>
              <w:contextualSpacing/>
              <w:jc w:val="left"/>
              <w:rPr>
                <w:rFonts w:cs="Arial"/>
                <w:szCs w:val="20"/>
              </w:rPr>
            </w:pPr>
          </w:p>
        </w:tc>
        <w:tc>
          <w:tcPr>
            <w:tcW w:w="1581" w:type="pct"/>
            <w:vMerge/>
            <w:tcBorders>
              <w:top w:val="single" w:sz="4" w:space="0" w:color="FFFFFF" w:themeColor="background1"/>
              <w:left w:val="single" w:sz="4" w:space="0" w:color="auto"/>
              <w:bottom w:val="single" w:sz="4" w:space="0" w:color="FFFFFF" w:themeColor="background1"/>
            </w:tcBorders>
          </w:tcPr>
          <w:p w14:paraId="5FEA9ADF" w14:textId="77777777" w:rsidR="0000747F" w:rsidRPr="0000747F" w:rsidRDefault="0000747F" w:rsidP="0000747F">
            <w:pPr>
              <w:spacing w:before="0" w:line="240" w:lineRule="auto"/>
              <w:contextualSpacing/>
              <w:jc w:val="left"/>
              <w:rPr>
                <w:rFonts w:cs="Arial"/>
                <w:szCs w:val="20"/>
              </w:rPr>
            </w:pPr>
          </w:p>
        </w:tc>
      </w:tr>
      <w:tr w:rsidR="00393D22" w:rsidRPr="009A7C0F" w14:paraId="4FC834EA" w14:textId="77777777" w:rsidTr="00142B05">
        <w:trPr>
          <w:trHeight w:val="454"/>
        </w:trPr>
        <w:tc>
          <w:tcPr>
            <w:tcW w:w="256" w:type="pct"/>
            <w:tcBorders>
              <w:top w:val="single" w:sz="8" w:space="0" w:color="FFFFFF" w:themeColor="background1"/>
              <w:left w:val="nil"/>
              <w:bottom w:val="single" w:sz="8" w:space="0" w:color="FFFFFF" w:themeColor="background1"/>
              <w:right w:val="single" w:sz="8" w:space="0" w:color="FFFFFF" w:themeColor="background1"/>
            </w:tcBorders>
            <w:shd w:val="clear" w:color="auto" w:fill="auto"/>
            <w:vAlign w:val="center"/>
          </w:tcPr>
          <w:p w14:paraId="419A3F23" w14:textId="77777777" w:rsidR="0000747F" w:rsidRPr="0000747F" w:rsidRDefault="0000747F" w:rsidP="00E40B5E">
            <w:pPr>
              <w:spacing w:before="0" w:line="240" w:lineRule="auto"/>
              <w:contextualSpacing/>
              <w:jc w:val="center"/>
              <w:rPr>
                <w:rFonts w:cs="Arial"/>
                <w:b/>
                <w:color w:val="FFFFFF" w:themeColor="background1"/>
                <w:szCs w:val="20"/>
              </w:rPr>
            </w:pPr>
            <w:bookmarkStart w:id="82" w:name="_Hlk106102432"/>
          </w:p>
        </w:tc>
        <w:tc>
          <w:tcPr>
            <w:tcW w:w="158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62136D"/>
            <w:vAlign w:val="center"/>
          </w:tcPr>
          <w:p w14:paraId="5574E9A5" w14:textId="77777777" w:rsidR="0000747F" w:rsidRPr="0000747F" w:rsidRDefault="0000747F" w:rsidP="0000747F">
            <w:pPr>
              <w:spacing w:before="0" w:line="240" w:lineRule="auto"/>
              <w:contextualSpacing/>
              <w:jc w:val="left"/>
              <w:rPr>
                <w:rFonts w:cs="Arial"/>
                <w:szCs w:val="20"/>
              </w:rPr>
            </w:pPr>
            <w:r w:rsidRPr="0000747F">
              <w:rPr>
                <w:rFonts w:cs="Arial"/>
                <w:b/>
                <w:color w:val="FFFFFF" w:themeColor="background1"/>
                <w:szCs w:val="20"/>
              </w:rPr>
              <w:t>Low</w:t>
            </w:r>
          </w:p>
        </w:tc>
        <w:tc>
          <w:tcPr>
            <w:tcW w:w="158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62136D"/>
            <w:vAlign w:val="center"/>
          </w:tcPr>
          <w:p w14:paraId="0134472C" w14:textId="77777777" w:rsidR="0000747F" w:rsidRPr="0000747F" w:rsidRDefault="0000747F" w:rsidP="0000747F">
            <w:pPr>
              <w:spacing w:before="0" w:line="240" w:lineRule="auto"/>
              <w:contextualSpacing/>
              <w:jc w:val="left"/>
              <w:rPr>
                <w:szCs w:val="20"/>
              </w:rPr>
            </w:pPr>
            <w:r w:rsidRPr="0000747F">
              <w:rPr>
                <w:rFonts w:cs="Arial"/>
                <w:b/>
                <w:color w:val="FFFFFF" w:themeColor="background1"/>
                <w:szCs w:val="20"/>
              </w:rPr>
              <w:t>Medium</w:t>
            </w:r>
          </w:p>
        </w:tc>
        <w:tc>
          <w:tcPr>
            <w:tcW w:w="1581" w:type="pct"/>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62136D"/>
            <w:vAlign w:val="center"/>
          </w:tcPr>
          <w:p w14:paraId="4D9B097F" w14:textId="77777777" w:rsidR="0000747F" w:rsidRPr="0000747F" w:rsidRDefault="0000747F" w:rsidP="0000747F">
            <w:pPr>
              <w:spacing w:before="0" w:line="240" w:lineRule="auto"/>
              <w:contextualSpacing/>
              <w:jc w:val="left"/>
              <w:rPr>
                <w:szCs w:val="20"/>
              </w:rPr>
            </w:pPr>
            <w:r w:rsidRPr="0000747F">
              <w:rPr>
                <w:rFonts w:cs="Arial"/>
                <w:b/>
                <w:color w:val="FFFFFF" w:themeColor="background1"/>
                <w:szCs w:val="20"/>
              </w:rPr>
              <w:t>High</w:t>
            </w:r>
          </w:p>
        </w:tc>
      </w:tr>
      <w:bookmarkEnd w:id="82"/>
      <w:tr w:rsidR="00FC75DC" w:rsidRPr="009A7C0F" w14:paraId="3EA0F681" w14:textId="77777777" w:rsidTr="00142B05">
        <w:trPr>
          <w:trHeight w:val="510"/>
        </w:trPr>
        <w:tc>
          <w:tcPr>
            <w:tcW w:w="256" w:type="pct"/>
            <w:vMerge w:val="restart"/>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4EA2C9E7" w14:textId="63C76FB6" w:rsidR="0000747F" w:rsidRDefault="00080EE7" w:rsidP="00E40B5E">
            <w:pPr>
              <w:spacing w:before="0" w:line="240" w:lineRule="auto"/>
              <w:ind w:left="113" w:right="113"/>
              <w:contextualSpacing/>
              <w:jc w:val="center"/>
              <w:rPr>
                <w:rFonts w:cs="Arial"/>
                <w:b/>
                <w:color w:val="FFFFFF" w:themeColor="background1"/>
                <w:szCs w:val="20"/>
                <w:lang w:eastAsia="en-AU"/>
              </w:rPr>
            </w:pPr>
            <w:r>
              <w:rPr>
                <w:rFonts w:cs="Arial"/>
                <w:b/>
                <w:color w:val="FFFFFF" w:themeColor="background1"/>
                <w:szCs w:val="20"/>
                <w:lang w:eastAsia="en-AU"/>
              </w:rPr>
              <w:t xml:space="preserve">Value </w:t>
            </w:r>
            <w:r w:rsidR="00384B1A">
              <w:rPr>
                <w:rFonts w:cs="Arial"/>
                <w:b/>
                <w:color w:val="FFFFFF" w:themeColor="background1"/>
                <w:szCs w:val="20"/>
                <w:lang w:eastAsia="en-AU"/>
              </w:rPr>
              <w:t>of Evidence</w:t>
            </w:r>
          </w:p>
        </w:tc>
        <w:tc>
          <w:tcPr>
            <w:tcW w:w="1581" w:type="pct"/>
            <w:tcBorders>
              <w:top w:val="single" w:sz="4" w:space="0" w:color="FFFFFF" w:themeColor="background1"/>
              <w:left w:val="single" w:sz="4" w:space="0" w:color="FFFFFF" w:themeColor="background1"/>
              <w:bottom w:val="single" w:sz="4" w:space="0" w:color="auto"/>
              <w:right w:val="single" w:sz="4" w:space="0" w:color="auto"/>
            </w:tcBorders>
          </w:tcPr>
          <w:p w14:paraId="5628750A" w14:textId="77777777" w:rsidR="0000747F" w:rsidRPr="0000747F" w:rsidRDefault="0000747F" w:rsidP="0000747F">
            <w:pPr>
              <w:spacing w:before="0" w:line="240" w:lineRule="auto"/>
              <w:contextualSpacing/>
              <w:jc w:val="left"/>
              <w:rPr>
                <w:rFonts w:cs="Arial"/>
                <w:b/>
                <w:color w:val="FFFFFF" w:themeColor="background1"/>
                <w:szCs w:val="20"/>
              </w:rPr>
            </w:pPr>
            <w:r w:rsidRPr="00A87E39">
              <w:rPr>
                <w:rFonts w:cs="Arial"/>
                <w:color w:val="000000"/>
                <w:szCs w:val="20"/>
                <w:lang w:eastAsia="en-AU"/>
              </w:rPr>
              <w:t>Sample not appropriate/representative of target population(s), poorly sampled</w:t>
            </w:r>
          </w:p>
        </w:tc>
        <w:tc>
          <w:tcPr>
            <w:tcW w:w="1581" w:type="pct"/>
            <w:tcBorders>
              <w:top w:val="single" w:sz="4" w:space="0" w:color="FFFFFF" w:themeColor="background1"/>
              <w:left w:val="single" w:sz="4" w:space="0" w:color="auto"/>
              <w:right w:val="single" w:sz="4" w:space="0" w:color="auto"/>
            </w:tcBorders>
          </w:tcPr>
          <w:p w14:paraId="691EDD77" w14:textId="77777777" w:rsidR="0000747F" w:rsidRPr="0000747F" w:rsidRDefault="0000747F" w:rsidP="0000747F">
            <w:pPr>
              <w:spacing w:before="0" w:line="240" w:lineRule="auto"/>
              <w:contextualSpacing/>
              <w:jc w:val="left"/>
              <w:rPr>
                <w:rFonts w:cs="Arial"/>
                <w:b/>
                <w:color w:val="FFFFFF" w:themeColor="background1"/>
                <w:szCs w:val="20"/>
              </w:rPr>
            </w:pPr>
            <w:r w:rsidRPr="00A87E39">
              <w:rPr>
                <w:rFonts w:cs="Arial"/>
                <w:color w:val="000000"/>
                <w:szCs w:val="20"/>
                <w:lang w:eastAsia="en-AU"/>
              </w:rPr>
              <w:t>Sample somewhat appropriate/representative of key population(s), fairly well sampled</w:t>
            </w:r>
          </w:p>
        </w:tc>
        <w:tc>
          <w:tcPr>
            <w:tcW w:w="1581" w:type="pct"/>
            <w:tcBorders>
              <w:top w:val="single" w:sz="4" w:space="0" w:color="FFFFFF" w:themeColor="background1"/>
              <w:left w:val="single" w:sz="4" w:space="0" w:color="auto"/>
            </w:tcBorders>
          </w:tcPr>
          <w:p w14:paraId="60232074" w14:textId="77777777" w:rsidR="0000747F" w:rsidRPr="0000747F" w:rsidRDefault="0000747F" w:rsidP="0000747F">
            <w:pPr>
              <w:spacing w:before="0" w:line="240" w:lineRule="auto"/>
              <w:contextualSpacing/>
              <w:jc w:val="left"/>
              <w:rPr>
                <w:rFonts w:cs="Arial"/>
                <w:b/>
                <w:color w:val="FFFFFF" w:themeColor="background1"/>
                <w:szCs w:val="20"/>
              </w:rPr>
            </w:pPr>
            <w:r w:rsidRPr="00A87E39">
              <w:rPr>
                <w:rFonts w:cs="Arial"/>
                <w:color w:val="000000"/>
                <w:szCs w:val="20"/>
                <w:lang w:eastAsia="en-AU"/>
              </w:rPr>
              <w:t>Sample representative of key population(s), well-sampled</w:t>
            </w:r>
          </w:p>
        </w:tc>
      </w:tr>
      <w:tr w:rsidR="00FC75DC" w:rsidRPr="009A7C0F" w14:paraId="56D67541"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401D9013" w14:textId="77777777" w:rsidR="0000747F" w:rsidRPr="0000747F" w:rsidRDefault="0000747F" w:rsidP="00E40B5E">
            <w:pPr>
              <w:spacing w:before="0" w:line="240" w:lineRule="auto"/>
              <w:ind w:left="113" w:right="113"/>
              <w:contextualSpacing/>
              <w:jc w:val="center"/>
              <w:rPr>
                <w:rFonts w:cs="Arial"/>
                <w:b/>
                <w:color w:val="FFFFFF" w:themeColor="background1"/>
                <w:szCs w:val="20"/>
                <w:lang w:eastAsia="en-AU"/>
              </w:rPr>
            </w:pPr>
          </w:p>
        </w:tc>
        <w:tc>
          <w:tcPr>
            <w:tcW w:w="1581" w:type="pct"/>
            <w:tcBorders>
              <w:top w:val="dashed" w:sz="4" w:space="0" w:color="auto"/>
              <w:left w:val="single" w:sz="4" w:space="0" w:color="FFFFFF" w:themeColor="background1"/>
              <w:bottom w:val="single" w:sz="4" w:space="0" w:color="auto"/>
              <w:right w:val="single" w:sz="4" w:space="0" w:color="auto"/>
            </w:tcBorders>
          </w:tcPr>
          <w:p w14:paraId="492D013E"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 xml:space="preserve">Low relevance </w:t>
            </w:r>
            <w:r w:rsidR="0020001D">
              <w:rPr>
                <w:rFonts w:cs="Arial"/>
                <w:color w:val="000000"/>
                <w:szCs w:val="20"/>
                <w:lang w:eastAsia="en-AU"/>
              </w:rPr>
              <w:t>–</w:t>
            </w:r>
            <w:r w:rsidR="0020001D" w:rsidRPr="00A87E39">
              <w:rPr>
                <w:rFonts w:cs="Arial"/>
                <w:color w:val="000000"/>
                <w:szCs w:val="20"/>
                <w:lang w:eastAsia="en-AU"/>
              </w:rPr>
              <w:t xml:space="preserve"> </w:t>
            </w:r>
            <w:r w:rsidRPr="00A87E39">
              <w:rPr>
                <w:rFonts w:cs="Arial"/>
                <w:color w:val="000000"/>
                <w:szCs w:val="20"/>
                <w:lang w:eastAsia="en-AU"/>
              </w:rPr>
              <w:t>mention harm though do not employ/assess literature with well-validated measures</w:t>
            </w:r>
          </w:p>
        </w:tc>
        <w:tc>
          <w:tcPr>
            <w:tcW w:w="1581" w:type="pct"/>
            <w:tcBorders>
              <w:left w:val="single" w:sz="4" w:space="0" w:color="auto"/>
              <w:right w:val="single" w:sz="4" w:space="0" w:color="auto"/>
            </w:tcBorders>
          </w:tcPr>
          <w:p w14:paraId="5E958748"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 xml:space="preserve">Mild relevance </w:t>
            </w:r>
            <w:r w:rsidR="0020001D">
              <w:rPr>
                <w:rFonts w:cs="Arial"/>
                <w:color w:val="000000"/>
                <w:szCs w:val="20"/>
                <w:lang w:eastAsia="en-AU"/>
              </w:rPr>
              <w:t>–</w:t>
            </w:r>
            <w:r w:rsidR="0020001D" w:rsidRPr="00A87E39">
              <w:rPr>
                <w:rFonts w:cs="Arial"/>
                <w:color w:val="000000"/>
                <w:szCs w:val="20"/>
                <w:lang w:eastAsia="en-AU"/>
              </w:rPr>
              <w:t xml:space="preserve"> </w:t>
            </w:r>
            <w:r w:rsidRPr="00A87E39">
              <w:rPr>
                <w:rFonts w:cs="Arial"/>
                <w:color w:val="000000"/>
                <w:szCs w:val="20"/>
                <w:lang w:eastAsia="en-AU"/>
              </w:rPr>
              <w:t>measure or assess literature related to harm using well-validated measures, though do so either indirectly or secondarily</w:t>
            </w:r>
          </w:p>
        </w:tc>
        <w:tc>
          <w:tcPr>
            <w:tcW w:w="1581" w:type="pct"/>
            <w:tcBorders>
              <w:left w:val="single" w:sz="4" w:space="0" w:color="auto"/>
            </w:tcBorders>
          </w:tcPr>
          <w:p w14:paraId="2973B43E"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 xml:space="preserve">High relevance </w:t>
            </w:r>
            <w:r w:rsidR="002C423E">
              <w:rPr>
                <w:rFonts w:cs="Arial"/>
                <w:color w:val="000000"/>
                <w:szCs w:val="20"/>
                <w:lang w:eastAsia="en-AU"/>
              </w:rPr>
              <w:t>–</w:t>
            </w:r>
            <w:r w:rsidR="002C423E" w:rsidRPr="00A87E39">
              <w:rPr>
                <w:rFonts w:cs="Arial"/>
                <w:color w:val="000000"/>
                <w:szCs w:val="20"/>
                <w:lang w:eastAsia="en-AU"/>
              </w:rPr>
              <w:t xml:space="preserve"> </w:t>
            </w:r>
            <w:r w:rsidRPr="00A87E39">
              <w:rPr>
                <w:rFonts w:cs="Arial"/>
                <w:color w:val="000000"/>
                <w:szCs w:val="20"/>
                <w:lang w:eastAsia="en-AU"/>
              </w:rPr>
              <w:t>directly measure or assess literature related to harm using well-validated measures</w:t>
            </w:r>
          </w:p>
        </w:tc>
      </w:tr>
      <w:tr w:rsidR="00FC75DC" w:rsidRPr="009A7C0F" w14:paraId="5902ADBD"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7C5D2A6F" w14:textId="77777777" w:rsidR="0000747F" w:rsidRPr="0000747F" w:rsidRDefault="0000747F" w:rsidP="00E40B5E">
            <w:pPr>
              <w:spacing w:before="0" w:line="240" w:lineRule="auto"/>
              <w:ind w:left="113" w:right="113"/>
              <w:contextualSpacing/>
              <w:jc w:val="center"/>
              <w:rPr>
                <w:rFonts w:cs="Arial"/>
                <w:b/>
                <w:color w:val="FFFFFF" w:themeColor="background1"/>
                <w:szCs w:val="20"/>
                <w:lang w:eastAsia="en-AU"/>
              </w:rPr>
            </w:pPr>
          </w:p>
        </w:tc>
        <w:tc>
          <w:tcPr>
            <w:tcW w:w="1581" w:type="pct"/>
            <w:tcBorders>
              <w:top w:val="dashed" w:sz="4" w:space="0" w:color="auto"/>
              <w:left w:val="single" w:sz="4" w:space="0" w:color="FFFFFF" w:themeColor="background1"/>
              <w:bottom w:val="single" w:sz="4" w:space="0" w:color="auto"/>
              <w:right w:val="single" w:sz="4" w:space="0" w:color="auto"/>
            </w:tcBorders>
          </w:tcPr>
          <w:p w14:paraId="1D31CCC7"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Analyses are inappropriate given available data, methodology and hypotheses</w:t>
            </w:r>
          </w:p>
        </w:tc>
        <w:tc>
          <w:tcPr>
            <w:tcW w:w="1581" w:type="pct"/>
            <w:tcBorders>
              <w:left w:val="single" w:sz="4" w:space="0" w:color="auto"/>
              <w:right w:val="single" w:sz="4" w:space="0" w:color="auto"/>
            </w:tcBorders>
          </w:tcPr>
          <w:p w14:paraId="1A89A9DD"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Analyses are appropriate given available data, methodology and hypotheses</w:t>
            </w:r>
          </w:p>
        </w:tc>
        <w:tc>
          <w:tcPr>
            <w:tcW w:w="1581" w:type="pct"/>
            <w:tcBorders>
              <w:left w:val="single" w:sz="4" w:space="0" w:color="auto"/>
            </w:tcBorders>
          </w:tcPr>
          <w:p w14:paraId="2E464646"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Analyses are appropriate given available data, methodology and hypotheses, research is novel and/or particularly insightful</w:t>
            </w:r>
          </w:p>
        </w:tc>
      </w:tr>
      <w:tr w:rsidR="00FC75DC" w:rsidRPr="009A7C0F" w14:paraId="1A433144" w14:textId="77777777" w:rsidTr="00142B05">
        <w:trPr>
          <w:trHeight w:val="510"/>
        </w:trPr>
        <w:tc>
          <w:tcPr>
            <w:tcW w:w="256" w:type="pct"/>
            <w:vMerge/>
            <w:tcBorders>
              <w:top w:val="single" w:sz="8"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62136D"/>
            <w:textDirection w:val="btLr"/>
            <w:vAlign w:val="center"/>
          </w:tcPr>
          <w:p w14:paraId="56D02258" w14:textId="77777777" w:rsidR="0000747F" w:rsidRPr="0000747F" w:rsidRDefault="0000747F" w:rsidP="00E40B5E">
            <w:pPr>
              <w:spacing w:before="0" w:line="240" w:lineRule="auto"/>
              <w:ind w:left="113" w:right="113"/>
              <w:contextualSpacing/>
              <w:jc w:val="center"/>
              <w:rPr>
                <w:rFonts w:cs="Arial"/>
                <w:b/>
                <w:color w:val="FFFFFF" w:themeColor="background1"/>
                <w:szCs w:val="20"/>
                <w:lang w:eastAsia="en-AU"/>
              </w:rPr>
            </w:pPr>
          </w:p>
        </w:tc>
        <w:tc>
          <w:tcPr>
            <w:tcW w:w="1581" w:type="pct"/>
            <w:tcBorders>
              <w:top w:val="dashed" w:sz="4" w:space="0" w:color="auto"/>
              <w:left w:val="single" w:sz="4" w:space="0" w:color="FFFFFF" w:themeColor="background1"/>
              <w:bottom w:val="dashed" w:sz="4" w:space="0" w:color="auto"/>
              <w:right w:val="single" w:sz="4" w:space="0" w:color="auto"/>
            </w:tcBorders>
          </w:tcPr>
          <w:p w14:paraId="09C27F63"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Conclusions/recommendations are inappropriate given information in analyses/articles reviewed</w:t>
            </w:r>
          </w:p>
        </w:tc>
        <w:tc>
          <w:tcPr>
            <w:tcW w:w="1581" w:type="pct"/>
            <w:tcBorders>
              <w:left w:val="single" w:sz="4" w:space="0" w:color="auto"/>
              <w:right w:val="single" w:sz="4" w:space="0" w:color="auto"/>
            </w:tcBorders>
          </w:tcPr>
          <w:p w14:paraId="059D9E48"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Conclusions/recommendations are appropriate given information in analyses/articles reviewed</w:t>
            </w:r>
          </w:p>
        </w:tc>
        <w:tc>
          <w:tcPr>
            <w:tcW w:w="1581" w:type="pct"/>
            <w:tcBorders>
              <w:left w:val="single" w:sz="4" w:space="0" w:color="auto"/>
            </w:tcBorders>
          </w:tcPr>
          <w:p w14:paraId="0ACDF52B" w14:textId="77777777" w:rsidR="0000747F" w:rsidRPr="00A87E39" w:rsidRDefault="0000747F" w:rsidP="0000747F">
            <w:pPr>
              <w:spacing w:before="0" w:line="240" w:lineRule="auto"/>
              <w:contextualSpacing/>
              <w:jc w:val="left"/>
              <w:rPr>
                <w:rFonts w:cs="Arial"/>
                <w:color w:val="000000"/>
                <w:szCs w:val="20"/>
                <w:lang w:eastAsia="en-AU"/>
              </w:rPr>
            </w:pPr>
            <w:r w:rsidRPr="00A87E39">
              <w:rPr>
                <w:rFonts w:cs="Arial"/>
                <w:color w:val="000000"/>
                <w:szCs w:val="20"/>
                <w:lang w:eastAsia="en-AU"/>
              </w:rPr>
              <w:t>Conclusions/recommendations are insightful given information in analyses/articles reviewed</w:t>
            </w:r>
          </w:p>
        </w:tc>
      </w:tr>
      <w:tr w:rsidR="00142B05" w:rsidRPr="009A7C0F" w14:paraId="7494C947" w14:textId="77777777" w:rsidTr="00CE03B9">
        <w:trPr>
          <w:trHeight w:val="510"/>
        </w:trPr>
        <w:tc>
          <w:tcPr>
            <w:tcW w:w="256" w:type="pct"/>
            <w:tcBorders>
              <w:top w:val="single" w:sz="8" w:space="0" w:color="FFFFFF" w:themeColor="background1"/>
              <w:left w:val="nil"/>
              <w:bottom w:val="single" w:sz="8" w:space="0" w:color="FFFFFF" w:themeColor="background1"/>
              <w:right w:val="single" w:sz="8" w:space="0" w:color="FFFFFF" w:themeColor="background1"/>
            </w:tcBorders>
            <w:shd w:val="clear" w:color="auto" w:fill="auto"/>
            <w:vAlign w:val="center"/>
          </w:tcPr>
          <w:p w14:paraId="43E28C0D" w14:textId="77777777" w:rsidR="00142B05" w:rsidRPr="00384B1A" w:rsidRDefault="00142B05" w:rsidP="00142B05">
            <w:pPr>
              <w:spacing w:before="0" w:line="240" w:lineRule="auto"/>
              <w:ind w:left="113" w:right="113"/>
              <w:contextualSpacing/>
              <w:jc w:val="center"/>
              <w:rPr>
                <w:rFonts w:cs="Arial"/>
                <w:b/>
                <w:color w:val="FFFFFF" w:themeColor="background1"/>
                <w:szCs w:val="20"/>
              </w:rPr>
            </w:pPr>
          </w:p>
        </w:tc>
        <w:tc>
          <w:tcPr>
            <w:tcW w:w="158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62136D"/>
            <w:vAlign w:val="center"/>
          </w:tcPr>
          <w:p w14:paraId="65239934" w14:textId="6854B645" w:rsidR="00142B05" w:rsidRPr="00384B1A" w:rsidRDefault="00142B05" w:rsidP="00142B05">
            <w:pPr>
              <w:spacing w:before="0" w:line="240" w:lineRule="auto"/>
              <w:contextualSpacing/>
              <w:jc w:val="left"/>
              <w:rPr>
                <w:rFonts w:cs="Arial"/>
                <w:szCs w:val="20"/>
              </w:rPr>
            </w:pPr>
            <w:r w:rsidRPr="0000747F">
              <w:rPr>
                <w:rFonts w:cs="Arial"/>
                <w:b/>
                <w:color w:val="FFFFFF" w:themeColor="background1"/>
                <w:szCs w:val="20"/>
              </w:rPr>
              <w:t>Low</w:t>
            </w:r>
          </w:p>
        </w:tc>
        <w:tc>
          <w:tcPr>
            <w:tcW w:w="1581" w:type="pct"/>
            <w:tcBorders>
              <w:top w:val="single" w:sz="4"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62136D"/>
            <w:vAlign w:val="center"/>
          </w:tcPr>
          <w:p w14:paraId="21B93F80" w14:textId="14E168E9" w:rsidR="00142B05" w:rsidRPr="0000747F" w:rsidRDefault="00142B05" w:rsidP="00142B05">
            <w:pPr>
              <w:spacing w:before="0" w:line="240" w:lineRule="auto"/>
              <w:contextualSpacing/>
              <w:jc w:val="left"/>
              <w:rPr>
                <w:szCs w:val="20"/>
              </w:rPr>
            </w:pPr>
            <w:r w:rsidRPr="0000747F">
              <w:rPr>
                <w:rFonts w:cs="Arial"/>
                <w:b/>
                <w:color w:val="FFFFFF" w:themeColor="background1"/>
                <w:szCs w:val="20"/>
              </w:rPr>
              <w:t>Medium</w:t>
            </w:r>
          </w:p>
        </w:tc>
        <w:tc>
          <w:tcPr>
            <w:tcW w:w="1581" w:type="pct"/>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62136D"/>
            <w:vAlign w:val="center"/>
          </w:tcPr>
          <w:p w14:paraId="5AC5E2A5" w14:textId="26825F14" w:rsidR="00142B05" w:rsidRPr="0000747F" w:rsidRDefault="00142B05" w:rsidP="00142B05">
            <w:pPr>
              <w:spacing w:before="0" w:line="240" w:lineRule="auto"/>
              <w:contextualSpacing/>
              <w:jc w:val="left"/>
              <w:rPr>
                <w:szCs w:val="20"/>
              </w:rPr>
            </w:pPr>
            <w:r w:rsidRPr="0000747F">
              <w:rPr>
                <w:rFonts w:cs="Arial"/>
                <w:b/>
                <w:color w:val="FFFFFF" w:themeColor="background1"/>
                <w:szCs w:val="20"/>
              </w:rPr>
              <w:t>High</w:t>
            </w:r>
          </w:p>
        </w:tc>
      </w:tr>
      <w:tr w:rsidR="00142B05" w:rsidRPr="009A7C0F" w14:paraId="53A09A63" w14:textId="77777777" w:rsidTr="00142B05">
        <w:trPr>
          <w:trHeight w:val="510"/>
        </w:trPr>
        <w:tc>
          <w:tcPr>
            <w:tcW w:w="256" w:type="pct"/>
            <w:tcBorders>
              <w:top w:val="single" w:sz="8" w:space="0" w:color="FFFFFF" w:themeColor="background1"/>
              <w:left w:val="single" w:sz="4" w:space="0" w:color="FFFFFF" w:themeColor="background1"/>
              <w:bottom w:val="single" w:sz="4" w:space="0" w:color="auto"/>
              <w:right w:val="single" w:sz="4" w:space="0" w:color="FFFFFF" w:themeColor="background1"/>
            </w:tcBorders>
            <w:shd w:val="clear" w:color="auto" w:fill="62136D"/>
            <w:textDirection w:val="btLr"/>
            <w:vAlign w:val="center"/>
          </w:tcPr>
          <w:p w14:paraId="5A8C17EA" w14:textId="31BB9DE1" w:rsidR="00142B05" w:rsidRPr="0000747F" w:rsidRDefault="00142B05" w:rsidP="00142B05">
            <w:pPr>
              <w:spacing w:before="0" w:line="240" w:lineRule="auto"/>
              <w:ind w:left="113" w:right="113"/>
              <w:contextualSpacing/>
              <w:jc w:val="center"/>
              <w:rPr>
                <w:rFonts w:cs="Arial"/>
                <w:b/>
                <w:color w:val="FFFFFF" w:themeColor="background1"/>
                <w:szCs w:val="20"/>
                <w:lang w:eastAsia="en-AU"/>
              </w:rPr>
            </w:pPr>
            <w:r w:rsidRPr="00384B1A">
              <w:rPr>
                <w:rFonts w:cs="Arial"/>
                <w:b/>
                <w:color w:val="FFFFFF" w:themeColor="background1"/>
                <w:szCs w:val="20"/>
              </w:rPr>
              <w:t>Generalisability</w:t>
            </w:r>
          </w:p>
        </w:tc>
        <w:tc>
          <w:tcPr>
            <w:tcW w:w="1581" w:type="pct"/>
            <w:tcBorders>
              <w:top w:val="dashed" w:sz="4" w:space="0" w:color="auto"/>
              <w:left w:val="single" w:sz="4" w:space="0" w:color="FFFFFF" w:themeColor="background1"/>
              <w:bottom w:val="single" w:sz="4" w:space="0" w:color="auto"/>
              <w:right w:val="single" w:sz="4" w:space="0" w:color="auto"/>
            </w:tcBorders>
          </w:tcPr>
          <w:p w14:paraId="4B7E4F4A" w14:textId="05A48CB8" w:rsidR="00142B05" w:rsidRPr="00A87E39" w:rsidRDefault="00142B05" w:rsidP="00142B05">
            <w:pPr>
              <w:spacing w:before="0" w:line="240" w:lineRule="auto"/>
              <w:contextualSpacing/>
              <w:jc w:val="left"/>
              <w:rPr>
                <w:rFonts w:cs="Arial"/>
                <w:color w:val="000000"/>
                <w:szCs w:val="20"/>
                <w:lang w:eastAsia="en-AU"/>
              </w:rPr>
            </w:pPr>
            <w:r w:rsidRPr="00384B1A">
              <w:rPr>
                <w:rFonts w:cs="Arial"/>
                <w:szCs w:val="20"/>
              </w:rPr>
              <w:t>Only includes studies from international jurisdictions with different</w:t>
            </w:r>
            <w:r w:rsidRPr="00384B1A">
              <w:rPr>
                <w:szCs w:val="20"/>
              </w:rPr>
              <w:t xml:space="preserve"> gaming/gambling characteristics and cultural/political/economic factors to Australia</w:t>
            </w:r>
          </w:p>
        </w:tc>
        <w:tc>
          <w:tcPr>
            <w:tcW w:w="1581" w:type="pct"/>
            <w:tcBorders>
              <w:left w:val="single" w:sz="4" w:space="0" w:color="auto"/>
              <w:right w:val="single" w:sz="4" w:space="0" w:color="auto"/>
            </w:tcBorders>
          </w:tcPr>
          <w:p w14:paraId="47B49735" w14:textId="14B7295E" w:rsidR="00142B05" w:rsidRPr="00A87E39" w:rsidRDefault="00142B05" w:rsidP="00142B05">
            <w:pPr>
              <w:spacing w:before="0" w:line="240" w:lineRule="auto"/>
              <w:contextualSpacing/>
              <w:jc w:val="left"/>
              <w:rPr>
                <w:rFonts w:cs="Arial"/>
                <w:color w:val="000000"/>
                <w:szCs w:val="20"/>
                <w:lang w:eastAsia="en-AU"/>
              </w:rPr>
            </w:pPr>
            <w:r w:rsidRPr="0000747F">
              <w:rPr>
                <w:szCs w:val="20"/>
              </w:rPr>
              <w:t xml:space="preserve">Includes studies from jurisdictions (predominantly Eastern) that have similar socio-economic conditions to the Australian context, but </w:t>
            </w:r>
            <w:r w:rsidRPr="0000747F">
              <w:rPr>
                <w:rFonts w:cs="Arial"/>
                <w:szCs w:val="20"/>
              </w:rPr>
              <w:t>different</w:t>
            </w:r>
            <w:r w:rsidRPr="0000747F">
              <w:rPr>
                <w:szCs w:val="20"/>
              </w:rPr>
              <w:t xml:space="preserve"> gaming/gambling characteristics </w:t>
            </w:r>
          </w:p>
        </w:tc>
        <w:tc>
          <w:tcPr>
            <w:tcW w:w="1581" w:type="pct"/>
            <w:tcBorders>
              <w:left w:val="single" w:sz="4" w:space="0" w:color="auto"/>
            </w:tcBorders>
          </w:tcPr>
          <w:p w14:paraId="51BAA94E" w14:textId="77777777" w:rsidR="00142B05" w:rsidRPr="0000747F" w:rsidRDefault="00142B05" w:rsidP="00142B05">
            <w:pPr>
              <w:spacing w:before="0" w:line="240" w:lineRule="auto"/>
              <w:contextualSpacing/>
              <w:jc w:val="left"/>
              <w:rPr>
                <w:szCs w:val="20"/>
              </w:rPr>
            </w:pPr>
            <w:r w:rsidRPr="0000747F">
              <w:rPr>
                <w:szCs w:val="20"/>
              </w:rPr>
              <w:t>Studies from jurisdictions that have similar gaming/gambling characteristics and cultural/political/economic factors to Australia (primarily Western countries)</w:t>
            </w:r>
          </w:p>
          <w:p w14:paraId="7619B779" w14:textId="00FDEAFC" w:rsidR="00142B05" w:rsidRPr="00A87E39" w:rsidRDefault="00142B05" w:rsidP="00142B05">
            <w:pPr>
              <w:spacing w:before="0" w:line="240" w:lineRule="auto"/>
              <w:contextualSpacing/>
              <w:jc w:val="left"/>
              <w:rPr>
                <w:rFonts w:cs="Arial"/>
                <w:color w:val="000000"/>
                <w:szCs w:val="20"/>
                <w:lang w:eastAsia="en-AU"/>
              </w:rPr>
            </w:pPr>
            <w:r w:rsidRPr="0000747F">
              <w:rPr>
                <w:rFonts w:cs="Arial"/>
                <w:szCs w:val="20"/>
              </w:rPr>
              <w:t>Studies that include Australian or predominantly Australian samples</w:t>
            </w:r>
          </w:p>
        </w:tc>
      </w:tr>
    </w:tbl>
    <w:p w14:paraId="1EC5AB7D" w14:textId="45B8AA1C" w:rsidR="002A4EB1" w:rsidRDefault="002A4EB1" w:rsidP="000B2101">
      <w:pPr>
        <w:pStyle w:val="AppendixHeading2"/>
      </w:pPr>
      <w:bookmarkStart w:id="83" w:name="_Toc97649976"/>
      <w:bookmarkStart w:id="84" w:name="_Toc106359536"/>
      <w:r>
        <w:lastRenderedPageBreak/>
        <w:t xml:space="preserve">Appendix </w:t>
      </w:r>
      <w:r w:rsidR="00C43463">
        <w:t>E</w:t>
      </w:r>
      <w:r>
        <w:t>. Harm measures</w:t>
      </w:r>
      <w:bookmarkEnd w:id="83"/>
      <w:bookmarkEnd w:id="84"/>
    </w:p>
    <w:p w14:paraId="20508D37" w14:textId="77777777" w:rsidR="00BF7BC5" w:rsidRPr="000427B7" w:rsidRDefault="00BF7BC5" w:rsidP="000B2101">
      <w:pPr>
        <w:pStyle w:val="AppendixHeading3"/>
      </w:pPr>
      <w:r w:rsidRPr="00776402">
        <w:t xml:space="preserve">Problem </w:t>
      </w:r>
      <w:r w:rsidR="002C423E">
        <w:t>g</w:t>
      </w:r>
      <w:r w:rsidR="002C423E" w:rsidRPr="00776402">
        <w:t>ambling</w:t>
      </w:r>
    </w:p>
    <w:p w14:paraId="4D46304D" w14:textId="77777777" w:rsidR="00BF7BC5" w:rsidRDefault="00BF7BC5" w:rsidP="000B2101">
      <w:pPr>
        <w:pStyle w:val="BodyText"/>
      </w:pPr>
      <w:r>
        <w:t>‘Problem gambling’ or behavioural</w:t>
      </w:r>
      <w:r w:rsidRPr="00D310D7">
        <w:t xml:space="preserve"> addiction to gambling </w:t>
      </w:r>
      <w:r>
        <w:t>(</w:t>
      </w:r>
      <w:r w:rsidRPr="00654051">
        <w:t>based on DSM-V criteria for gambling disorder</w:t>
      </w:r>
      <w:r>
        <w:t xml:space="preserve">; </w:t>
      </w:r>
      <w:r w:rsidRPr="00654051">
        <w:t>DSM-V, 201</w:t>
      </w:r>
      <w:r>
        <w:t xml:space="preserve">3) </w:t>
      </w:r>
      <w:r w:rsidRPr="00D310D7">
        <w:t>is largely considered an individual issue requiring clinical treatment or individualised interventions</w:t>
      </w:r>
      <w:r>
        <w:t>.</w:t>
      </w:r>
      <w:r w:rsidRPr="00D310D7">
        <w:t xml:space="preserve"> </w:t>
      </w:r>
    </w:p>
    <w:p w14:paraId="18B7D217" w14:textId="77777777" w:rsidR="00BF7BC5" w:rsidRPr="007A1093" w:rsidRDefault="00BF7BC5" w:rsidP="007A1093">
      <w:pPr>
        <w:pStyle w:val="BodyText"/>
        <w:rPr>
          <w:rStyle w:val="charBold"/>
        </w:rPr>
      </w:pPr>
      <w:r w:rsidRPr="007A1093">
        <w:rPr>
          <w:rStyle w:val="charBold"/>
        </w:rPr>
        <w:t>Problem Gambling Severity Index (PGSI)</w:t>
      </w:r>
    </w:p>
    <w:p w14:paraId="5F038735" w14:textId="77777777" w:rsidR="00BF7BC5" w:rsidRDefault="00BF7BC5" w:rsidP="007A1093">
      <w:pPr>
        <w:pStyle w:val="BodyText"/>
      </w:pPr>
      <w:r>
        <w:t xml:space="preserve">A total of 28 </w:t>
      </w:r>
      <w:r w:rsidRPr="00B822E3">
        <w:t xml:space="preserve">included in this review </w:t>
      </w:r>
      <w:r w:rsidRPr="00F03453">
        <w:t>assess</w:t>
      </w:r>
      <w:r>
        <w:t>ed</w:t>
      </w:r>
      <w:r w:rsidRPr="00F03453">
        <w:t xml:space="preserve"> </w:t>
      </w:r>
      <w:r>
        <w:t xml:space="preserve">the </w:t>
      </w:r>
      <w:r w:rsidRPr="00A91900">
        <w:t xml:space="preserve">risk of problem gambling (in the past 12 months) via the Problem Gambling Severity Index (PGSI; Ferris &amp; Wynne, 2001). </w:t>
      </w:r>
    </w:p>
    <w:p w14:paraId="2566E7B4" w14:textId="77777777" w:rsidR="00BF7BC5" w:rsidRDefault="00BF7BC5" w:rsidP="007A1093">
      <w:pPr>
        <w:pStyle w:val="BodyText"/>
      </w:pPr>
      <w:r>
        <w:t>The PGSI is a</w:t>
      </w:r>
      <w:r w:rsidRPr="00A87112">
        <w:t xml:space="preserve"> validated </w:t>
      </w:r>
      <w:r w:rsidR="00893FE5">
        <w:t>nine</w:t>
      </w:r>
      <w:r w:rsidRPr="00A87112">
        <w:t>-item measure of problem gambling by Ferris &amp; Wynne (2001). Total scores range from 0 to 27, with higher scores indicating higher problem gambling severity. The cut-off for categories for at-risk problem gambling: non-problem gambler (0), low-risk gambler (1</w:t>
      </w:r>
      <w:r w:rsidR="00893FE5">
        <w:t>–</w:t>
      </w:r>
      <w:r w:rsidRPr="00A87112">
        <w:t>2), moderate-risk gambler (3</w:t>
      </w:r>
      <w:r w:rsidR="00893FE5">
        <w:t>–</w:t>
      </w:r>
      <w:r w:rsidRPr="00A87112">
        <w:t>7), problem gambler (8+). Modified scoring of the PGSI categories by Currie, Hodgins, &amp; Casey (2013) is as follows: non-problem gambler (0), low-risk gambler (1</w:t>
      </w:r>
      <w:r w:rsidR="00893FE5">
        <w:t>–</w:t>
      </w:r>
      <w:r w:rsidRPr="00A87112">
        <w:t>4), moderate-risk gambler (5</w:t>
      </w:r>
      <w:r w:rsidR="00893FE5">
        <w:t>–</w:t>
      </w:r>
      <w:r w:rsidRPr="00A87112">
        <w:t>7), problem gambler (8+).</w:t>
      </w:r>
    </w:p>
    <w:p w14:paraId="77D3A9FF" w14:textId="77777777" w:rsidR="00BF7BC5" w:rsidRPr="007A1093" w:rsidRDefault="00BF7BC5" w:rsidP="007A1093">
      <w:pPr>
        <w:pStyle w:val="BodyText"/>
        <w:rPr>
          <w:rStyle w:val="charBold"/>
        </w:rPr>
      </w:pPr>
      <w:r w:rsidRPr="007A1093">
        <w:rPr>
          <w:rStyle w:val="charBold"/>
        </w:rPr>
        <w:t>Other measures of problem gambling</w:t>
      </w:r>
    </w:p>
    <w:p w14:paraId="0E2D9207" w14:textId="26CD65FF" w:rsidR="00BF7BC5" w:rsidRDefault="00BF7BC5" w:rsidP="007A1093">
      <w:pPr>
        <w:pStyle w:val="BodyText"/>
      </w:pPr>
      <w:r w:rsidRPr="00AF105E">
        <w:t xml:space="preserve">Other measures of </w:t>
      </w:r>
      <w:r>
        <w:t>‘</w:t>
      </w:r>
      <w:r w:rsidRPr="00AF105E">
        <w:t>problem gambling</w:t>
      </w:r>
      <w:r>
        <w:t>’</w:t>
      </w:r>
      <w:r w:rsidRPr="00AF105E">
        <w:t xml:space="preserve"> </w:t>
      </w:r>
      <w:r>
        <w:t>applied in the reviewed papers included</w:t>
      </w:r>
      <w:r w:rsidRPr="00AF105E">
        <w:t>: DSM-IV-MR-J criteria for gambling disorder for adolescents (</w:t>
      </w:r>
      <w:r w:rsidR="00893FE5">
        <w:t>four</w:t>
      </w:r>
      <w:r w:rsidR="00893FE5" w:rsidRPr="00AF105E">
        <w:t xml:space="preserve"> </w:t>
      </w:r>
      <w:r w:rsidRPr="00AF105E">
        <w:t xml:space="preserve">studies), South Oaks Gambling Screen revised for Adolescents (SOGS-RA; </w:t>
      </w:r>
      <w:r w:rsidR="00893FE5">
        <w:t>four</w:t>
      </w:r>
      <w:r w:rsidR="00893FE5" w:rsidRPr="00AF105E">
        <w:t xml:space="preserve"> </w:t>
      </w:r>
      <w:r w:rsidRPr="00AF105E">
        <w:t xml:space="preserve">studies), Canadian Adolescent Gambling Inventory (CAGI; </w:t>
      </w:r>
      <w:r w:rsidR="00893FE5">
        <w:t>three</w:t>
      </w:r>
      <w:r w:rsidR="00893FE5" w:rsidRPr="00AF105E">
        <w:t xml:space="preserve"> </w:t>
      </w:r>
      <w:r w:rsidRPr="00AF105E">
        <w:t xml:space="preserve">studies), Online Gambling Disorder (OGD-Q; </w:t>
      </w:r>
      <w:r w:rsidR="00893FE5">
        <w:t>one</w:t>
      </w:r>
      <w:r w:rsidR="00893FE5" w:rsidRPr="00AF105E">
        <w:t xml:space="preserve"> </w:t>
      </w:r>
      <w:r w:rsidRPr="00AF105E">
        <w:t>study), gambling problems (NODS-</w:t>
      </w:r>
      <w:proofErr w:type="spellStart"/>
      <w:r w:rsidRPr="00AF105E">
        <w:t>CLiP</w:t>
      </w:r>
      <w:proofErr w:type="spellEnd"/>
      <w:r w:rsidRPr="00AF105E">
        <w:t xml:space="preserve">; </w:t>
      </w:r>
      <w:r w:rsidR="00893FE5">
        <w:t>one</w:t>
      </w:r>
      <w:r w:rsidR="00893FE5" w:rsidRPr="00AF105E">
        <w:t xml:space="preserve"> </w:t>
      </w:r>
      <w:r w:rsidRPr="00AF105E">
        <w:t xml:space="preserve">study), the German validated questionnaire of gambling-related problems in adolescence (FPG-J; </w:t>
      </w:r>
      <w:r w:rsidR="00893FE5">
        <w:t>one</w:t>
      </w:r>
      <w:r w:rsidR="00893FE5" w:rsidRPr="00AF105E">
        <w:t xml:space="preserve"> </w:t>
      </w:r>
      <w:r w:rsidRPr="00AF105E">
        <w:t xml:space="preserve">study), </w:t>
      </w:r>
      <w:r>
        <w:t xml:space="preserve">and </w:t>
      </w:r>
      <w:r w:rsidRPr="00AF105E">
        <w:t>self-reported changes in problem gambling (</w:t>
      </w:r>
      <w:r w:rsidR="00893FE5">
        <w:t>one</w:t>
      </w:r>
      <w:r w:rsidR="00893FE5" w:rsidRPr="00AF105E">
        <w:t xml:space="preserve"> </w:t>
      </w:r>
      <w:r w:rsidRPr="00AF105E">
        <w:t>study)</w:t>
      </w:r>
      <w:r>
        <w:t>. Eleven</w:t>
      </w:r>
      <w:r w:rsidRPr="00AF105E">
        <w:t xml:space="preserve"> literature reviews and two meta-analyses </w:t>
      </w:r>
      <w:r>
        <w:t xml:space="preserve">included </w:t>
      </w:r>
      <w:r w:rsidRPr="00AF105E">
        <w:t>various measures.</w:t>
      </w:r>
    </w:p>
    <w:p w14:paraId="0547C9B9" w14:textId="77777777" w:rsidR="00BF7BC5" w:rsidRPr="000427B7" w:rsidRDefault="00BF7BC5" w:rsidP="007A1093">
      <w:pPr>
        <w:pStyle w:val="AppendixHeading3"/>
      </w:pPr>
      <w:r w:rsidRPr="00776402">
        <w:t>Gambling-related harms</w:t>
      </w:r>
    </w:p>
    <w:p w14:paraId="2E127402" w14:textId="77777777" w:rsidR="00BF7BC5" w:rsidRPr="00A91900" w:rsidRDefault="00BF7BC5" w:rsidP="007A1093">
      <w:pPr>
        <w:pStyle w:val="BodyText"/>
      </w:pPr>
      <w:r w:rsidRPr="005C5144">
        <w:t>Gambling-related harm differs</w:t>
      </w:r>
      <w:r>
        <w:t xml:space="preserve"> to ‘problem gambling’</w:t>
      </w:r>
      <w:r w:rsidRPr="005C5144">
        <w:t xml:space="preserve"> in that </w:t>
      </w:r>
      <w:r w:rsidR="00CF6570">
        <w:t xml:space="preserve">it </w:t>
      </w:r>
      <w:r w:rsidRPr="005C5144">
        <w:t>can be experienced at an individual or population-level</w:t>
      </w:r>
      <w:r>
        <w:t xml:space="preserve">. </w:t>
      </w:r>
      <w:r w:rsidRPr="00BA7687">
        <w:t xml:space="preserve">Browne and colleagues (2016) developed a conceptual framework for gambling-related harm that comprises </w:t>
      </w:r>
      <w:r>
        <w:t>seven</w:t>
      </w:r>
      <w:r w:rsidRPr="00BA7687">
        <w:t xml:space="preserve"> main domains: financial, relationships, emotional/psychological, decrements to health, reduced performance at work/study, cultural </w:t>
      </w:r>
      <w:proofErr w:type="gramStart"/>
      <w:r w:rsidRPr="00BA7687">
        <w:t>harm</w:t>
      </w:r>
      <w:proofErr w:type="gramEnd"/>
      <w:r w:rsidRPr="00BA7687">
        <w:t xml:space="preserve"> and criminal activities. </w:t>
      </w:r>
    </w:p>
    <w:p w14:paraId="14F9343D" w14:textId="77777777" w:rsidR="00BF7BC5" w:rsidRPr="007A1093" w:rsidRDefault="00BF7BC5" w:rsidP="007A1093">
      <w:pPr>
        <w:pStyle w:val="BodyText"/>
        <w:rPr>
          <w:rStyle w:val="charBold"/>
        </w:rPr>
      </w:pPr>
      <w:r w:rsidRPr="007A1093">
        <w:rPr>
          <w:rStyle w:val="charBold"/>
        </w:rPr>
        <w:t>Short Gambling Harm Screen (SGHS)</w:t>
      </w:r>
    </w:p>
    <w:p w14:paraId="3755D4E3" w14:textId="77777777" w:rsidR="00BF7BC5" w:rsidRPr="000C4CDB" w:rsidRDefault="00BF7BC5" w:rsidP="007A1093">
      <w:pPr>
        <w:pStyle w:val="BodyText"/>
      </w:pPr>
      <w:r>
        <w:t xml:space="preserve">Four </w:t>
      </w:r>
      <w:r w:rsidRPr="00192444">
        <w:t xml:space="preserve">studies </w:t>
      </w:r>
      <w:r>
        <w:t>that</w:t>
      </w:r>
      <w:r w:rsidRPr="00192444">
        <w:t xml:space="preserve"> evaluated gambling-related harm used the Short Gambling Harm Screen (SGHS)</w:t>
      </w:r>
      <w:r>
        <w:t xml:space="preserve">. The SGHS is </w:t>
      </w:r>
      <w:r w:rsidRPr="00192444">
        <w:t xml:space="preserve">a validated shortened </w:t>
      </w:r>
      <w:r>
        <w:t xml:space="preserve">(10-item) </w:t>
      </w:r>
      <w:r w:rsidRPr="00192444">
        <w:t>measure derived from the work of Browne</w:t>
      </w:r>
      <w:r>
        <w:t xml:space="preserve"> and colleagues (</w:t>
      </w:r>
      <w:r w:rsidRPr="000C4CDB">
        <w:t xml:space="preserve">Browne, Goodwin, &amp; </w:t>
      </w:r>
      <w:proofErr w:type="spellStart"/>
      <w:r w:rsidRPr="000C4CDB">
        <w:t>Rockloff</w:t>
      </w:r>
      <w:proofErr w:type="spellEnd"/>
      <w:r>
        <w:t xml:space="preserve">, </w:t>
      </w:r>
      <w:r w:rsidRPr="000C4CDB">
        <w:t>2017). Scores range from 0 to 10 with a higher score indicating experiencing</w:t>
      </w:r>
      <w:r>
        <w:t xml:space="preserve"> more</w:t>
      </w:r>
      <w:r w:rsidRPr="000C4CDB">
        <w:t xml:space="preserve"> gambling-related harms</w:t>
      </w:r>
      <w:r>
        <w:t>.</w:t>
      </w:r>
    </w:p>
    <w:p w14:paraId="72D4E24D" w14:textId="77777777" w:rsidR="00BF7BC5" w:rsidRPr="000427B7" w:rsidRDefault="00BF7BC5" w:rsidP="007A1093">
      <w:pPr>
        <w:pStyle w:val="AppendixHeading3"/>
      </w:pPr>
      <w:r w:rsidRPr="00776402">
        <w:t xml:space="preserve">Internet </w:t>
      </w:r>
      <w:r w:rsidR="002C423E">
        <w:t>g</w:t>
      </w:r>
      <w:r w:rsidR="002C423E" w:rsidRPr="00776402">
        <w:t xml:space="preserve">aming </w:t>
      </w:r>
      <w:r w:rsidR="002C423E">
        <w:t>d</w:t>
      </w:r>
      <w:r w:rsidR="002C423E" w:rsidRPr="00776402">
        <w:t xml:space="preserve">isorder </w:t>
      </w:r>
    </w:p>
    <w:p w14:paraId="6BFA9C01" w14:textId="13AE70BA" w:rsidR="00BF7BC5" w:rsidRPr="00645E1E" w:rsidRDefault="00BF7BC5" w:rsidP="007A1093">
      <w:pPr>
        <w:pStyle w:val="BodyText"/>
      </w:pPr>
      <w:r>
        <w:t>Internet gaming disorder is a</w:t>
      </w:r>
      <w:r w:rsidRPr="00645E1E">
        <w:t xml:space="preserve"> measure of disordered gaming based on the </w:t>
      </w:r>
      <w:r w:rsidRPr="00BA7687">
        <w:rPr>
          <w:rFonts w:cs="Arial"/>
          <w:color w:val="auto"/>
          <w:szCs w:val="20"/>
        </w:rPr>
        <w:t>Diagnostic and Statistical Manual for Mental Disorders (DSM-V</w:t>
      </w:r>
      <w:r>
        <w:rPr>
          <w:rFonts w:cs="Arial"/>
          <w:color w:val="auto"/>
          <w:szCs w:val="20"/>
        </w:rPr>
        <w:t xml:space="preserve">) </w:t>
      </w:r>
      <w:r w:rsidRPr="00645E1E">
        <w:t xml:space="preserve">(Petry et al., 2014). Various measures of IGD, also referred to as gaming disorder, are used in research. Of the </w:t>
      </w:r>
      <w:r>
        <w:t>19</w:t>
      </w:r>
      <w:r w:rsidRPr="00645E1E">
        <w:t xml:space="preserve"> studies measuring gaming disorder in the current review</w:t>
      </w:r>
      <w:r>
        <w:t>,</w:t>
      </w:r>
      <w:r w:rsidRPr="00645E1E">
        <w:t xml:space="preserve"> the following measures were used: Internet Gaming Disorder (IGD, Petry et al., 2014; </w:t>
      </w:r>
      <w:r w:rsidR="00932607">
        <w:t>four</w:t>
      </w:r>
      <w:r w:rsidR="00932607" w:rsidRPr="00645E1E">
        <w:t xml:space="preserve"> </w:t>
      </w:r>
      <w:r w:rsidRPr="00645E1E">
        <w:t xml:space="preserve">studies), Internet Gaming Disorder Scale (IGDS, </w:t>
      </w:r>
      <w:proofErr w:type="spellStart"/>
      <w:r w:rsidRPr="00645E1E">
        <w:t>Lemm</w:t>
      </w:r>
      <w:r>
        <w:t>e</w:t>
      </w:r>
      <w:r w:rsidRPr="00645E1E">
        <w:t>n</w:t>
      </w:r>
      <w:r>
        <w:t>s</w:t>
      </w:r>
      <w:proofErr w:type="spellEnd"/>
      <w:r w:rsidRPr="00645E1E">
        <w:t xml:space="preserve"> et al., 2015; </w:t>
      </w:r>
      <w:r w:rsidR="00932607">
        <w:t>two</w:t>
      </w:r>
      <w:r w:rsidR="00932607" w:rsidRPr="00645E1E">
        <w:t xml:space="preserve"> </w:t>
      </w:r>
      <w:r w:rsidRPr="00645E1E">
        <w:t>studies), DSM-V IGD criteria (</w:t>
      </w:r>
      <w:r w:rsidR="00E1107B">
        <w:t>two</w:t>
      </w:r>
      <w:r w:rsidR="00E1107B" w:rsidRPr="00645E1E">
        <w:t xml:space="preserve"> </w:t>
      </w:r>
      <w:r w:rsidRPr="00645E1E">
        <w:t xml:space="preserve">studies), C-VAT 2.0 IGD (van </w:t>
      </w:r>
      <w:proofErr w:type="spellStart"/>
      <w:r w:rsidRPr="00645E1E">
        <w:t>Rooij</w:t>
      </w:r>
      <w:proofErr w:type="spellEnd"/>
      <w:r w:rsidRPr="00645E1E">
        <w:t xml:space="preserve"> et al., 2017; </w:t>
      </w:r>
      <w:r w:rsidR="00E1107B">
        <w:t>one</w:t>
      </w:r>
      <w:r w:rsidR="00E1107B" w:rsidRPr="00645E1E">
        <w:t xml:space="preserve"> </w:t>
      </w:r>
      <w:r w:rsidRPr="00645E1E">
        <w:t xml:space="preserve">study), Internet Gaming Disorder Scale – Short Form (IGDS-SF9, Pontes &amp; Griffiths, 2015; </w:t>
      </w:r>
      <w:r w:rsidR="004D12BD">
        <w:lastRenderedPageBreak/>
        <w:t>one</w:t>
      </w:r>
      <w:r w:rsidR="004D12BD" w:rsidRPr="00645E1E">
        <w:t xml:space="preserve"> </w:t>
      </w:r>
      <w:r w:rsidRPr="00645E1E">
        <w:t>study), adapted IGD Checklist (Przybylski et al., 201</w:t>
      </w:r>
      <w:r>
        <w:t>7</w:t>
      </w:r>
      <w:r w:rsidRPr="00645E1E">
        <w:t xml:space="preserve">; </w:t>
      </w:r>
      <w:r w:rsidR="004D12BD">
        <w:t>one</w:t>
      </w:r>
      <w:r w:rsidR="004D12BD" w:rsidRPr="00645E1E">
        <w:t xml:space="preserve"> </w:t>
      </w:r>
      <w:r w:rsidRPr="00645E1E">
        <w:t xml:space="preserve">study), </w:t>
      </w:r>
      <w:r w:rsidRPr="00BA7687">
        <w:rPr>
          <w:rFonts w:cs="Arial"/>
          <w:color w:val="auto"/>
          <w:szCs w:val="20"/>
        </w:rPr>
        <w:t xml:space="preserve">and </w:t>
      </w:r>
      <w:r>
        <w:rPr>
          <w:rFonts w:cs="Arial"/>
          <w:color w:val="auto"/>
          <w:szCs w:val="20"/>
        </w:rPr>
        <w:t>four</w:t>
      </w:r>
      <w:r w:rsidRPr="00BA7687">
        <w:rPr>
          <w:rFonts w:cs="Arial"/>
          <w:color w:val="auto"/>
          <w:szCs w:val="20"/>
        </w:rPr>
        <w:t xml:space="preserve"> literature review</w:t>
      </w:r>
      <w:r>
        <w:rPr>
          <w:rFonts w:cs="Arial"/>
          <w:color w:val="auto"/>
          <w:szCs w:val="20"/>
        </w:rPr>
        <w:t>s</w:t>
      </w:r>
      <w:r w:rsidRPr="00BA7687">
        <w:rPr>
          <w:rFonts w:cs="Arial"/>
          <w:color w:val="auto"/>
          <w:szCs w:val="20"/>
        </w:rPr>
        <w:t xml:space="preserve"> and one meta-analysis with various measures.</w:t>
      </w:r>
      <w:r>
        <w:t xml:space="preserve"> An additional study adapted the Short Gambling Harm Screen (SGHS) to a measure of gaming-related harm (financial, moderate: Carey, </w:t>
      </w:r>
      <w:proofErr w:type="spellStart"/>
      <w:r>
        <w:t>Delfabbro</w:t>
      </w:r>
      <w:proofErr w:type="spellEnd"/>
      <w:r>
        <w:t>, &amp; King, 2021).</w:t>
      </w:r>
    </w:p>
    <w:p w14:paraId="083FD245" w14:textId="77777777" w:rsidR="00BF7BC5" w:rsidRPr="000427B7" w:rsidRDefault="00BF7BC5" w:rsidP="007A1093">
      <w:pPr>
        <w:pStyle w:val="AppendixHeading3"/>
      </w:pPr>
      <w:r w:rsidRPr="00776402">
        <w:t xml:space="preserve">Other harm measures </w:t>
      </w:r>
    </w:p>
    <w:p w14:paraId="137256F1" w14:textId="77777777" w:rsidR="00BF7BC5" w:rsidRPr="001C3266" w:rsidRDefault="00BF7BC5" w:rsidP="007A1093">
      <w:pPr>
        <w:pStyle w:val="BodyText"/>
      </w:pPr>
      <w:r w:rsidRPr="00A62FC3">
        <w:t xml:space="preserve">The other types of harms measured in </w:t>
      </w:r>
      <w:r>
        <w:t>30</w:t>
      </w:r>
      <w:r w:rsidRPr="00A62FC3">
        <w:t xml:space="preserve"> evaluated studies were: psychological distress (Kessler 6 or 10; 5 studies), </w:t>
      </w:r>
      <w:r>
        <w:t xml:space="preserve">self-reported or </w:t>
      </w:r>
      <w:r w:rsidRPr="00A62FC3">
        <w:t>subjective harms associated with products (</w:t>
      </w:r>
      <w:r>
        <w:t>6</w:t>
      </w:r>
      <w:r w:rsidRPr="00A62FC3">
        <w:t xml:space="preserve"> studies), substance use (alcohol, illicit drugs, tobacco) (</w:t>
      </w:r>
      <w:r>
        <w:t>3</w:t>
      </w:r>
      <w:r w:rsidRPr="00A62FC3">
        <w:t xml:space="preserve"> studies), Problem Pay-to-Win (P2W) Gaming (2 studies), Risky Loot Box Index (Brooks &amp; Clark, 2019</w:t>
      </w:r>
      <w:r>
        <w:t xml:space="preserve">: 2 studies), </w:t>
      </w:r>
      <w:r w:rsidRPr="00BA7687">
        <w:t>Gambling Related Cognition Scale (GRCS; 1 study), Problematic use of loot boxes (PU-LB; 1 study), problematic social casino game use screen (PSCGS; 1 study), positive and negative affect (PANAS-SF; 1 study), Revised-Children Anxiety Depression Scale (RCADS; 1 study), mental distress (BSI-18: 1 study; PHQ-A: 1 study), risk-taking scale (DOSPERT; 1 study), psychosocial adjustment (SDQ; 1 study),</w:t>
      </w:r>
      <w:r>
        <w:t xml:space="preserve"> depression/anxiety (1 study), school grades (1 study), </w:t>
      </w:r>
      <w:r w:rsidRPr="00BA7687">
        <w:t xml:space="preserve">and </w:t>
      </w:r>
      <w:r>
        <w:t>three</w:t>
      </w:r>
      <w:r w:rsidRPr="00BA7687">
        <w:t xml:space="preserve"> literature </w:t>
      </w:r>
      <w:r>
        <w:t>r</w:t>
      </w:r>
      <w:r w:rsidRPr="00BA7687">
        <w:t>eviews with various measures.</w:t>
      </w:r>
      <w:r w:rsidRPr="008F66AF">
        <w:t xml:space="preserve"> </w:t>
      </w:r>
    </w:p>
    <w:p w14:paraId="247E2608" w14:textId="17267206" w:rsidR="00BF7BC5" w:rsidRPr="000427B7" w:rsidRDefault="00BF7BC5" w:rsidP="007A1093">
      <w:pPr>
        <w:pStyle w:val="AppendixHeading3"/>
      </w:pPr>
      <w:r w:rsidRPr="00776402">
        <w:t xml:space="preserve">Predictors, </w:t>
      </w:r>
      <w:proofErr w:type="gramStart"/>
      <w:r w:rsidRPr="00776402">
        <w:t>mediators</w:t>
      </w:r>
      <w:proofErr w:type="gramEnd"/>
      <w:r w:rsidRPr="00776402">
        <w:t xml:space="preserve"> and moderators</w:t>
      </w:r>
    </w:p>
    <w:p w14:paraId="24DD9F59" w14:textId="679C1004" w:rsidR="00254353" w:rsidRPr="00254353" w:rsidRDefault="007C29D0" w:rsidP="006E41C6">
      <w:pPr>
        <w:pStyle w:val="BodyText"/>
      </w:pPr>
      <w:r>
        <w:t>W</w:t>
      </w:r>
      <w:r w:rsidR="00BF7BC5">
        <w:t xml:space="preserve">e examined potential predictors, mediators, or moderators of </w:t>
      </w:r>
      <w:r>
        <w:t>to observe other factors which may influence harm associated with the products reviewed</w:t>
      </w:r>
      <w:r w:rsidR="00BF7BC5">
        <w:t xml:space="preserve">. Studies were reviewed if they included advanced statistical techniques and examined </w:t>
      </w:r>
      <w:r w:rsidR="00BF7BC5" w:rsidRPr="000A1859">
        <w:t>relationship</w:t>
      </w:r>
      <w:r w:rsidR="00BF7BC5">
        <w:t>s</w:t>
      </w:r>
      <w:r w:rsidR="00BF7BC5" w:rsidRPr="000A1859">
        <w:t xml:space="preserve"> between sets of variables. </w:t>
      </w:r>
      <w:r w:rsidR="00BF7BC5">
        <w:t>We reviewed studies that examined how the variable(s) mediated or moderated the effect of a simulated gambling product on a harm outcome (e.g., structural equation modelling); or contributed significant variance to a harm outcome in a model which included a simulated gambling product (i.e., when controlling for additional factors, e.g., multivariate regression)</w:t>
      </w:r>
    </w:p>
    <w:sectPr w:rsidR="00254353" w:rsidRPr="00254353" w:rsidSect="00CE6E61">
      <w:headerReference w:type="default" r:id="rId104"/>
      <w:pgSz w:w="11901" w:h="16840"/>
      <w:pgMar w:top="1418" w:right="1701" w:bottom="1418" w:left="1701" w:header="680" w:footer="68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F7B8" w14:textId="77777777" w:rsidR="00952F3C" w:rsidRDefault="00952F3C" w:rsidP="008C3543">
      <w:pPr>
        <w:spacing w:before="0" w:line="240" w:lineRule="auto"/>
      </w:pPr>
      <w:r>
        <w:separator/>
      </w:r>
    </w:p>
  </w:endnote>
  <w:endnote w:type="continuationSeparator" w:id="0">
    <w:p w14:paraId="621C0573" w14:textId="77777777" w:rsidR="00952F3C" w:rsidRDefault="00952F3C" w:rsidP="008C3543">
      <w:pPr>
        <w:spacing w:before="0" w:line="240" w:lineRule="auto"/>
      </w:pPr>
      <w:r>
        <w:continuationSeparator/>
      </w:r>
    </w:p>
  </w:endnote>
  <w:endnote w:type="continuationNotice" w:id="1">
    <w:p w14:paraId="60036002" w14:textId="77777777" w:rsidR="00952F3C" w:rsidRDefault="00952F3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28D4" w14:textId="27200EE0" w:rsidR="004D2594" w:rsidRPr="00526EC6" w:rsidRDefault="004D2594" w:rsidP="000125DC">
    <w:pPr>
      <w:pStyle w:val="Footer"/>
      <w:numPr>
        <w:ilvl w:val="0"/>
        <w:numId w:val="0"/>
      </w:numPr>
      <w:ind w:left="425" w:hanging="425"/>
    </w:pPr>
    <w:r>
      <w:t>Australian Institute of Family Studies</w:t>
    </w:r>
    <w:r w:rsidRPr="00526EC6">
      <w:tab/>
    </w:r>
    <w:r w:rsidRPr="00526EC6">
      <w:rPr>
        <w:rStyle w:val="PageNumber"/>
      </w:rPr>
      <w:fldChar w:fldCharType="begin"/>
    </w:r>
    <w:r w:rsidRPr="00526EC6">
      <w:rPr>
        <w:rStyle w:val="PageNumber"/>
      </w:rPr>
      <w:instrText xml:space="preserve"> PAGE </w:instrText>
    </w:r>
    <w:r w:rsidRPr="00526EC6">
      <w:rPr>
        <w:rStyle w:val="PageNumber"/>
      </w:rPr>
      <w:fldChar w:fldCharType="separate"/>
    </w:r>
    <w:r w:rsidR="0020797F">
      <w:rPr>
        <w:rStyle w:val="PageNumber"/>
        <w:noProof/>
      </w:rPr>
      <w:t>13</w:t>
    </w:r>
    <w:r w:rsidRPr="00526EC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1C4A" w14:textId="77777777" w:rsidR="004D2594" w:rsidRDefault="004D2594" w:rsidP="00753CCA">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C9E5" w14:textId="77777777" w:rsidR="00952F3C" w:rsidRDefault="00952F3C" w:rsidP="008C3543">
      <w:pPr>
        <w:spacing w:before="0" w:line="240" w:lineRule="auto"/>
      </w:pPr>
      <w:r>
        <w:separator/>
      </w:r>
    </w:p>
  </w:footnote>
  <w:footnote w:type="continuationSeparator" w:id="0">
    <w:p w14:paraId="5D84C469" w14:textId="77777777" w:rsidR="00952F3C" w:rsidRDefault="00952F3C" w:rsidP="008C3543">
      <w:pPr>
        <w:spacing w:before="0" w:line="240" w:lineRule="auto"/>
      </w:pPr>
      <w:r>
        <w:continuationSeparator/>
      </w:r>
    </w:p>
  </w:footnote>
  <w:footnote w:type="continuationNotice" w:id="1">
    <w:p w14:paraId="63DD951A" w14:textId="77777777" w:rsidR="00952F3C" w:rsidRDefault="00952F3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B72A" w14:textId="77777777" w:rsidR="004D2594" w:rsidRPr="00526EC6" w:rsidRDefault="004D2594" w:rsidP="00DA7C8B">
    <w:pPr>
      <w:pStyle w:val="Header"/>
      <w:numPr>
        <w:ilvl w:val="0"/>
        <w:numId w:val="0"/>
      </w:numPr>
      <w:ind w:left="425" w:hanging="425"/>
    </w:pPr>
    <w:r w:rsidRPr="00526EC6">
      <w:rPr>
        <w:lang w:val="en-AU" w:eastAsia="en-AU"/>
      </w:rPr>
      <w:drawing>
        <wp:inline distT="0" distB="0" distL="0" distR="0" wp14:anchorId="3B6D0D92" wp14:editId="6055AD55">
          <wp:extent cx="2400300" cy="2400300"/>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r>
      <w:rPr>
        <w:lang w:val="en-GB" w:eastAsia="en-GB"/>
      </w:rPr>
      <w:t xml:space="preserve">Literature review </w:t>
    </w:r>
    <w:r w:rsidRPr="00836AC7">
      <w:rPr>
        <w:lang w:val="en-GB" w:eastAsia="en-GB"/>
      </w:rPr>
      <w:t xml:space="preserve">on the </w:t>
    </w:r>
    <w:r>
      <w:rPr>
        <w:lang w:val="en-GB" w:eastAsia="en-GB"/>
      </w:rPr>
      <w:t>harms associated with</w:t>
    </w:r>
    <w:r w:rsidRPr="00836AC7">
      <w:rPr>
        <w:lang w:val="en-GB" w:eastAsia="en-GB"/>
      </w:rPr>
      <w:t xml:space="preserve"> loot boxes, </w:t>
    </w:r>
    <w:r>
      <w:rPr>
        <w:lang w:val="en-GB" w:eastAsia="en-GB"/>
      </w:rPr>
      <w:t>simulated gambling</w:t>
    </w:r>
    <w:r w:rsidRPr="00526EC6">
      <w:t xml:space="preserve"> </w:t>
    </w:r>
    <w:r>
      <w:t>and in-game purchases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15F6" w14:textId="77777777" w:rsidR="004D2594" w:rsidRDefault="004D2594" w:rsidP="005D6373">
    <w:pPr>
      <w:pStyle w:val="Header"/>
      <w:numPr>
        <w:ilvl w:val="0"/>
        <w:numId w:val="0"/>
      </w:numPr>
      <w:ind w:left="425" w:hanging="425"/>
    </w:pPr>
    <w:r>
      <w:rPr>
        <w:lang w:val="en-AU" w:eastAsia="en-AU"/>
      </w:rPr>
      <w:drawing>
        <wp:anchor distT="0" distB="0" distL="114300" distR="114300" simplePos="0" relativeHeight="251658241" behindDoc="1" locked="0" layoutInCell="1" allowOverlap="1" wp14:anchorId="7E3B5DEA" wp14:editId="625B0ACC">
          <wp:simplePos x="0" y="0"/>
          <wp:positionH relativeFrom="column">
            <wp:posOffset>-1080135</wp:posOffset>
          </wp:positionH>
          <wp:positionV relativeFrom="paragraph">
            <wp:posOffset>-1080135</wp:posOffset>
          </wp:positionV>
          <wp:extent cx="7579360" cy="1148080"/>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360" cy="114808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8853" w14:textId="77777777" w:rsidR="004D2594" w:rsidRPr="00526EC6" w:rsidRDefault="004D2594" w:rsidP="00A47658">
    <w:pPr>
      <w:pStyle w:val="Header"/>
      <w:numPr>
        <w:ilvl w:val="0"/>
        <w:numId w:val="0"/>
      </w:numPr>
      <w:ind w:left="425" w:hanging="425"/>
    </w:pPr>
    <w:r w:rsidRPr="00526EC6">
      <w:rPr>
        <w:lang w:val="en-AU" w:eastAsia="en-AU"/>
      </w:rPr>
      <w:drawing>
        <wp:anchor distT="0" distB="0" distL="114300" distR="114300" simplePos="0" relativeHeight="251658242" behindDoc="1" locked="0" layoutInCell="1" allowOverlap="1" wp14:anchorId="6F3113FD" wp14:editId="14C2CE1D">
          <wp:simplePos x="0" y="0"/>
          <wp:positionH relativeFrom="column">
            <wp:posOffset>5257800</wp:posOffset>
          </wp:positionH>
          <wp:positionV relativeFrom="paragraph">
            <wp:posOffset>-1686560</wp:posOffset>
          </wp:positionV>
          <wp:extent cx="2400300" cy="2400300"/>
          <wp:effectExtent l="0" t="0" r="12700" b="12700"/>
          <wp:wrapNone/>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lang w:val="en-GB" w:eastAsia="en-GB"/>
      </w:rPr>
      <w:t xml:space="preserve">Literature review </w:t>
    </w:r>
    <w:r w:rsidRPr="00836AC7">
      <w:rPr>
        <w:lang w:val="en-GB" w:eastAsia="en-GB"/>
      </w:rPr>
      <w:t xml:space="preserve">on the </w:t>
    </w:r>
    <w:r>
      <w:rPr>
        <w:lang w:val="en-GB" w:eastAsia="en-GB"/>
      </w:rPr>
      <w:t>harms associated with</w:t>
    </w:r>
    <w:r w:rsidRPr="00836AC7">
      <w:rPr>
        <w:lang w:val="en-GB" w:eastAsia="en-GB"/>
      </w:rPr>
      <w:t xml:space="preserve"> loot boxes, </w:t>
    </w:r>
    <w:r>
      <w:rPr>
        <w:lang w:val="en-GB" w:eastAsia="en-GB"/>
      </w:rPr>
      <w:t>simulated gambling</w:t>
    </w:r>
    <w:r w:rsidRPr="00526EC6">
      <w:t xml:space="preserve"> </w:t>
    </w:r>
    <w:r>
      <w:t>and in-game purchases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40E604"/>
    <w:lvl w:ilvl="0">
      <w:start w:val="1"/>
      <w:numFmt w:val="bullet"/>
      <w:pStyle w:val="TableText"/>
      <w:lvlText w:val="–"/>
      <w:lvlJc w:val="left"/>
      <w:pPr>
        <w:tabs>
          <w:tab w:val="num" w:pos="851"/>
        </w:tabs>
        <w:ind w:left="851" w:hanging="426"/>
      </w:pPr>
      <w:rPr>
        <w:rFonts w:ascii="Times New Roman" w:hAnsi="Times New Roman" w:cs="Times New Roman" w:hint="default"/>
        <w:color w:val="62136D"/>
      </w:rPr>
    </w:lvl>
  </w:abstractNum>
  <w:abstractNum w:abstractNumId="1" w15:restartNumberingAfterBreak="0">
    <w:nsid w:val="FFFFFF88"/>
    <w:multiLevelType w:val="singleLevel"/>
    <w:tmpl w:val="D840A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9BA359A"/>
    <w:lvl w:ilvl="0">
      <w:start w:val="1"/>
      <w:numFmt w:val="bullet"/>
      <w:pStyle w:val="Footer"/>
      <w:lvlText w:val=""/>
      <w:lvlJc w:val="left"/>
      <w:pPr>
        <w:tabs>
          <w:tab w:val="num" w:pos="425"/>
        </w:tabs>
        <w:ind w:left="425" w:hanging="425"/>
      </w:pPr>
      <w:rPr>
        <w:rFonts w:ascii="Wingdings" w:hAnsi="Wingdings" w:hint="default"/>
        <w:color w:val="62136D"/>
      </w:rPr>
    </w:lvl>
  </w:abstractNum>
  <w:abstractNum w:abstractNumId="3" w15:restartNumberingAfterBreak="0">
    <w:nsid w:val="03172EDD"/>
    <w:multiLevelType w:val="hybridMultilevel"/>
    <w:tmpl w:val="2FAEA720"/>
    <w:lvl w:ilvl="0" w:tplc="F89290FE">
      <w:start w:val="1"/>
      <w:numFmt w:val="lowerLetter"/>
      <w:pStyle w:val="BalloonText"/>
      <w:lvlText w:val="%1."/>
      <w:lvlJc w:val="left"/>
      <w:pPr>
        <w:tabs>
          <w:tab w:val="num" w:pos="851"/>
        </w:tabs>
        <w:ind w:left="851" w:hanging="426"/>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74498"/>
    <w:multiLevelType w:val="hybridMultilevel"/>
    <w:tmpl w:val="6FD4B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D43A49"/>
    <w:multiLevelType w:val="hybridMultilevel"/>
    <w:tmpl w:val="58345870"/>
    <w:lvl w:ilvl="0" w:tplc="53E00DDC">
      <w:start w:val="1"/>
      <w:numFmt w:val="upperLetter"/>
      <w:pStyle w:val="Subtitle"/>
      <w:lvlText w:val="Part %1. "/>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D2A98"/>
    <w:multiLevelType w:val="hybridMultilevel"/>
    <w:tmpl w:val="A3B01CEC"/>
    <w:lvl w:ilvl="0" w:tplc="FE70B060">
      <w:start w:val="1"/>
      <w:numFmt w:val="bullet"/>
      <w:pStyle w:val="CommentText"/>
      <w:lvlText w:val="–"/>
      <w:lvlJc w:val="left"/>
      <w:pPr>
        <w:tabs>
          <w:tab w:val="num" w:pos="454"/>
        </w:tabs>
        <w:ind w:left="454" w:hanging="227"/>
      </w:pPr>
      <w:rPr>
        <w:rFonts w:ascii="Times New Roman" w:hAnsi="Times New Roman" w:cs="Times New Roman"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618A8"/>
    <w:multiLevelType w:val="hybridMultilevel"/>
    <w:tmpl w:val="34A04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15732F"/>
    <w:multiLevelType w:val="hybridMultilevel"/>
    <w:tmpl w:val="2444A1CA"/>
    <w:lvl w:ilvl="0" w:tplc="CA3625E6">
      <w:numFmt w:val="bullet"/>
      <w:lvlText w:val="-"/>
      <w:lvlJc w:val="left"/>
      <w:pPr>
        <w:ind w:left="720" w:hanging="360"/>
      </w:pPr>
      <w:rPr>
        <w:rFonts w:ascii="Arial Narrow" w:eastAsiaTheme="min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730EF7"/>
    <w:multiLevelType w:val="hybridMultilevel"/>
    <w:tmpl w:val="B1A801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891E57"/>
    <w:multiLevelType w:val="hybridMultilevel"/>
    <w:tmpl w:val="2C50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7E0C55"/>
    <w:multiLevelType w:val="hybridMultilevel"/>
    <w:tmpl w:val="920EAD8E"/>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2" w15:restartNumberingAfterBreak="0">
    <w:nsid w:val="11D37EEB"/>
    <w:multiLevelType w:val="hybridMultilevel"/>
    <w:tmpl w:val="7D3C0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2953C9"/>
    <w:multiLevelType w:val="hybridMultilevel"/>
    <w:tmpl w:val="0BBA3E28"/>
    <w:lvl w:ilvl="0" w:tplc="F63E58D2">
      <w:start w:val="9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3A3D84"/>
    <w:multiLevelType w:val="hybridMultilevel"/>
    <w:tmpl w:val="03A06B24"/>
    <w:lvl w:ilvl="0" w:tplc="0E7AC98E">
      <w:numFmt w:val="bullet"/>
      <w:lvlText w:val="-"/>
      <w:lvlJc w:val="left"/>
      <w:pPr>
        <w:ind w:left="720" w:hanging="360"/>
      </w:pPr>
      <w:rPr>
        <w:rFonts w:ascii="Arial Narrow" w:eastAsiaTheme="min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72995"/>
    <w:multiLevelType w:val="hybridMultilevel"/>
    <w:tmpl w:val="DF0C6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F0B7C"/>
    <w:multiLevelType w:val="hybridMultilevel"/>
    <w:tmpl w:val="68EC86E0"/>
    <w:lvl w:ilvl="0" w:tplc="CA3625E6">
      <w:numFmt w:val="bullet"/>
      <w:lvlText w:val="-"/>
      <w:lvlJc w:val="left"/>
      <w:pPr>
        <w:ind w:left="720" w:hanging="360"/>
      </w:pPr>
      <w:rPr>
        <w:rFonts w:ascii="Arial Narrow" w:eastAsiaTheme="min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7B6826"/>
    <w:multiLevelType w:val="hybridMultilevel"/>
    <w:tmpl w:val="F30EE05C"/>
    <w:lvl w:ilvl="0" w:tplc="E79AC660">
      <w:numFmt w:val="bullet"/>
      <w:lvlText w:val="-"/>
      <w:lvlJc w:val="left"/>
      <w:pPr>
        <w:ind w:left="720" w:hanging="360"/>
      </w:pPr>
      <w:rPr>
        <w:rFonts w:ascii="Arial Narrow" w:eastAsiaTheme="min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9673E7"/>
    <w:multiLevelType w:val="hybridMultilevel"/>
    <w:tmpl w:val="7E2C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001647"/>
    <w:multiLevelType w:val="hybridMultilevel"/>
    <w:tmpl w:val="9A76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DE723E"/>
    <w:multiLevelType w:val="hybridMultilevel"/>
    <w:tmpl w:val="E95C33F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EBA5A97"/>
    <w:multiLevelType w:val="hybridMultilevel"/>
    <w:tmpl w:val="12D82E98"/>
    <w:lvl w:ilvl="0" w:tplc="3E0CA126">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07E1D86"/>
    <w:multiLevelType w:val="hybridMultilevel"/>
    <w:tmpl w:val="B84CBACA"/>
    <w:lvl w:ilvl="0" w:tplc="8D2E8F3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1676A70"/>
    <w:multiLevelType w:val="hybridMultilevel"/>
    <w:tmpl w:val="2AF8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5B0968"/>
    <w:multiLevelType w:val="hybridMultilevel"/>
    <w:tmpl w:val="04BA8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6A7BFC"/>
    <w:multiLevelType w:val="hybridMultilevel"/>
    <w:tmpl w:val="7A3A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372340"/>
    <w:multiLevelType w:val="hybridMultilevel"/>
    <w:tmpl w:val="07B89230"/>
    <w:lvl w:ilvl="0" w:tplc="12FEF974">
      <w:start w:val="1"/>
      <w:numFmt w:val="bullet"/>
      <w:pStyle w:val="List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9E6E83"/>
    <w:multiLevelType w:val="hybridMultilevel"/>
    <w:tmpl w:val="E0DCE402"/>
    <w:lvl w:ilvl="0" w:tplc="BE6A8310">
      <w:start w:val="1"/>
      <w:numFmt w:val="decimal"/>
      <w:pStyle w:val="Header"/>
      <w:lvlText w:val="%1."/>
      <w:lvlJc w:val="left"/>
      <w:pPr>
        <w:tabs>
          <w:tab w:val="num" w:pos="425"/>
        </w:tabs>
        <w:ind w:left="425" w:hanging="425"/>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971636"/>
    <w:multiLevelType w:val="hybridMultilevel"/>
    <w:tmpl w:val="C9F43D0E"/>
    <w:lvl w:ilvl="0" w:tplc="5352DFFA">
      <w:start w:val="1"/>
      <w:numFmt w:val="lowerLetter"/>
      <w:pStyle w:val="AppendixHeading1"/>
      <w:lvlText w:val="%1."/>
      <w:lvlJc w:val="left"/>
      <w:pPr>
        <w:tabs>
          <w:tab w:val="num" w:pos="454"/>
        </w:tabs>
        <w:ind w:left="454" w:hanging="227"/>
      </w:pPr>
      <w:rPr>
        <w:rFonts w:hint="default"/>
        <w:color w:val="62136D"/>
      </w:rPr>
    </w:lvl>
    <w:lvl w:ilvl="1" w:tplc="106C3C7C">
      <w:start w:val="1"/>
      <w:numFmt w:val="decimal"/>
      <w:lvlText w:val="(%2)"/>
      <w:lvlJc w:val="left"/>
      <w:pPr>
        <w:ind w:left="1470" w:hanging="390"/>
      </w:pPr>
      <w:rPr>
        <w:rFonts w:hint="default"/>
      </w:rPr>
    </w:lvl>
    <w:lvl w:ilvl="2" w:tplc="2DEC3788">
      <w:start w:val="1"/>
      <w:numFmt w:val="lowerRoman"/>
      <w:lvlText w:val="%3)"/>
      <w:lvlJc w:val="left"/>
      <w:pPr>
        <w:ind w:left="2700" w:hanging="720"/>
      </w:pPr>
      <w:rPr>
        <w:rFonts w:hint="default"/>
      </w:rPr>
    </w:lvl>
    <w:lvl w:ilvl="3" w:tplc="CB1ECD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F5FA3"/>
    <w:multiLevelType w:val="hybridMultilevel"/>
    <w:tmpl w:val="7372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131EF7"/>
    <w:multiLevelType w:val="hybridMultilevel"/>
    <w:tmpl w:val="63D67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9F72F1"/>
    <w:multiLevelType w:val="hybridMultilevel"/>
    <w:tmpl w:val="C250E8D6"/>
    <w:lvl w:ilvl="0" w:tplc="02720FB0">
      <w:start w:val="1"/>
      <w:numFmt w:val="decimal"/>
      <w:pStyle w:val="TableNumber1"/>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942B76"/>
    <w:multiLevelType w:val="hybridMultilevel"/>
    <w:tmpl w:val="EC508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410B24"/>
    <w:multiLevelType w:val="multilevel"/>
    <w:tmpl w:val="03F416BE"/>
    <w:lvl w:ilvl="0">
      <w:start w:val="1"/>
      <w:numFmt w:val="decimal"/>
      <w:pStyle w:val="TableCaption"/>
      <w:lvlText w:val="%1."/>
      <w:lvlJc w:val="left"/>
      <w:pPr>
        <w:tabs>
          <w:tab w:val="num" w:pos="992"/>
        </w:tabs>
        <w:ind w:left="992" w:hanging="992"/>
      </w:pPr>
      <w:rPr>
        <w:rFonts w:hint="default"/>
      </w:rPr>
    </w:lvl>
    <w:lvl w:ilvl="1">
      <w:start w:val="1"/>
      <w:numFmt w:val="decimal"/>
      <w:pStyle w:val="TableTextCentre"/>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EF0DF6"/>
    <w:multiLevelType w:val="hybridMultilevel"/>
    <w:tmpl w:val="B4362B7A"/>
    <w:lvl w:ilvl="0" w:tplc="2908664A">
      <w:start w:val="2"/>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DAA3248"/>
    <w:multiLevelType w:val="hybridMultilevel"/>
    <w:tmpl w:val="AAE0EA94"/>
    <w:lvl w:ilvl="0" w:tplc="E424FDC2">
      <w:start w:val="1"/>
      <w:numFmt w:val="bullet"/>
      <w:pStyle w:val="Box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AF7279"/>
    <w:multiLevelType w:val="hybridMultilevel"/>
    <w:tmpl w:val="24E0F712"/>
    <w:lvl w:ilvl="0" w:tplc="F316449E">
      <w:start w:val="1"/>
      <w:numFmt w:val="bullet"/>
      <w:pStyle w:val="CommentTextBullet"/>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8512F0"/>
    <w:multiLevelType w:val="hybridMultilevel"/>
    <w:tmpl w:val="4B44D3D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8" w15:restartNumberingAfterBreak="0">
    <w:nsid w:val="54DF4041"/>
    <w:multiLevelType w:val="hybridMultilevel"/>
    <w:tmpl w:val="89109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911F66"/>
    <w:multiLevelType w:val="hybridMultilevel"/>
    <w:tmpl w:val="953239D0"/>
    <w:lvl w:ilvl="0" w:tplc="180ABD66">
      <w:start w:val="6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799494C"/>
    <w:multiLevelType w:val="hybridMultilevel"/>
    <w:tmpl w:val="3208AC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27D1C32"/>
    <w:multiLevelType w:val="hybridMultilevel"/>
    <w:tmpl w:val="AD58A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925DCD"/>
    <w:multiLevelType w:val="hybridMultilevel"/>
    <w:tmpl w:val="ACE083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C606BDC"/>
    <w:multiLevelType w:val="hybridMultilevel"/>
    <w:tmpl w:val="A8E623DE"/>
    <w:lvl w:ilvl="0" w:tplc="46769878">
      <w:start w:val="1"/>
      <w:numFmt w:val="bullet"/>
      <w:pStyle w:val="TableBullet1"/>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9E3119"/>
    <w:multiLevelType w:val="hybridMultilevel"/>
    <w:tmpl w:val="6DEA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712E2E"/>
    <w:multiLevelType w:val="hybridMultilevel"/>
    <w:tmpl w:val="A9F807C2"/>
    <w:lvl w:ilvl="0" w:tplc="CA3625E6">
      <w:numFmt w:val="bullet"/>
      <w:lvlText w:val="-"/>
      <w:lvlJc w:val="left"/>
      <w:pPr>
        <w:ind w:left="720" w:hanging="360"/>
      </w:pPr>
      <w:rPr>
        <w:rFonts w:ascii="Arial Narrow" w:eastAsiaTheme="min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E331BC"/>
    <w:multiLevelType w:val="hybridMultilevel"/>
    <w:tmpl w:val="79D2C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174EB1"/>
    <w:multiLevelType w:val="hybridMultilevel"/>
    <w:tmpl w:val="E8FC9F34"/>
    <w:lvl w:ilvl="0" w:tplc="3F224BDC">
      <w:start w:val="1"/>
      <w:numFmt w:val="decimal"/>
      <w:pStyle w:val="Box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17249"/>
    <w:multiLevelType w:val="hybridMultilevel"/>
    <w:tmpl w:val="3224F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AB0798"/>
    <w:multiLevelType w:val="hybridMultilevel"/>
    <w:tmpl w:val="FE8AB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9156386">
    <w:abstractNumId w:val="2"/>
  </w:num>
  <w:num w:numId="2" w16cid:durableId="1449935689">
    <w:abstractNumId w:val="0"/>
  </w:num>
  <w:num w:numId="3" w16cid:durableId="1524243168">
    <w:abstractNumId w:val="3"/>
  </w:num>
  <w:num w:numId="4" w16cid:durableId="1365445899">
    <w:abstractNumId w:val="27"/>
  </w:num>
  <w:num w:numId="5" w16cid:durableId="695156685">
    <w:abstractNumId w:val="33"/>
  </w:num>
  <w:num w:numId="6" w16cid:durableId="1819376547">
    <w:abstractNumId w:val="6"/>
  </w:num>
  <w:num w:numId="7" w16cid:durableId="1345591597">
    <w:abstractNumId w:val="43"/>
  </w:num>
  <w:num w:numId="8" w16cid:durableId="817840627">
    <w:abstractNumId w:val="36"/>
  </w:num>
  <w:num w:numId="9" w16cid:durableId="1669136543">
    <w:abstractNumId w:val="28"/>
  </w:num>
  <w:num w:numId="10" w16cid:durableId="1543664712">
    <w:abstractNumId w:val="31"/>
  </w:num>
  <w:num w:numId="11" w16cid:durableId="341125563">
    <w:abstractNumId w:val="5"/>
  </w:num>
  <w:num w:numId="12" w16cid:durableId="1328677020">
    <w:abstractNumId w:val="35"/>
  </w:num>
  <w:num w:numId="13" w16cid:durableId="993799476">
    <w:abstractNumId w:val="47"/>
  </w:num>
  <w:num w:numId="14" w16cid:durableId="2085492770">
    <w:abstractNumId w:val="15"/>
  </w:num>
  <w:num w:numId="15" w16cid:durableId="1000617610">
    <w:abstractNumId w:val="32"/>
  </w:num>
  <w:num w:numId="16" w16cid:durableId="1576747864">
    <w:abstractNumId w:val="37"/>
  </w:num>
  <w:num w:numId="17" w16cid:durableId="1671134871">
    <w:abstractNumId w:val="11"/>
  </w:num>
  <w:num w:numId="18" w16cid:durableId="239104727">
    <w:abstractNumId w:val="26"/>
  </w:num>
  <w:num w:numId="19" w16cid:durableId="1259288306">
    <w:abstractNumId w:val="22"/>
  </w:num>
  <w:num w:numId="20" w16cid:durableId="1515076971">
    <w:abstractNumId w:val="22"/>
    <w:lvlOverride w:ilvl="0">
      <w:startOverride w:val="1"/>
    </w:lvlOverride>
  </w:num>
  <w:num w:numId="21" w16cid:durableId="1030568447">
    <w:abstractNumId w:val="22"/>
    <w:lvlOverride w:ilvl="0">
      <w:startOverride w:val="1"/>
    </w:lvlOverride>
  </w:num>
  <w:num w:numId="22" w16cid:durableId="974798548">
    <w:abstractNumId w:val="22"/>
    <w:lvlOverride w:ilvl="0">
      <w:startOverride w:val="1"/>
    </w:lvlOverride>
  </w:num>
  <w:num w:numId="23" w16cid:durableId="811487278">
    <w:abstractNumId w:val="39"/>
  </w:num>
  <w:num w:numId="24" w16cid:durableId="594049173">
    <w:abstractNumId w:val="13"/>
  </w:num>
  <w:num w:numId="25" w16cid:durableId="1270504604">
    <w:abstractNumId w:val="17"/>
  </w:num>
  <w:num w:numId="26" w16cid:durableId="2141919976">
    <w:abstractNumId w:val="34"/>
  </w:num>
  <w:num w:numId="27" w16cid:durableId="185141804">
    <w:abstractNumId w:val="1"/>
  </w:num>
  <w:num w:numId="28" w16cid:durableId="1557427945">
    <w:abstractNumId w:val="18"/>
  </w:num>
  <w:num w:numId="29" w16cid:durableId="1032456499">
    <w:abstractNumId w:val="42"/>
  </w:num>
  <w:num w:numId="30" w16cid:durableId="689725492">
    <w:abstractNumId w:val="38"/>
  </w:num>
  <w:num w:numId="31" w16cid:durableId="1399401177">
    <w:abstractNumId w:val="12"/>
  </w:num>
  <w:num w:numId="32" w16cid:durableId="329719286">
    <w:abstractNumId w:val="29"/>
  </w:num>
  <w:num w:numId="33" w16cid:durableId="1119953083">
    <w:abstractNumId w:val="20"/>
  </w:num>
  <w:num w:numId="34" w16cid:durableId="75134238">
    <w:abstractNumId w:val="48"/>
  </w:num>
  <w:num w:numId="35" w16cid:durableId="1904020818">
    <w:abstractNumId w:val="4"/>
  </w:num>
  <w:num w:numId="36" w16cid:durableId="225187890">
    <w:abstractNumId w:val="49"/>
  </w:num>
  <w:num w:numId="37" w16cid:durableId="273831193">
    <w:abstractNumId w:val="7"/>
  </w:num>
  <w:num w:numId="38" w16cid:durableId="2117629616">
    <w:abstractNumId w:val="44"/>
  </w:num>
  <w:num w:numId="39" w16cid:durableId="1890989699">
    <w:abstractNumId w:val="30"/>
  </w:num>
  <w:num w:numId="40" w16cid:durableId="1712074779">
    <w:abstractNumId w:val="40"/>
  </w:num>
  <w:num w:numId="41" w16cid:durableId="140510448">
    <w:abstractNumId w:val="46"/>
  </w:num>
  <w:num w:numId="42" w16cid:durableId="1237546467">
    <w:abstractNumId w:val="10"/>
  </w:num>
  <w:num w:numId="43" w16cid:durableId="1011954142">
    <w:abstractNumId w:val="19"/>
  </w:num>
  <w:num w:numId="44" w16cid:durableId="557399105">
    <w:abstractNumId w:val="23"/>
  </w:num>
  <w:num w:numId="45" w16cid:durableId="223563847">
    <w:abstractNumId w:val="21"/>
  </w:num>
  <w:num w:numId="46" w16cid:durableId="1275864725">
    <w:abstractNumId w:val="14"/>
  </w:num>
  <w:num w:numId="47" w16cid:durableId="734427238">
    <w:abstractNumId w:val="16"/>
  </w:num>
  <w:num w:numId="48" w16cid:durableId="1457796934">
    <w:abstractNumId w:val="45"/>
  </w:num>
  <w:num w:numId="49" w16cid:durableId="1524317725">
    <w:abstractNumId w:val="8"/>
  </w:num>
  <w:num w:numId="50" w16cid:durableId="248806732">
    <w:abstractNumId w:val="41"/>
  </w:num>
  <w:num w:numId="51" w16cid:durableId="1790197338">
    <w:abstractNumId w:val="22"/>
    <w:lvlOverride w:ilvl="0">
      <w:startOverride w:val="1"/>
    </w:lvlOverride>
  </w:num>
  <w:num w:numId="52" w16cid:durableId="549265247">
    <w:abstractNumId w:val="9"/>
  </w:num>
  <w:num w:numId="53" w16cid:durableId="1061095135">
    <w:abstractNumId w:val="22"/>
    <w:lvlOverride w:ilvl="0">
      <w:startOverride w:val="1"/>
    </w:lvlOverride>
  </w:num>
  <w:num w:numId="54" w16cid:durableId="1837450512">
    <w:abstractNumId w:val="24"/>
  </w:num>
  <w:num w:numId="55" w16cid:durableId="1352682800">
    <w:abstractNumId w:val="22"/>
    <w:lvlOverride w:ilvl="0">
      <w:startOverride w:val="1"/>
    </w:lvlOverride>
  </w:num>
  <w:num w:numId="56" w16cid:durableId="973877181">
    <w:abstractNumId w:val="25"/>
  </w:num>
  <w:num w:numId="57" w16cid:durableId="1418558361">
    <w:abstractNumId w:val="22"/>
    <w:lvlOverride w:ilvl="0">
      <w:startOverride w:val="1"/>
    </w:lvlOverride>
  </w:num>
  <w:num w:numId="58" w16cid:durableId="1482230396">
    <w:abstractNumId w:val="22"/>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70"/>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aestrz2ffddkew9t8pw90x5swrsrdwzwa0&quot;&gt;cailem.murrayboyle@aifs.gov.au&lt;record-ids&gt;&lt;item&gt;416&lt;/item&gt;&lt;/record-ids&gt;&lt;/item&gt;&lt;/Libraries&gt;"/>
  </w:docVars>
  <w:rsids>
    <w:rsidRoot w:val="00CB423E"/>
    <w:rsid w:val="00000168"/>
    <w:rsid w:val="0000021A"/>
    <w:rsid w:val="00000236"/>
    <w:rsid w:val="000002A3"/>
    <w:rsid w:val="000002E9"/>
    <w:rsid w:val="000005E0"/>
    <w:rsid w:val="00000648"/>
    <w:rsid w:val="000007D9"/>
    <w:rsid w:val="00000977"/>
    <w:rsid w:val="00000ACD"/>
    <w:rsid w:val="00000B2A"/>
    <w:rsid w:val="00000B4D"/>
    <w:rsid w:val="00000B50"/>
    <w:rsid w:val="00000B79"/>
    <w:rsid w:val="00000D3C"/>
    <w:rsid w:val="00000E12"/>
    <w:rsid w:val="00000E18"/>
    <w:rsid w:val="00001103"/>
    <w:rsid w:val="000011C6"/>
    <w:rsid w:val="00001347"/>
    <w:rsid w:val="000014E5"/>
    <w:rsid w:val="00001804"/>
    <w:rsid w:val="00001822"/>
    <w:rsid w:val="00001B85"/>
    <w:rsid w:val="0000203D"/>
    <w:rsid w:val="0000210E"/>
    <w:rsid w:val="0000213F"/>
    <w:rsid w:val="000021F8"/>
    <w:rsid w:val="0000229A"/>
    <w:rsid w:val="00002343"/>
    <w:rsid w:val="00002369"/>
    <w:rsid w:val="00002580"/>
    <w:rsid w:val="00002581"/>
    <w:rsid w:val="000026FE"/>
    <w:rsid w:val="0000274E"/>
    <w:rsid w:val="00002871"/>
    <w:rsid w:val="000029C4"/>
    <w:rsid w:val="00002B0A"/>
    <w:rsid w:val="00002D63"/>
    <w:rsid w:val="00002E43"/>
    <w:rsid w:val="00002F44"/>
    <w:rsid w:val="00003012"/>
    <w:rsid w:val="00003065"/>
    <w:rsid w:val="000031E6"/>
    <w:rsid w:val="00003426"/>
    <w:rsid w:val="00003473"/>
    <w:rsid w:val="00003532"/>
    <w:rsid w:val="00003597"/>
    <w:rsid w:val="00003624"/>
    <w:rsid w:val="000037A9"/>
    <w:rsid w:val="000037BB"/>
    <w:rsid w:val="00003A21"/>
    <w:rsid w:val="00003AC5"/>
    <w:rsid w:val="00003B1E"/>
    <w:rsid w:val="00003B4E"/>
    <w:rsid w:val="00003CDA"/>
    <w:rsid w:val="00003EEF"/>
    <w:rsid w:val="00003FE9"/>
    <w:rsid w:val="0000404B"/>
    <w:rsid w:val="0000409D"/>
    <w:rsid w:val="00004183"/>
    <w:rsid w:val="0000422B"/>
    <w:rsid w:val="0000427F"/>
    <w:rsid w:val="000043D0"/>
    <w:rsid w:val="000043EB"/>
    <w:rsid w:val="00004543"/>
    <w:rsid w:val="00004549"/>
    <w:rsid w:val="000045A0"/>
    <w:rsid w:val="000045F1"/>
    <w:rsid w:val="000047BC"/>
    <w:rsid w:val="0000483B"/>
    <w:rsid w:val="00004969"/>
    <w:rsid w:val="00004993"/>
    <w:rsid w:val="000049E1"/>
    <w:rsid w:val="00004ADB"/>
    <w:rsid w:val="00004D0B"/>
    <w:rsid w:val="00004E11"/>
    <w:rsid w:val="00004FFE"/>
    <w:rsid w:val="0000503E"/>
    <w:rsid w:val="00005063"/>
    <w:rsid w:val="00005189"/>
    <w:rsid w:val="0000527B"/>
    <w:rsid w:val="0000542E"/>
    <w:rsid w:val="000055E1"/>
    <w:rsid w:val="00005715"/>
    <w:rsid w:val="00005883"/>
    <w:rsid w:val="00005927"/>
    <w:rsid w:val="00005970"/>
    <w:rsid w:val="000059B9"/>
    <w:rsid w:val="00005A7B"/>
    <w:rsid w:val="00005CF0"/>
    <w:rsid w:val="00005D20"/>
    <w:rsid w:val="00005DCF"/>
    <w:rsid w:val="00005F72"/>
    <w:rsid w:val="0000624E"/>
    <w:rsid w:val="00006252"/>
    <w:rsid w:val="0000626E"/>
    <w:rsid w:val="00006275"/>
    <w:rsid w:val="0000632C"/>
    <w:rsid w:val="0000650A"/>
    <w:rsid w:val="000066E9"/>
    <w:rsid w:val="0000693F"/>
    <w:rsid w:val="00006973"/>
    <w:rsid w:val="00006A0E"/>
    <w:rsid w:val="00006A46"/>
    <w:rsid w:val="00006D66"/>
    <w:rsid w:val="00006E23"/>
    <w:rsid w:val="00006EAF"/>
    <w:rsid w:val="00006EE3"/>
    <w:rsid w:val="00006F01"/>
    <w:rsid w:val="00007124"/>
    <w:rsid w:val="000071AA"/>
    <w:rsid w:val="0000747F"/>
    <w:rsid w:val="00007521"/>
    <w:rsid w:val="000075C4"/>
    <w:rsid w:val="0000763F"/>
    <w:rsid w:val="00007677"/>
    <w:rsid w:val="00007694"/>
    <w:rsid w:val="000077D2"/>
    <w:rsid w:val="0000785C"/>
    <w:rsid w:val="00007A2E"/>
    <w:rsid w:val="00007AC2"/>
    <w:rsid w:val="00007B7A"/>
    <w:rsid w:val="00007BE5"/>
    <w:rsid w:val="00007CC5"/>
    <w:rsid w:val="00007D62"/>
    <w:rsid w:val="00007EDB"/>
    <w:rsid w:val="0001004F"/>
    <w:rsid w:val="00010080"/>
    <w:rsid w:val="000101EF"/>
    <w:rsid w:val="00010295"/>
    <w:rsid w:val="000102E0"/>
    <w:rsid w:val="00010391"/>
    <w:rsid w:val="0001047B"/>
    <w:rsid w:val="00010507"/>
    <w:rsid w:val="00010522"/>
    <w:rsid w:val="000107EE"/>
    <w:rsid w:val="00010827"/>
    <w:rsid w:val="00010900"/>
    <w:rsid w:val="00010942"/>
    <w:rsid w:val="00010AE6"/>
    <w:rsid w:val="00010CE0"/>
    <w:rsid w:val="00010DB8"/>
    <w:rsid w:val="00010DF7"/>
    <w:rsid w:val="00010E42"/>
    <w:rsid w:val="00010F3E"/>
    <w:rsid w:val="00011025"/>
    <w:rsid w:val="00011075"/>
    <w:rsid w:val="0001111F"/>
    <w:rsid w:val="000111F8"/>
    <w:rsid w:val="000113D6"/>
    <w:rsid w:val="00011414"/>
    <w:rsid w:val="00011434"/>
    <w:rsid w:val="000115E3"/>
    <w:rsid w:val="00011621"/>
    <w:rsid w:val="00011784"/>
    <w:rsid w:val="00011837"/>
    <w:rsid w:val="00011A94"/>
    <w:rsid w:val="00011BA2"/>
    <w:rsid w:val="00011BB2"/>
    <w:rsid w:val="00011F9D"/>
    <w:rsid w:val="000121A1"/>
    <w:rsid w:val="000124FA"/>
    <w:rsid w:val="00012547"/>
    <w:rsid w:val="000125DC"/>
    <w:rsid w:val="0001273C"/>
    <w:rsid w:val="000127DE"/>
    <w:rsid w:val="00012A27"/>
    <w:rsid w:val="00012A74"/>
    <w:rsid w:val="00012AAF"/>
    <w:rsid w:val="00012B1C"/>
    <w:rsid w:val="00012B56"/>
    <w:rsid w:val="00012C49"/>
    <w:rsid w:val="00012D21"/>
    <w:rsid w:val="00012D99"/>
    <w:rsid w:val="00012DE7"/>
    <w:rsid w:val="0001328C"/>
    <w:rsid w:val="00013310"/>
    <w:rsid w:val="00013373"/>
    <w:rsid w:val="000134E4"/>
    <w:rsid w:val="00013586"/>
    <w:rsid w:val="000135E3"/>
    <w:rsid w:val="000135F9"/>
    <w:rsid w:val="0001375F"/>
    <w:rsid w:val="00013931"/>
    <w:rsid w:val="00013BDE"/>
    <w:rsid w:val="00013C4A"/>
    <w:rsid w:val="00013FC5"/>
    <w:rsid w:val="00014067"/>
    <w:rsid w:val="0001412E"/>
    <w:rsid w:val="0001429A"/>
    <w:rsid w:val="0001432C"/>
    <w:rsid w:val="0001449D"/>
    <w:rsid w:val="0001464A"/>
    <w:rsid w:val="000146EA"/>
    <w:rsid w:val="000149EB"/>
    <w:rsid w:val="00014ABA"/>
    <w:rsid w:val="00014B12"/>
    <w:rsid w:val="00014C13"/>
    <w:rsid w:val="00014CE8"/>
    <w:rsid w:val="00014D1E"/>
    <w:rsid w:val="00014D4E"/>
    <w:rsid w:val="00014DD0"/>
    <w:rsid w:val="00014F5E"/>
    <w:rsid w:val="00014F64"/>
    <w:rsid w:val="00015144"/>
    <w:rsid w:val="00015223"/>
    <w:rsid w:val="00015259"/>
    <w:rsid w:val="00015275"/>
    <w:rsid w:val="000152BE"/>
    <w:rsid w:val="000153ED"/>
    <w:rsid w:val="00015436"/>
    <w:rsid w:val="00015516"/>
    <w:rsid w:val="000157ED"/>
    <w:rsid w:val="00015AB7"/>
    <w:rsid w:val="00015AC3"/>
    <w:rsid w:val="00015CF6"/>
    <w:rsid w:val="00015E91"/>
    <w:rsid w:val="00015F88"/>
    <w:rsid w:val="00016023"/>
    <w:rsid w:val="000162A2"/>
    <w:rsid w:val="000162BB"/>
    <w:rsid w:val="0001633C"/>
    <w:rsid w:val="000163A9"/>
    <w:rsid w:val="0001647B"/>
    <w:rsid w:val="000164FA"/>
    <w:rsid w:val="00016509"/>
    <w:rsid w:val="00016524"/>
    <w:rsid w:val="00016591"/>
    <w:rsid w:val="00016781"/>
    <w:rsid w:val="000167D1"/>
    <w:rsid w:val="00016B0B"/>
    <w:rsid w:val="00016B49"/>
    <w:rsid w:val="00016B64"/>
    <w:rsid w:val="00016C0A"/>
    <w:rsid w:val="00016D3C"/>
    <w:rsid w:val="00016E5D"/>
    <w:rsid w:val="00016E79"/>
    <w:rsid w:val="00017014"/>
    <w:rsid w:val="00017047"/>
    <w:rsid w:val="000170AE"/>
    <w:rsid w:val="0001719F"/>
    <w:rsid w:val="00017296"/>
    <w:rsid w:val="000173BF"/>
    <w:rsid w:val="0001744E"/>
    <w:rsid w:val="00017469"/>
    <w:rsid w:val="0001770E"/>
    <w:rsid w:val="000177AC"/>
    <w:rsid w:val="00017830"/>
    <w:rsid w:val="000179AB"/>
    <w:rsid w:val="00017BED"/>
    <w:rsid w:val="00017CCA"/>
    <w:rsid w:val="00017D0C"/>
    <w:rsid w:val="00017DDE"/>
    <w:rsid w:val="0002018C"/>
    <w:rsid w:val="000201FF"/>
    <w:rsid w:val="00020241"/>
    <w:rsid w:val="00020321"/>
    <w:rsid w:val="000204FD"/>
    <w:rsid w:val="00020553"/>
    <w:rsid w:val="0002056B"/>
    <w:rsid w:val="000205A3"/>
    <w:rsid w:val="0002072E"/>
    <w:rsid w:val="00020778"/>
    <w:rsid w:val="0002077F"/>
    <w:rsid w:val="000207A1"/>
    <w:rsid w:val="000207E4"/>
    <w:rsid w:val="000208A7"/>
    <w:rsid w:val="000209FA"/>
    <w:rsid w:val="00020A3D"/>
    <w:rsid w:val="00020B94"/>
    <w:rsid w:val="00020C42"/>
    <w:rsid w:val="00020CE5"/>
    <w:rsid w:val="00020CFC"/>
    <w:rsid w:val="00020F42"/>
    <w:rsid w:val="00021048"/>
    <w:rsid w:val="000210F0"/>
    <w:rsid w:val="00021209"/>
    <w:rsid w:val="0002134E"/>
    <w:rsid w:val="00021378"/>
    <w:rsid w:val="000215AE"/>
    <w:rsid w:val="0002169F"/>
    <w:rsid w:val="00021728"/>
    <w:rsid w:val="00021746"/>
    <w:rsid w:val="00021752"/>
    <w:rsid w:val="00021789"/>
    <w:rsid w:val="0002196E"/>
    <w:rsid w:val="000219E2"/>
    <w:rsid w:val="00021AC3"/>
    <w:rsid w:val="00021B42"/>
    <w:rsid w:val="00021BEE"/>
    <w:rsid w:val="00021C3A"/>
    <w:rsid w:val="00021C50"/>
    <w:rsid w:val="00021C8F"/>
    <w:rsid w:val="00022195"/>
    <w:rsid w:val="00022245"/>
    <w:rsid w:val="000222BF"/>
    <w:rsid w:val="00022564"/>
    <w:rsid w:val="000226A0"/>
    <w:rsid w:val="000226B3"/>
    <w:rsid w:val="000226B4"/>
    <w:rsid w:val="000226E6"/>
    <w:rsid w:val="000227A2"/>
    <w:rsid w:val="000227CB"/>
    <w:rsid w:val="0002280D"/>
    <w:rsid w:val="000228E2"/>
    <w:rsid w:val="00022AA7"/>
    <w:rsid w:val="00022C37"/>
    <w:rsid w:val="00022C5C"/>
    <w:rsid w:val="00022EF5"/>
    <w:rsid w:val="00022F2A"/>
    <w:rsid w:val="00022FBB"/>
    <w:rsid w:val="0002304F"/>
    <w:rsid w:val="0002306A"/>
    <w:rsid w:val="000231C3"/>
    <w:rsid w:val="000231F4"/>
    <w:rsid w:val="000232B0"/>
    <w:rsid w:val="00023315"/>
    <w:rsid w:val="0002347F"/>
    <w:rsid w:val="0002348B"/>
    <w:rsid w:val="0002358D"/>
    <w:rsid w:val="0002367D"/>
    <w:rsid w:val="000237A4"/>
    <w:rsid w:val="00023803"/>
    <w:rsid w:val="0002393B"/>
    <w:rsid w:val="000239DB"/>
    <w:rsid w:val="00023B61"/>
    <w:rsid w:val="00023BC6"/>
    <w:rsid w:val="00023CC1"/>
    <w:rsid w:val="00023D22"/>
    <w:rsid w:val="00023D3D"/>
    <w:rsid w:val="00023DCB"/>
    <w:rsid w:val="0002400D"/>
    <w:rsid w:val="00024031"/>
    <w:rsid w:val="0002409D"/>
    <w:rsid w:val="00024157"/>
    <w:rsid w:val="000241EE"/>
    <w:rsid w:val="0002434D"/>
    <w:rsid w:val="000243A6"/>
    <w:rsid w:val="0002444B"/>
    <w:rsid w:val="00024452"/>
    <w:rsid w:val="0002453F"/>
    <w:rsid w:val="000245E7"/>
    <w:rsid w:val="00024602"/>
    <w:rsid w:val="0002469B"/>
    <w:rsid w:val="000246E6"/>
    <w:rsid w:val="000246E7"/>
    <w:rsid w:val="000247EA"/>
    <w:rsid w:val="00024863"/>
    <w:rsid w:val="000248E6"/>
    <w:rsid w:val="00024A28"/>
    <w:rsid w:val="00024A98"/>
    <w:rsid w:val="00024AD7"/>
    <w:rsid w:val="00024DB2"/>
    <w:rsid w:val="00024EF2"/>
    <w:rsid w:val="00025067"/>
    <w:rsid w:val="00025274"/>
    <w:rsid w:val="000252AC"/>
    <w:rsid w:val="000255D1"/>
    <w:rsid w:val="000255F5"/>
    <w:rsid w:val="00025614"/>
    <w:rsid w:val="00025704"/>
    <w:rsid w:val="00025A1D"/>
    <w:rsid w:val="00025BB6"/>
    <w:rsid w:val="00025D03"/>
    <w:rsid w:val="00025E2D"/>
    <w:rsid w:val="00025FAF"/>
    <w:rsid w:val="00025FBD"/>
    <w:rsid w:val="000262FF"/>
    <w:rsid w:val="00026397"/>
    <w:rsid w:val="0002674D"/>
    <w:rsid w:val="0002683A"/>
    <w:rsid w:val="00026A8E"/>
    <w:rsid w:val="00026D09"/>
    <w:rsid w:val="00026D0E"/>
    <w:rsid w:val="00026D54"/>
    <w:rsid w:val="00026DBA"/>
    <w:rsid w:val="0002709F"/>
    <w:rsid w:val="000271CE"/>
    <w:rsid w:val="0002725A"/>
    <w:rsid w:val="000272A5"/>
    <w:rsid w:val="00027346"/>
    <w:rsid w:val="0002740A"/>
    <w:rsid w:val="00027715"/>
    <w:rsid w:val="000277A6"/>
    <w:rsid w:val="00027A10"/>
    <w:rsid w:val="00027A2B"/>
    <w:rsid w:val="00027A3C"/>
    <w:rsid w:val="00027ABB"/>
    <w:rsid w:val="00027C47"/>
    <w:rsid w:val="00027CA6"/>
    <w:rsid w:val="00027CE1"/>
    <w:rsid w:val="00027D1E"/>
    <w:rsid w:val="00027DBE"/>
    <w:rsid w:val="00027E2D"/>
    <w:rsid w:val="00027EEF"/>
    <w:rsid w:val="00027F97"/>
    <w:rsid w:val="00027FD7"/>
    <w:rsid w:val="0003001B"/>
    <w:rsid w:val="0003001E"/>
    <w:rsid w:val="00030156"/>
    <w:rsid w:val="00030219"/>
    <w:rsid w:val="00030225"/>
    <w:rsid w:val="00030304"/>
    <w:rsid w:val="00030315"/>
    <w:rsid w:val="000303A5"/>
    <w:rsid w:val="00030419"/>
    <w:rsid w:val="0003057C"/>
    <w:rsid w:val="0003058B"/>
    <w:rsid w:val="0003060E"/>
    <w:rsid w:val="000308C8"/>
    <w:rsid w:val="000308CE"/>
    <w:rsid w:val="00030957"/>
    <w:rsid w:val="00030ABE"/>
    <w:rsid w:val="00030B07"/>
    <w:rsid w:val="00030B6A"/>
    <w:rsid w:val="00030B8B"/>
    <w:rsid w:val="00030B9C"/>
    <w:rsid w:val="00030B9F"/>
    <w:rsid w:val="00030C8D"/>
    <w:rsid w:val="00030D0D"/>
    <w:rsid w:val="00030DA5"/>
    <w:rsid w:val="00030F71"/>
    <w:rsid w:val="0003169E"/>
    <w:rsid w:val="0003172B"/>
    <w:rsid w:val="0003177B"/>
    <w:rsid w:val="000318BD"/>
    <w:rsid w:val="00031980"/>
    <w:rsid w:val="00031B59"/>
    <w:rsid w:val="00031BDD"/>
    <w:rsid w:val="00031C04"/>
    <w:rsid w:val="00031F3F"/>
    <w:rsid w:val="00032356"/>
    <w:rsid w:val="00032424"/>
    <w:rsid w:val="0003249C"/>
    <w:rsid w:val="00032551"/>
    <w:rsid w:val="000325A8"/>
    <w:rsid w:val="000325B9"/>
    <w:rsid w:val="000326B5"/>
    <w:rsid w:val="000326C8"/>
    <w:rsid w:val="00032760"/>
    <w:rsid w:val="0003279C"/>
    <w:rsid w:val="00032877"/>
    <w:rsid w:val="0003290E"/>
    <w:rsid w:val="000329ED"/>
    <w:rsid w:val="00032A09"/>
    <w:rsid w:val="00032D95"/>
    <w:rsid w:val="00032DEC"/>
    <w:rsid w:val="00032EA0"/>
    <w:rsid w:val="00032F50"/>
    <w:rsid w:val="0003320C"/>
    <w:rsid w:val="00033470"/>
    <w:rsid w:val="000334B4"/>
    <w:rsid w:val="000334E5"/>
    <w:rsid w:val="00033541"/>
    <w:rsid w:val="000335BD"/>
    <w:rsid w:val="000336D0"/>
    <w:rsid w:val="00033704"/>
    <w:rsid w:val="00033855"/>
    <w:rsid w:val="000339FD"/>
    <w:rsid w:val="00033A6B"/>
    <w:rsid w:val="00033A90"/>
    <w:rsid w:val="00033B3F"/>
    <w:rsid w:val="00033CAE"/>
    <w:rsid w:val="00033DD1"/>
    <w:rsid w:val="00033F74"/>
    <w:rsid w:val="00034052"/>
    <w:rsid w:val="00034057"/>
    <w:rsid w:val="00034106"/>
    <w:rsid w:val="0003412F"/>
    <w:rsid w:val="000341E5"/>
    <w:rsid w:val="00034297"/>
    <w:rsid w:val="000342D5"/>
    <w:rsid w:val="0003458C"/>
    <w:rsid w:val="000345A3"/>
    <w:rsid w:val="00034745"/>
    <w:rsid w:val="000347E4"/>
    <w:rsid w:val="00034849"/>
    <w:rsid w:val="000348CB"/>
    <w:rsid w:val="00034A98"/>
    <w:rsid w:val="00034B2D"/>
    <w:rsid w:val="00034D2E"/>
    <w:rsid w:val="00034D45"/>
    <w:rsid w:val="00034DB6"/>
    <w:rsid w:val="00034DBF"/>
    <w:rsid w:val="00035087"/>
    <w:rsid w:val="00035099"/>
    <w:rsid w:val="00035229"/>
    <w:rsid w:val="0003522C"/>
    <w:rsid w:val="00035314"/>
    <w:rsid w:val="000354B6"/>
    <w:rsid w:val="00035584"/>
    <w:rsid w:val="000356A1"/>
    <w:rsid w:val="0003571D"/>
    <w:rsid w:val="0003580D"/>
    <w:rsid w:val="00035AB7"/>
    <w:rsid w:val="00035D90"/>
    <w:rsid w:val="00035E82"/>
    <w:rsid w:val="000360D2"/>
    <w:rsid w:val="00036152"/>
    <w:rsid w:val="00036299"/>
    <w:rsid w:val="000362A8"/>
    <w:rsid w:val="00036346"/>
    <w:rsid w:val="00036533"/>
    <w:rsid w:val="000365C9"/>
    <w:rsid w:val="0003665A"/>
    <w:rsid w:val="000366F3"/>
    <w:rsid w:val="00036713"/>
    <w:rsid w:val="00036854"/>
    <w:rsid w:val="000368E1"/>
    <w:rsid w:val="000369EF"/>
    <w:rsid w:val="00036B28"/>
    <w:rsid w:val="00036B8A"/>
    <w:rsid w:val="00036CDB"/>
    <w:rsid w:val="00036E38"/>
    <w:rsid w:val="00036E3F"/>
    <w:rsid w:val="00036FC4"/>
    <w:rsid w:val="00037094"/>
    <w:rsid w:val="00037135"/>
    <w:rsid w:val="0003727D"/>
    <w:rsid w:val="00037307"/>
    <w:rsid w:val="000373F3"/>
    <w:rsid w:val="0003743F"/>
    <w:rsid w:val="000375DE"/>
    <w:rsid w:val="0003771E"/>
    <w:rsid w:val="000377CD"/>
    <w:rsid w:val="000377E8"/>
    <w:rsid w:val="000379C0"/>
    <w:rsid w:val="00037A44"/>
    <w:rsid w:val="00037A8A"/>
    <w:rsid w:val="00037AD6"/>
    <w:rsid w:val="00037BDE"/>
    <w:rsid w:val="00037D8C"/>
    <w:rsid w:val="00037F56"/>
    <w:rsid w:val="0004003B"/>
    <w:rsid w:val="00040110"/>
    <w:rsid w:val="00040146"/>
    <w:rsid w:val="000402AF"/>
    <w:rsid w:val="00040352"/>
    <w:rsid w:val="00040507"/>
    <w:rsid w:val="0004053C"/>
    <w:rsid w:val="000405C2"/>
    <w:rsid w:val="000405D4"/>
    <w:rsid w:val="0004065E"/>
    <w:rsid w:val="0004086A"/>
    <w:rsid w:val="00040879"/>
    <w:rsid w:val="000408E2"/>
    <w:rsid w:val="00040925"/>
    <w:rsid w:val="000409AB"/>
    <w:rsid w:val="00040A05"/>
    <w:rsid w:val="00040B0E"/>
    <w:rsid w:val="00040C39"/>
    <w:rsid w:val="00040C4B"/>
    <w:rsid w:val="00040DC0"/>
    <w:rsid w:val="00040E76"/>
    <w:rsid w:val="00040F2B"/>
    <w:rsid w:val="00041063"/>
    <w:rsid w:val="00041170"/>
    <w:rsid w:val="00041271"/>
    <w:rsid w:val="000412A9"/>
    <w:rsid w:val="00041373"/>
    <w:rsid w:val="000414B6"/>
    <w:rsid w:val="000414FE"/>
    <w:rsid w:val="0004164F"/>
    <w:rsid w:val="000417AA"/>
    <w:rsid w:val="00041872"/>
    <w:rsid w:val="0004199A"/>
    <w:rsid w:val="00041A51"/>
    <w:rsid w:val="00041A7C"/>
    <w:rsid w:val="00041C54"/>
    <w:rsid w:val="00041C72"/>
    <w:rsid w:val="00041D01"/>
    <w:rsid w:val="00041D6A"/>
    <w:rsid w:val="00041DFA"/>
    <w:rsid w:val="00041F37"/>
    <w:rsid w:val="00042270"/>
    <w:rsid w:val="000425E3"/>
    <w:rsid w:val="000426CE"/>
    <w:rsid w:val="000427B7"/>
    <w:rsid w:val="000427D8"/>
    <w:rsid w:val="00042957"/>
    <w:rsid w:val="000429D0"/>
    <w:rsid w:val="00042AD5"/>
    <w:rsid w:val="00042B97"/>
    <w:rsid w:val="00042F56"/>
    <w:rsid w:val="00042F9F"/>
    <w:rsid w:val="00043164"/>
    <w:rsid w:val="0004316F"/>
    <w:rsid w:val="00043223"/>
    <w:rsid w:val="000432E3"/>
    <w:rsid w:val="0004335D"/>
    <w:rsid w:val="000435A7"/>
    <w:rsid w:val="000435E3"/>
    <w:rsid w:val="00043634"/>
    <w:rsid w:val="00043648"/>
    <w:rsid w:val="000436FB"/>
    <w:rsid w:val="0004378B"/>
    <w:rsid w:val="000438A8"/>
    <w:rsid w:val="000438F7"/>
    <w:rsid w:val="00043920"/>
    <w:rsid w:val="0004394A"/>
    <w:rsid w:val="00043A26"/>
    <w:rsid w:val="00043BE5"/>
    <w:rsid w:val="00043CC3"/>
    <w:rsid w:val="00043D4F"/>
    <w:rsid w:val="00043F6A"/>
    <w:rsid w:val="000442D5"/>
    <w:rsid w:val="0004436E"/>
    <w:rsid w:val="00044377"/>
    <w:rsid w:val="000445CB"/>
    <w:rsid w:val="00044701"/>
    <w:rsid w:val="00044731"/>
    <w:rsid w:val="00044809"/>
    <w:rsid w:val="000449DB"/>
    <w:rsid w:val="00044A4E"/>
    <w:rsid w:val="00044B0E"/>
    <w:rsid w:val="00044B35"/>
    <w:rsid w:val="00044B57"/>
    <w:rsid w:val="00044BBE"/>
    <w:rsid w:val="00044D70"/>
    <w:rsid w:val="00044E11"/>
    <w:rsid w:val="00045094"/>
    <w:rsid w:val="0004515C"/>
    <w:rsid w:val="00045166"/>
    <w:rsid w:val="00045193"/>
    <w:rsid w:val="000451D3"/>
    <w:rsid w:val="00045361"/>
    <w:rsid w:val="000453C8"/>
    <w:rsid w:val="00045416"/>
    <w:rsid w:val="00045682"/>
    <w:rsid w:val="0004575C"/>
    <w:rsid w:val="00045864"/>
    <w:rsid w:val="00045980"/>
    <w:rsid w:val="00045A74"/>
    <w:rsid w:val="00045BFC"/>
    <w:rsid w:val="00045C0F"/>
    <w:rsid w:val="00045CA3"/>
    <w:rsid w:val="00045D93"/>
    <w:rsid w:val="00045DCE"/>
    <w:rsid w:val="00045E02"/>
    <w:rsid w:val="00045F01"/>
    <w:rsid w:val="00045F53"/>
    <w:rsid w:val="00045F7A"/>
    <w:rsid w:val="00045F9D"/>
    <w:rsid w:val="00046189"/>
    <w:rsid w:val="00046264"/>
    <w:rsid w:val="00046314"/>
    <w:rsid w:val="0004636F"/>
    <w:rsid w:val="000464F2"/>
    <w:rsid w:val="00046640"/>
    <w:rsid w:val="000468F4"/>
    <w:rsid w:val="00046A26"/>
    <w:rsid w:val="00046B17"/>
    <w:rsid w:val="00046B47"/>
    <w:rsid w:val="00046C6A"/>
    <w:rsid w:val="00046CB8"/>
    <w:rsid w:val="00046DA9"/>
    <w:rsid w:val="00046EB6"/>
    <w:rsid w:val="00047040"/>
    <w:rsid w:val="0004751D"/>
    <w:rsid w:val="000477AE"/>
    <w:rsid w:val="000477AF"/>
    <w:rsid w:val="000477DB"/>
    <w:rsid w:val="00047846"/>
    <w:rsid w:val="00047A9C"/>
    <w:rsid w:val="00047C03"/>
    <w:rsid w:val="00047DEA"/>
    <w:rsid w:val="00047FDA"/>
    <w:rsid w:val="00050217"/>
    <w:rsid w:val="000502F2"/>
    <w:rsid w:val="00050358"/>
    <w:rsid w:val="00050486"/>
    <w:rsid w:val="00050565"/>
    <w:rsid w:val="000506C7"/>
    <w:rsid w:val="000507E0"/>
    <w:rsid w:val="00050820"/>
    <w:rsid w:val="0005089A"/>
    <w:rsid w:val="00050A58"/>
    <w:rsid w:val="00050C27"/>
    <w:rsid w:val="00051174"/>
    <w:rsid w:val="00051231"/>
    <w:rsid w:val="00051368"/>
    <w:rsid w:val="0005150F"/>
    <w:rsid w:val="00051573"/>
    <w:rsid w:val="00051574"/>
    <w:rsid w:val="0005158C"/>
    <w:rsid w:val="00051598"/>
    <w:rsid w:val="0005165B"/>
    <w:rsid w:val="000516E5"/>
    <w:rsid w:val="000517D9"/>
    <w:rsid w:val="00051832"/>
    <w:rsid w:val="00051C5D"/>
    <w:rsid w:val="00051D04"/>
    <w:rsid w:val="000523AC"/>
    <w:rsid w:val="000523AF"/>
    <w:rsid w:val="00052409"/>
    <w:rsid w:val="00052458"/>
    <w:rsid w:val="00052511"/>
    <w:rsid w:val="000527BC"/>
    <w:rsid w:val="000528B6"/>
    <w:rsid w:val="000528CD"/>
    <w:rsid w:val="00052946"/>
    <w:rsid w:val="0005298A"/>
    <w:rsid w:val="00052A41"/>
    <w:rsid w:val="00052B98"/>
    <w:rsid w:val="00052D1D"/>
    <w:rsid w:val="00052D35"/>
    <w:rsid w:val="00052E05"/>
    <w:rsid w:val="0005300E"/>
    <w:rsid w:val="0005307B"/>
    <w:rsid w:val="00053082"/>
    <w:rsid w:val="00053177"/>
    <w:rsid w:val="0005319B"/>
    <w:rsid w:val="000532DD"/>
    <w:rsid w:val="0005345F"/>
    <w:rsid w:val="0005353B"/>
    <w:rsid w:val="00053630"/>
    <w:rsid w:val="0005366B"/>
    <w:rsid w:val="000536D1"/>
    <w:rsid w:val="000538AE"/>
    <w:rsid w:val="00053EB9"/>
    <w:rsid w:val="00053F38"/>
    <w:rsid w:val="00053FB3"/>
    <w:rsid w:val="000541A1"/>
    <w:rsid w:val="00054242"/>
    <w:rsid w:val="000542FE"/>
    <w:rsid w:val="00054315"/>
    <w:rsid w:val="00054354"/>
    <w:rsid w:val="0005456F"/>
    <w:rsid w:val="00054605"/>
    <w:rsid w:val="000547EB"/>
    <w:rsid w:val="0005494F"/>
    <w:rsid w:val="000549FA"/>
    <w:rsid w:val="00054B42"/>
    <w:rsid w:val="00054B43"/>
    <w:rsid w:val="00054E61"/>
    <w:rsid w:val="00054E97"/>
    <w:rsid w:val="000550DB"/>
    <w:rsid w:val="000552AD"/>
    <w:rsid w:val="00055355"/>
    <w:rsid w:val="00055382"/>
    <w:rsid w:val="0005540C"/>
    <w:rsid w:val="0005564D"/>
    <w:rsid w:val="00055671"/>
    <w:rsid w:val="0005575F"/>
    <w:rsid w:val="0005589C"/>
    <w:rsid w:val="00055946"/>
    <w:rsid w:val="000559F9"/>
    <w:rsid w:val="00055BB9"/>
    <w:rsid w:val="00055DBB"/>
    <w:rsid w:val="00055DE2"/>
    <w:rsid w:val="00055E28"/>
    <w:rsid w:val="00055F85"/>
    <w:rsid w:val="0005605A"/>
    <w:rsid w:val="00056270"/>
    <w:rsid w:val="00056457"/>
    <w:rsid w:val="0005663B"/>
    <w:rsid w:val="000567B5"/>
    <w:rsid w:val="00056813"/>
    <w:rsid w:val="000569F9"/>
    <w:rsid w:val="00056C94"/>
    <w:rsid w:val="00056DE4"/>
    <w:rsid w:val="000570A0"/>
    <w:rsid w:val="000570D1"/>
    <w:rsid w:val="00057139"/>
    <w:rsid w:val="0005716E"/>
    <w:rsid w:val="0005721F"/>
    <w:rsid w:val="00057278"/>
    <w:rsid w:val="0005731E"/>
    <w:rsid w:val="000574CE"/>
    <w:rsid w:val="0005757F"/>
    <w:rsid w:val="000577FE"/>
    <w:rsid w:val="000579C1"/>
    <w:rsid w:val="00057AC0"/>
    <w:rsid w:val="00057B07"/>
    <w:rsid w:val="00057B8F"/>
    <w:rsid w:val="00057C7E"/>
    <w:rsid w:val="00057D84"/>
    <w:rsid w:val="00057E6D"/>
    <w:rsid w:val="00057E6F"/>
    <w:rsid w:val="00057F78"/>
    <w:rsid w:val="00060218"/>
    <w:rsid w:val="00060231"/>
    <w:rsid w:val="00060255"/>
    <w:rsid w:val="0006030B"/>
    <w:rsid w:val="0006033C"/>
    <w:rsid w:val="00060382"/>
    <w:rsid w:val="00060399"/>
    <w:rsid w:val="000604DD"/>
    <w:rsid w:val="000604E5"/>
    <w:rsid w:val="00060527"/>
    <w:rsid w:val="0006052A"/>
    <w:rsid w:val="0006057B"/>
    <w:rsid w:val="000607B7"/>
    <w:rsid w:val="00060964"/>
    <w:rsid w:val="00060A60"/>
    <w:rsid w:val="00060A89"/>
    <w:rsid w:val="00060AAD"/>
    <w:rsid w:val="00060C60"/>
    <w:rsid w:val="00060DCF"/>
    <w:rsid w:val="00060EE9"/>
    <w:rsid w:val="00060F41"/>
    <w:rsid w:val="00060F56"/>
    <w:rsid w:val="00060FBC"/>
    <w:rsid w:val="0006109E"/>
    <w:rsid w:val="0006140E"/>
    <w:rsid w:val="000614D8"/>
    <w:rsid w:val="000615F2"/>
    <w:rsid w:val="00061734"/>
    <w:rsid w:val="00061823"/>
    <w:rsid w:val="000618C8"/>
    <w:rsid w:val="000618CE"/>
    <w:rsid w:val="0006192F"/>
    <w:rsid w:val="00061943"/>
    <w:rsid w:val="00061B2A"/>
    <w:rsid w:val="00061C3E"/>
    <w:rsid w:val="000621C8"/>
    <w:rsid w:val="0006221A"/>
    <w:rsid w:val="00062243"/>
    <w:rsid w:val="0006254E"/>
    <w:rsid w:val="00062595"/>
    <w:rsid w:val="000626A4"/>
    <w:rsid w:val="000627CB"/>
    <w:rsid w:val="00062837"/>
    <w:rsid w:val="00062839"/>
    <w:rsid w:val="000628E9"/>
    <w:rsid w:val="00062985"/>
    <w:rsid w:val="000629AB"/>
    <w:rsid w:val="00062B29"/>
    <w:rsid w:val="00062C0A"/>
    <w:rsid w:val="00062C49"/>
    <w:rsid w:val="00062D56"/>
    <w:rsid w:val="00062EBF"/>
    <w:rsid w:val="00062EE7"/>
    <w:rsid w:val="0006310A"/>
    <w:rsid w:val="00063213"/>
    <w:rsid w:val="00063345"/>
    <w:rsid w:val="000633F2"/>
    <w:rsid w:val="00063408"/>
    <w:rsid w:val="0006360E"/>
    <w:rsid w:val="0006363B"/>
    <w:rsid w:val="00063721"/>
    <w:rsid w:val="00063CE4"/>
    <w:rsid w:val="00063EA2"/>
    <w:rsid w:val="0006433E"/>
    <w:rsid w:val="00064396"/>
    <w:rsid w:val="000643F0"/>
    <w:rsid w:val="0006481A"/>
    <w:rsid w:val="000648A7"/>
    <w:rsid w:val="000648FF"/>
    <w:rsid w:val="000649C1"/>
    <w:rsid w:val="00064B7B"/>
    <w:rsid w:val="00064C6E"/>
    <w:rsid w:val="00064D23"/>
    <w:rsid w:val="00064F6D"/>
    <w:rsid w:val="00064FBA"/>
    <w:rsid w:val="00064FBB"/>
    <w:rsid w:val="0006534A"/>
    <w:rsid w:val="0006536C"/>
    <w:rsid w:val="00065432"/>
    <w:rsid w:val="0006555B"/>
    <w:rsid w:val="00065596"/>
    <w:rsid w:val="0006559D"/>
    <w:rsid w:val="0006562D"/>
    <w:rsid w:val="000657E9"/>
    <w:rsid w:val="00065948"/>
    <w:rsid w:val="000659C6"/>
    <w:rsid w:val="000659EE"/>
    <w:rsid w:val="00065A57"/>
    <w:rsid w:val="00065DEB"/>
    <w:rsid w:val="00065F7E"/>
    <w:rsid w:val="00065F9E"/>
    <w:rsid w:val="00065FEE"/>
    <w:rsid w:val="00066095"/>
    <w:rsid w:val="000660E4"/>
    <w:rsid w:val="00066195"/>
    <w:rsid w:val="000661C8"/>
    <w:rsid w:val="000661F2"/>
    <w:rsid w:val="00066351"/>
    <w:rsid w:val="00066420"/>
    <w:rsid w:val="0006647A"/>
    <w:rsid w:val="00066629"/>
    <w:rsid w:val="000669EC"/>
    <w:rsid w:val="00066B14"/>
    <w:rsid w:val="00066B38"/>
    <w:rsid w:val="00066BB2"/>
    <w:rsid w:val="00066BF4"/>
    <w:rsid w:val="00066CC7"/>
    <w:rsid w:val="00066D77"/>
    <w:rsid w:val="000671A5"/>
    <w:rsid w:val="00067300"/>
    <w:rsid w:val="000674D9"/>
    <w:rsid w:val="0006775F"/>
    <w:rsid w:val="0006776E"/>
    <w:rsid w:val="00067849"/>
    <w:rsid w:val="000678D9"/>
    <w:rsid w:val="000679DC"/>
    <w:rsid w:val="00067A6E"/>
    <w:rsid w:val="00067A89"/>
    <w:rsid w:val="00067F6E"/>
    <w:rsid w:val="00070045"/>
    <w:rsid w:val="00070064"/>
    <w:rsid w:val="00070117"/>
    <w:rsid w:val="0007012A"/>
    <w:rsid w:val="0007021F"/>
    <w:rsid w:val="0007038D"/>
    <w:rsid w:val="000703CB"/>
    <w:rsid w:val="0007045C"/>
    <w:rsid w:val="000704E9"/>
    <w:rsid w:val="0007053B"/>
    <w:rsid w:val="00070542"/>
    <w:rsid w:val="00070667"/>
    <w:rsid w:val="000706E2"/>
    <w:rsid w:val="000708A9"/>
    <w:rsid w:val="00070A1C"/>
    <w:rsid w:val="00070A6F"/>
    <w:rsid w:val="00070B0A"/>
    <w:rsid w:val="00070B56"/>
    <w:rsid w:val="00070BC0"/>
    <w:rsid w:val="00070D80"/>
    <w:rsid w:val="00070F13"/>
    <w:rsid w:val="00070FC1"/>
    <w:rsid w:val="00071168"/>
    <w:rsid w:val="000713C6"/>
    <w:rsid w:val="000713F3"/>
    <w:rsid w:val="00071406"/>
    <w:rsid w:val="00071551"/>
    <w:rsid w:val="000715D0"/>
    <w:rsid w:val="0007175A"/>
    <w:rsid w:val="00071830"/>
    <w:rsid w:val="000718BE"/>
    <w:rsid w:val="000718EC"/>
    <w:rsid w:val="00071916"/>
    <w:rsid w:val="00071A29"/>
    <w:rsid w:val="00071A4D"/>
    <w:rsid w:val="00071A7C"/>
    <w:rsid w:val="00071AB7"/>
    <w:rsid w:val="00071CA9"/>
    <w:rsid w:val="00071D48"/>
    <w:rsid w:val="00071D5C"/>
    <w:rsid w:val="00071DCD"/>
    <w:rsid w:val="00071E0A"/>
    <w:rsid w:val="00072126"/>
    <w:rsid w:val="000722EA"/>
    <w:rsid w:val="00072364"/>
    <w:rsid w:val="00072478"/>
    <w:rsid w:val="0007250F"/>
    <w:rsid w:val="00072623"/>
    <w:rsid w:val="00072A41"/>
    <w:rsid w:val="00072B11"/>
    <w:rsid w:val="00072BEA"/>
    <w:rsid w:val="00072C09"/>
    <w:rsid w:val="00072D13"/>
    <w:rsid w:val="00072EE4"/>
    <w:rsid w:val="00073021"/>
    <w:rsid w:val="00073097"/>
    <w:rsid w:val="000732EA"/>
    <w:rsid w:val="0007361D"/>
    <w:rsid w:val="0007369A"/>
    <w:rsid w:val="000737E0"/>
    <w:rsid w:val="00073871"/>
    <w:rsid w:val="00073892"/>
    <w:rsid w:val="0007390B"/>
    <w:rsid w:val="00073992"/>
    <w:rsid w:val="00073A73"/>
    <w:rsid w:val="00073C62"/>
    <w:rsid w:val="00073D39"/>
    <w:rsid w:val="00073DE9"/>
    <w:rsid w:val="00073E27"/>
    <w:rsid w:val="00073E31"/>
    <w:rsid w:val="00073F73"/>
    <w:rsid w:val="000740F0"/>
    <w:rsid w:val="00074119"/>
    <w:rsid w:val="000744AE"/>
    <w:rsid w:val="000744EA"/>
    <w:rsid w:val="000747E8"/>
    <w:rsid w:val="0007494D"/>
    <w:rsid w:val="00074967"/>
    <w:rsid w:val="00074B05"/>
    <w:rsid w:val="00074B07"/>
    <w:rsid w:val="00074B19"/>
    <w:rsid w:val="00074D19"/>
    <w:rsid w:val="00074D5D"/>
    <w:rsid w:val="00074DAB"/>
    <w:rsid w:val="00074E8E"/>
    <w:rsid w:val="000750A6"/>
    <w:rsid w:val="000750E8"/>
    <w:rsid w:val="00075101"/>
    <w:rsid w:val="00075128"/>
    <w:rsid w:val="00075282"/>
    <w:rsid w:val="000752AE"/>
    <w:rsid w:val="0007536F"/>
    <w:rsid w:val="0007546C"/>
    <w:rsid w:val="000755C4"/>
    <w:rsid w:val="00075796"/>
    <w:rsid w:val="000757C2"/>
    <w:rsid w:val="00075820"/>
    <w:rsid w:val="0007595D"/>
    <w:rsid w:val="000759F1"/>
    <w:rsid w:val="00075AE9"/>
    <w:rsid w:val="00075C01"/>
    <w:rsid w:val="00075D55"/>
    <w:rsid w:val="00075D9B"/>
    <w:rsid w:val="00075F15"/>
    <w:rsid w:val="000761B5"/>
    <w:rsid w:val="000764EF"/>
    <w:rsid w:val="0007656C"/>
    <w:rsid w:val="0007658E"/>
    <w:rsid w:val="0007679E"/>
    <w:rsid w:val="00076815"/>
    <w:rsid w:val="000768E8"/>
    <w:rsid w:val="00076965"/>
    <w:rsid w:val="000769F2"/>
    <w:rsid w:val="00076A10"/>
    <w:rsid w:val="00076AC7"/>
    <w:rsid w:val="00076B5D"/>
    <w:rsid w:val="00076BDD"/>
    <w:rsid w:val="00076BED"/>
    <w:rsid w:val="00076C91"/>
    <w:rsid w:val="00076E24"/>
    <w:rsid w:val="00076EA9"/>
    <w:rsid w:val="00076ED0"/>
    <w:rsid w:val="00077141"/>
    <w:rsid w:val="00077249"/>
    <w:rsid w:val="00077383"/>
    <w:rsid w:val="0007738B"/>
    <w:rsid w:val="00077399"/>
    <w:rsid w:val="000779F3"/>
    <w:rsid w:val="00077A73"/>
    <w:rsid w:val="00077B3C"/>
    <w:rsid w:val="00077BF8"/>
    <w:rsid w:val="00077C5E"/>
    <w:rsid w:val="00077CC3"/>
    <w:rsid w:val="00077D68"/>
    <w:rsid w:val="00077ED9"/>
    <w:rsid w:val="00077EF0"/>
    <w:rsid w:val="00077F11"/>
    <w:rsid w:val="00077F86"/>
    <w:rsid w:val="00080126"/>
    <w:rsid w:val="000801C8"/>
    <w:rsid w:val="0008033C"/>
    <w:rsid w:val="00080365"/>
    <w:rsid w:val="000804BF"/>
    <w:rsid w:val="00080612"/>
    <w:rsid w:val="000806D1"/>
    <w:rsid w:val="0008080D"/>
    <w:rsid w:val="0008092C"/>
    <w:rsid w:val="00080947"/>
    <w:rsid w:val="0008097F"/>
    <w:rsid w:val="00080A92"/>
    <w:rsid w:val="00080B03"/>
    <w:rsid w:val="00080C73"/>
    <w:rsid w:val="00080E2A"/>
    <w:rsid w:val="00080EE7"/>
    <w:rsid w:val="00080F31"/>
    <w:rsid w:val="000810CA"/>
    <w:rsid w:val="000810FA"/>
    <w:rsid w:val="000812AB"/>
    <w:rsid w:val="000812E6"/>
    <w:rsid w:val="0008133A"/>
    <w:rsid w:val="000813B0"/>
    <w:rsid w:val="00081435"/>
    <w:rsid w:val="000815C9"/>
    <w:rsid w:val="000815D7"/>
    <w:rsid w:val="00081631"/>
    <w:rsid w:val="00081721"/>
    <w:rsid w:val="00081807"/>
    <w:rsid w:val="0008192F"/>
    <w:rsid w:val="00081C73"/>
    <w:rsid w:val="00081ED9"/>
    <w:rsid w:val="00081F18"/>
    <w:rsid w:val="00081FA5"/>
    <w:rsid w:val="0008210E"/>
    <w:rsid w:val="0008213F"/>
    <w:rsid w:val="00082823"/>
    <w:rsid w:val="00082892"/>
    <w:rsid w:val="00082981"/>
    <w:rsid w:val="000829F9"/>
    <w:rsid w:val="00082B33"/>
    <w:rsid w:val="00082BA0"/>
    <w:rsid w:val="00082C09"/>
    <w:rsid w:val="00082DD4"/>
    <w:rsid w:val="00082DF5"/>
    <w:rsid w:val="00082F0F"/>
    <w:rsid w:val="000830CA"/>
    <w:rsid w:val="000831CC"/>
    <w:rsid w:val="00083262"/>
    <w:rsid w:val="00083270"/>
    <w:rsid w:val="000832B8"/>
    <w:rsid w:val="000834F4"/>
    <w:rsid w:val="0008353C"/>
    <w:rsid w:val="00083735"/>
    <w:rsid w:val="000838DC"/>
    <w:rsid w:val="000839AE"/>
    <w:rsid w:val="000839BD"/>
    <w:rsid w:val="00083AD0"/>
    <w:rsid w:val="00083BE6"/>
    <w:rsid w:val="00083D54"/>
    <w:rsid w:val="00083E76"/>
    <w:rsid w:val="00083EF4"/>
    <w:rsid w:val="00083F88"/>
    <w:rsid w:val="00083FD7"/>
    <w:rsid w:val="00084083"/>
    <w:rsid w:val="0008414B"/>
    <w:rsid w:val="00084255"/>
    <w:rsid w:val="00084277"/>
    <w:rsid w:val="000846C1"/>
    <w:rsid w:val="00084891"/>
    <w:rsid w:val="000849B5"/>
    <w:rsid w:val="00084B16"/>
    <w:rsid w:val="00084D30"/>
    <w:rsid w:val="00084DAA"/>
    <w:rsid w:val="00084DDB"/>
    <w:rsid w:val="00084DF2"/>
    <w:rsid w:val="00084EB4"/>
    <w:rsid w:val="00084FAA"/>
    <w:rsid w:val="000850AC"/>
    <w:rsid w:val="00085132"/>
    <w:rsid w:val="000853EE"/>
    <w:rsid w:val="000855BF"/>
    <w:rsid w:val="0008565B"/>
    <w:rsid w:val="0008570D"/>
    <w:rsid w:val="000858AE"/>
    <w:rsid w:val="00085A43"/>
    <w:rsid w:val="00085B04"/>
    <w:rsid w:val="00085C8B"/>
    <w:rsid w:val="00085D79"/>
    <w:rsid w:val="00085E49"/>
    <w:rsid w:val="00085FB0"/>
    <w:rsid w:val="000860B8"/>
    <w:rsid w:val="000860DD"/>
    <w:rsid w:val="0008644A"/>
    <w:rsid w:val="00086463"/>
    <w:rsid w:val="0008670D"/>
    <w:rsid w:val="00086837"/>
    <w:rsid w:val="00086B6F"/>
    <w:rsid w:val="00086BD7"/>
    <w:rsid w:val="00086DE9"/>
    <w:rsid w:val="00086FC6"/>
    <w:rsid w:val="00086FEE"/>
    <w:rsid w:val="0008706C"/>
    <w:rsid w:val="000870FB"/>
    <w:rsid w:val="000871C7"/>
    <w:rsid w:val="00087218"/>
    <w:rsid w:val="00087355"/>
    <w:rsid w:val="0008751A"/>
    <w:rsid w:val="00087B55"/>
    <w:rsid w:val="00087DE7"/>
    <w:rsid w:val="00087E88"/>
    <w:rsid w:val="00087ED9"/>
    <w:rsid w:val="00087F69"/>
    <w:rsid w:val="00090206"/>
    <w:rsid w:val="00090221"/>
    <w:rsid w:val="00090273"/>
    <w:rsid w:val="00090307"/>
    <w:rsid w:val="0009060F"/>
    <w:rsid w:val="00090611"/>
    <w:rsid w:val="00090655"/>
    <w:rsid w:val="000906F0"/>
    <w:rsid w:val="00090737"/>
    <w:rsid w:val="000908DE"/>
    <w:rsid w:val="000908E5"/>
    <w:rsid w:val="00090EBB"/>
    <w:rsid w:val="00090F76"/>
    <w:rsid w:val="0009112E"/>
    <w:rsid w:val="00091137"/>
    <w:rsid w:val="0009117C"/>
    <w:rsid w:val="00091450"/>
    <w:rsid w:val="000914EC"/>
    <w:rsid w:val="0009153E"/>
    <w:rsid w:val="00091636"/>
    <w:rsid w:val="00091793"/>
    <w:rsid w:val="000917F4"/>
    <w:rsid w:val="0009196F"/>
    <w:rsid w:val="00091A4E"/>
    <w:rsid w:val="00091B6B"/>
    <w:rsid w:val="00091C88"/>
    <w:rsid w:val="00091E24"/>
    <w:rsid w:val="00091FC7"/>
    <w:rsid w:val="00091FD0"/>
    <w:rsid w:val="000920C5"/>
    <w:rsid w:val="000921C7"/>
    <w:rsid w:val="00092331"/>
    <w:rsid w:val="00092500"/>
    <w:rsid w:val="00092573"/>
    <w:rsid w:val="000925C7"/>
    <w:rsid w:val="00092622"/>
    <w:rsid w:val="000928C8"/>
    <w:rsid w:val="00092A93"/>
    <w:rsid w:val="00092B8D"/>
    <w:rsid w:val="00092CFE"/>
    <w:rsid w:val="00092D68"/>
    <w:rsid w:val="00092DD5"/>
    <w:rsid w:val="00092F72"/>
    <w:rsid w:val="000930E2"/>
    <w:rsid w:val="00093218"/>
    <w:rsid w:val="000932E8"/>
    <w:rsid w:val="000932F3"/>
    <w:rsid w:val="00093341"/>
    <w:rsid w:val="00093381"/>
    <w:rsid w:val="0009348D"/>
    <w:rsid w:val="00093545"/>
    <w:rsid w:val="000936C0"/>
    <w:rsid w:val="0009371E"/>
    <w:rsid w:val="000937B9"/>
    <w:rsid w:val="000937F0"/>
    <w:rsid w:val="000938E0"/>
    <w:rsid w:val="000938E3"/>
    <w:rsid w:val="000938F7"/>
    <w:rsid w:val="00093993"/>
    <w:rsid w:val="00093B5D"/>
    <w:rsid w:val="00093C09"/>
    <w:rsid w:val="00093E9A"/>
    <w:rsid w:val="00093F2B"/>
    <w:rsid w:val="00093FEB"/>
    <w:rsid w:val="000943B1"/>
    <w:rsid w:val="000944CC"/>
    <w:rsid w:val="000945BD"/>
    <w:rsid w:val="0009470E"/>
    <w:rsid w:val="000948E6"/>
    <w:rsid w:val="00094A96"/>
    <w:rsid w:val="00094BF7"/>
    <w:rsid w:val="00094D8B"/>
    <w:rsid w:val="00094E36"/>
    <w:rsid w:val="00094E6C"/>
    <w:rsid w:val="00094E75"/>
    <w:rsid w:val="00094F38"/>
    <w:rsid w:val="00094F52"/>
    <w:rsid w:val="00094FB6"/>
    <w:rsid w:val="0009502F"/>
    <w:rsid w:val="0009527C"/>
    <w:rsid w:val="00095314"/>
    <w:rsid w:val="0009532B"/>
    <w:rsid w:val="00095370"/>
    <w:rsid w:val="0009537C"/>
    <w:rsid w:val="000953F5"/>
    <w:rsid w:val="0009542F"/>
    <w:rsid w:val="00095504"/>
    <w:rsid w:val="00095596"/>
    <w:rsid w:val="00095991"/>
    <w:rsid w:val="000959F9"/>
    <w:rsid w:val="00095A4E"/>
    <w:rsid w:val="00095A80"/>
    <w:rsid w:val="00095AF3"/>
    <w:rsid w:val="00095B8B"/>
    <w:rsid w:val="00095BB2"/>
    <w:rsid w:val="00095BCC"/>
    <w:rsid w:val="00095FD3"/>
    <w:rsid w:val="00096134"/>
    <w:rsid w:val="000962C7"/>
    <w:rsid w:val="000963A4"/>
    <w:rsid w:val="00096459"/>
    <w:rsid w:val="0009647B"/>
    <w:rsid w:val="000964B4"/>
    <w:rsid w:val="0009663F"/>
    <w:rsid w:val="000966EE"/>
    <w:rsid w:val="0009671D"/>
    <w:rsid w:val="00096860"/>
    <w:rsid w:val="000968A0"/>
    <w:rsid w:val="00096907"/>
    <w:rsid w:val="00096AB2"/>
    <w:rsid w:val="00096AC8"/>
    <w:rsid w:val="00096B9B"/>
    <w:rsid w:val="00096C0B"/>
    <w:rsid w:val="00096C55"/>
    <w:rsid w:val="00096D16"/>
    <w:rsid w:val="00096E61"/>
    <w:rsid w:val="00096E79"/>
    <w:rsid w:val="00096F1B"/>
    <w:rsid w:val="00096F48"/>
    <w:rsid w:val="000971A5"/>
    <w:rsid w:val="000972EE"/>
    <w:rsid w:val="0009734A"/>
    <w:rsid w:val="0009743A"/>
    <w:rsid w:val="00097447"/>
    <w:rsid w:val="00097458"/>
    <w:rsid w:val="000977D3"/>
    <w:rsid w:val="000977D5"/>
    <w:rsid w:val="00097906"/>
    <w:rsid w:val="00097B0B"/>
    <w:rsid w:val="00097B80"/>
    <w:rsid w:val="00097C28"/>
    <w:rsid w:val="00097DD7"/>
    <w:rsid w:val="00097F0D"/>
    <w:rsid w:val="000A0013"/>
    <w:rsid w:val="000A005E"/>
    <w:rsid w:val="000A02E5"/>
    <w:rsid w:val="000A0491"/>
    <w:rsid w:val="000A0540"/>
    <w:rsid w:val="000A0644"/>
    <w:rsid w:val="000A07E5"/>
    <w:rsid w:val="000A08B2"/>
    <w:rsid w:val="000A0970"/>
    <w:rsid w:val="000A0983"/>
    <w:rsid w:val="000A09D2"/>
    <w:rsid w:val="000A0A56"/>
    <w:rsid w:val="000A0A78"/>
    <w:rsid w:val="000A0CA6"/>
    <w:rsid w:val="000A0CFA"/>
    <w:rsid w:val="000A0D72"/>
    <w:rsid w:val="000A0E4F"/>
    <w:rsid w:val="000A0EE3"/>
    <w:rsid w:val="000A122C"/>
    <w:rsid w:val="000A1248"/>
    <w:rsid w:val="000A1285"/>
    <w:rsid w:val="000A12A6"/>
    <w:rsid w:val="000A12BF"/>
    <w:rsid w:val="000A16DF"/>
    <w:rsid w:val="000A1859"/>
    <w:rsid w:val="000A1A5A"/>
    <w:rsid w:val="000A1CAD"/>
    <w:rsid w:val="000A1DDD"/>
    <w:rsid w:val="000A1DFF"/>
    <w:rsid w:val="000A1F47"/>
    <w:rsid w:val="000A220D"/>
    <w:rsid w:val="000A2237"/>
    <w:rsid w:val="000A2385"/>
    <w:rsid w:val="000A23CA"/>
    <w:rsid w:val="000A2488"/>
    <w:rsid w:val="000A2617"/>
    <w:rsid w:val="000A26FB"/>
    <w:rsid w:val="000A277D"/>
    <w:rsid w:val="000A29AA"/>
    <w:rsid w:val="000A2C60"/>
    <w:rsid w:val="000A2DB3"/>
    <w:rsid w:val="000A2EA5"/>
    <w:rsid w:val="000A3020"/>
    <w:rsid w:val="000A33F9"/>
    <w:rsid w:val="000A3453"/>
    <w:rsid w:val="000A34F2"/>
    <w:rsid w:val="000A3504"/>
    <w:rsid w:val="000A368A"/>
    <w:rsid w:val="000A3928"/>
    <w:rsid w:val="000A3998"/>
    <w:rsid w:val="000A3A81"/>
    <w:rsid w:val="000A3B8C"/>
    <w:rsid w:val="000A3B98"/>
    <w:rsid w:val="000A3DC6"/>
    <w:rsid w:val="000A3DDD"/>
    <w:rsid w:val="000A3E54"/>
    <w:rsid w:val="000A41C0"/>
    <w:rsid w:val="000A426D"/>
    <w:rsid w:val="000A440F"/>
    <w:rsid w:val="000A44EB"/>
    <w:rsid w:val="000A484B"/>
    <w:rsid w:val="000A4AAE"/>
    <w:rsid w:val="000A4AC7"/>
    <w:rsid w:val="000A4C1B"/>
    <w:rsid w:val="000A4D33"/>
    <w:rsid w:val="000A4D49"/>
    <w:rsid w:val="000A4E9B"/>
    <w:rsid w:val="000A4EC3"/>
    <w:rsid w:val="000A4EC6"/>
    <w:rsid w:val="000A504F"/>
    <w:rsid w:val="000A50AF"/>
    <w:rsid w:val="000A51A7"/>
    <w:rsid w:val="000A5331"/>
    <w:rsid w:val="000A536D"/>
    <w:rsid w:val="000A541E"/>
    <w:rsid w:val="000A5474"/>
    <w:rsid w:val="000A570C"/>
    <w:rsid w:val="000A57C5"/>
    <w:rsid w:val="000A5878"/>
    <w:rsid w:val="000A591F"/>
    <w:rsid w:val="000A5A4C"/>
    <w:rsid w:val="000A5A66"/>
    <w:rsid w:val="000A5B3D"/>
    <w:rsid w:val="000A6036"/>
    <w:rsid w:val="000A60A6"/>
    <w:rsid w:val="000A615C"/>
    <w:rsid w:val="000A62E9"/>
    <w:rsid w:val="000A65EC"/>
    <w:rsid w:val="000A6622"/>
    <w:rsid w:val="000A6653"/>
    <w:rsid w:val="000A66AC"/>
    <w:rsid w:val="000A66CA"/>
    <w:rsid w:val="000A6981"/>
    <w:rsid w:val="000A69F1"/>
    <w:rsid w:val="000A6A93"/>
    <w:rsid w:val="000A6B04"/>
    <w:rsid w:val="000A6B99"/>
    <w:rsid w:val="000A6C84"/>
    <w:rsid w:val="000A6D2B"/>
    <w:rsid w:val="000A6DCB"/>
    <w:rsid w:val="000A6E75"/>
    <w:rsid w:val="000A6E7E"/>
    <w:rsid w:val="000A6E8F"/>
    <w:rsid w:val="000A6F11"/>
    <w:rsid w:val="000A70F8"/>
    <w:rsid w:val="000A70FC"/>
    <w:rsid w:val="000A718A"/>
    <w:rsid w:val="000A71B1"/>
    <w:rsid w:val="000A7205"/>
    <w:rsid w:val="000A725D"/>
    <w:rsid w:val="000A7271"/>
    <w:rsid w:val="000A72C5"/>
    <w:rsid w:val="000A7530"/>
    <w:rsid w:val="000A7637"/>
    <w:rsid w:val="000A7870"/>
    <w:rsid w:val="000A7B04"/>
    <w:rsid w:val="000A7B6F"/>
    <w:rsid w:val="000A7BFE"/>
    <w:rsid w:val="000A7CFD"/>
    <w:rsid w:val="000A7DF6"/>
    <w:rsid w:val="000A7E09"/>
    <w:rsid w:val="000A7E36"/>
    <w:rsid w:val="000A7F8B"/>
    <w:rsid w:val="000B0052"/>
    <w:rsid w:val="000B0105"/>
    <w:rsid w:val="000B014C"/>
    <w:rsid w:val="000B0204"/>
    <w:rsid w:val="000B021F"/>
    <w:rsid w:val="000B022E"/>
    <w:rsid w:val="000B023A"/>
    <w:rsid w:val="000B0A87"/>
    <w:rsid w:val="000B0D27"/>
    <w:rsid w:val="000B0EAF"/>
    <w:rsid w:val="000B0F91"/>
    <w:rsid w:val="000B0FD9"/>
    <w:rsid w:val="000B11DE"/>
    <w:rsid w:val="000B13B7"/>
    <w:rsid w:val="000B1702"/>
    <w:rsid w:val="000B176F"/>
    <w:rsid w:val="000B177B"/>
    <w:rsid w:val="000B1821"/>
    <w:rsid w:val="000B18F2"/>
    <w:rsid w:val="000B1A5F"/>
    <w:rsid w:val="000B1B01"/>
    <w:rsid w:val="000B1B5F"/>
    <w:rsid w:val="000B1C7D"/>
    <w:rsid w:val="000B1D48"/>
    <w:rsid w:val="000B1DFF"/>
    <w:rsid w:val="000B1EA0"/>
    <w:rsid w:val="000B1F0B"/>
    <w:rsid w:val="000B1F93"/>
    <w:rsid w:val="000B2101"/>
    <w:rsid w:val="000B219E"/>
    <w:rsid w:val="000B2460"/>
    <w:rsid w:val="000B249E"/>
    <w:rsid w:val="000B24FC"/>
    <w:rsid w:val="000B2658"/>
    <w:rsid w:val="000B272D"/>
    <w:rsid w:val="000B278F"/>
    <w:rsid w:val="000B2795"/>
    <w:rsid w:val="000B2C62"/>
    <w:rsid w:val="000B2C6C"/>
    <w:rsid w:val="000B2D56"/>
    <w:rsid w:val="000B3032"/>
    <w:rsid w:val="000B3293"/>
    <w:rsid w:val="000B3485"/>
    <w:rsid w:val="000B363B"/>
    <w:rsid w:val="000B3700"/>
    <w:rsid w:val="000B37B7"/>
    <w:rsid w:val="000B38AB"/>
    <w:rsid w:val="000B3990"/>
    <w:rsid w:val="000B3C65"/>
    <w:rsid w:val="000B3D90"/>
    <w:rsid w:val="000B3DBD"/>
    <w:rsid w:val="000B4011"/>
    <w:rsid w:val="000B4233"/>
    <w:rsid w:val="000B4284"/>
    <w:rsid w:val="000B453A"/>
    <w:rsid w:val="000B487E"/>
    <w:rsid w:val="000B4B36"/>
    <w:rsid w:val="000B4BD1"/>
    <w:rsid w:val="000B4C3C"/>
    <w:rsid w:val="000B4DA9"/>
    <w:rsid w:val="000B4E2D"/>
    <w:rsid w:val="000B4E46"/>
    <w:rsid w:val="000B50BF"/>
    <w:rsid w:val="000B5693"/>
    <w:rsid w:val="000B56BA"/>
    <w:rsid w:val="000B56BF"/>
    <w:rsid w:val="000B56FB"/>
    <w:rsid w:val="000B57E0"/>
    <w:rsid w:val="000B5856"/>
    <w:rsid w:val="000B5A26"/>
    <w:rsid w:val="000B5A2E"/>
    <w:rsid w:val="000B5ABC"/>
    <w:rsid w:val="000B5B1E"/>
    <w:rsid w:val="000B5C8D"/>
    <w:rsid w:val="000B5DB0"/>
    <w:rsid w:val="000B5E65"/>
    <w:rsid w:val="000B628D"/>
    <w:rsid w:val="000B643C"/>
    <w:rsid w:val="000B64CA"/>
    <w:rsid w:val="000B6802"/>
    <w:rsid w:val="000B68CD"/>
    <w:rsid w:val="000B6BC6"/>
    <w:rsid w:val="000B6F1E"/>
    <w:rsid w:val="000B6F66"/>
    <w:rsid w:val="000B7179"/>
    <w:rsid w:val="000B72CA"/>
    <w:rsid w:val="000B7332"/>
    <w:rsid w:val="000B738B"/>
    <w:rsid w:val="000B74D1"/>
    <w:rsid w:val="000B755D"/>
    <w:rsid w:val="000B786F"/>
    <w:rsid w:val="000B7AF6"/>
    <w:rsid w:val="000B7CAB"/>
    <w:rsid w:val="000B7CC4"/>
    <w:rsid w:val="000B7E03"/>
    <w:rsid w:val="000B7EDF"/>
    <w:rsid w:val="000C0129"/>
    <w:rsid w:val="000C0254"/>
    <w:rsid w:val="000C0383"/>
    <w:rsid w:val="000C051B"/>
    <w:rsid w:val="000C06C5"/>
    <w:rsid w:val="000C0785"/>
    <w:rsid w:val="000C078C"/>
    <w:rsid w:val="000C0A93"/>
    <w:rsid w:val="000C0B77"/>
    <w:rsid w:val="000C0BDC"/>
    <w:rsid w:val="000C0CEB"/>
    <w:rsid w:val="000C0D93"/>
    <w:rsid w:val="000C0E1F"/>
    <w:rsid w:val="000C0F76"/>
    <w:rsid w:val="000C1114"/>
    <w:rsid w:val="000C118E"/>
    <w:rsid w:val="000C11EA"/>
    <w:rsid w:val="000C131F"/>
    <w:rsid w:val="000C1337"/>
    <w:rsid w:val="000C160A"/>
    <w:rsid w:val="000C1661"/>
    <w:rsid w:val="000C1681"/>
    <w:rsid w:val="000C17BA"/>
    <w:rsid w:val="000C18F8"/>
    <w:rsid w:val="000C198C"/>
    <w:rsid w:val="000C1B1F"/>
    <w:rsid w:val="000C1BDA"/>
    <w:rsid w:val="000C1D54"/>
    <w:rsid w:val="000C1E3E"/>
    <w:rsid w:val="000C1E40"/>
    <w:rsid w:val="000C1F0C"/>
    <w:rsid w:val="000C1F4B"/>
    <w:rsid w:val="000C1F50"/>
    <w:rsid w:val="000C2020"/>
    <w:rsid w:val="000C2046"/>
    <w:rsid w:val="000C2083"/>
    <w:rsid w:val="000C20A7"/>
    <w:rsid w:val="000C24E7"/>
    <w:rsid w:val="000C2543"/>
    <w:rsid w:val="000C259B"/>
    <w:rsid w:val="000C264C"/>
    <w:rsid w:val="000C26A0"/>
    <w:rsid w:val="000C26C4"/>
    <w:rsid w:val="000C26E2"/>
    <w:rsid w:val="000C26E8"/>
    <w:rsid w:val="000C2954"/>
    <w:rsid w:val="000C2C22"/>
    <w:rsid w:val="000C2C70"/>
    <w:rsid w:val="000C31B9"/>
    <w:rsid w:val="000C31E0"/>
    <w:rsid w:val="000C31F0"/>
    <w:rsid w:val="000C345F"/>
    <w:rsid w:val="000C352D"/>
    <w:rsid w:val="000C3662"/>
    <w:rsid w:val="000C36E7"/>
    <w:rsid w:val="000C38CB"/>
    <w:rsid w:val="000C38D5"/>
    <w:rsid w:val="000C38D9"/>
    <w:rsid w:val="000C39EE"/>
    <w:rsid w:val="000C3CA0"/>
    <w:rsid w:val="000C3D49"/>
    <w:rsid w:val="000C4250"/>
    <w:rsid w:val="000C44CC"/>
    <w:rsid w:val="000C45B1"/>
    <w:rsid w:val="000C4651"/>
    <w:rsid w:val="000C4CD2"/>
    <w:rsid w:val="000C4CDB"/>
    <w:rsid w:val="000C4D1E"/>
    <w:rsid w:val="000C4D2B"/>
    <w:rsid w:val="000C4D66"/>
    <w:rsid w:val="000C4EEB"/>
    <w:rsid w:val="000C51EE"/>
    <w:rsid w:val="000C5219"/>
    <w:rsid w:val="000C5240"/>
    <w:rsid w:val="000C5473"/>
    <w:rsid w:val="000C5483"/>
    <w:rsid w:val="000C5745"/>
    <w:rsid w:val="000C598B"/>
    <w:rsid w:val="000C5A78"/>
    <w:rsid w:val="000C5B4C"/>
    <w:rsid w:val="000C5C40"/>
    <w:rsid w:val="000C5EC3"/>
    <w:rsid w:val="000C5F01"/>
    <w:rsid w:val="000C5F5B"/>
    <w:rsid w:val="000C60D5"/>
    <w:rsid w:val="000C611B"/>
    <w:rsid w:val="000C61BA"/>
    <w:rsid w:val="000C61CD"/>
    <w:rsid w:val="000C62EF"/>
    <w:rsid w:val="000C6431"/>
    <w:rsid w:val="000C679F"/>
    <w:rsid w:val="000C6878"/>
    <w:rsid w:val="000C6B3D"/>
    <w:rsid w:val="000C6B7A"/>
    <w:rsid w:val="000C6C79"/>
    <w:rsid w:val="000C6D6B"/>
    <w:rsid w:val="000C6F4B"/>
    <w:rsid w:val="000C70DC"/>
    <w:rsid w:val="000C7187"/>
    <w:rsid w:val="000C71C5"/>
    <w:rsid w:val="000C7565"/>
    <w:rsid w:val="000C78A7"/>
    <w:rsid w:val="000C7ABC"/>
    <w:rsid w:val="000C7D3B"/>
    <w:rsid w:val="000C7E3D"/>
    <w:rsid w:val="000C7ECB"/>
    <w:rsid w:val="000C7FB3"/>
    <w:rsid w:val="000C7FBF"/>
    <w:rsid w:val="000D0175"/>
    <w:rsid w:val="000D0191"/>
    <w:rsid w:val="000D0318"/>
    <w:rsid w:val="000D033D"/>
    <w:rsid w:val="000D0518"/>
    <w:rsid w:val="000D0551"/>
    <w:rsid w:val="000D0728"/>
    <w:rsid w:val="000D07A7"/>
    <w:rsid w:val="000D0808"/>
    <w:rsid w:val="000D0A08"/>
    <w:rsid w:val="000D0A7F"/>
    <w:rsid w:val="000D0D5D"/>
    <w:rsid w:val="000D0D7E"/>
    <w:rsid w:val="000D0E99"/>
    <w:rsid w:val="000D0EAA"/>
    <w:rsid w:val="000D0EB9"/>
    <w:rsid w:val="000D0EDD"/>
    <w:rsid w:val="000D11DF"/>
    <w:rsid w:val="000D120B"/>
    <w:rsid w:val="000D15DC"/>
    <w:rsid w:val="000D162D"/>
    <w:rsid w:val="000D1858"/>
    <w:rsid w:val="000D19FB"/>
    <w:rsid w:val="000D1B77"/>
    <w:rsid w:val="000D1BE8"/>
    <w:rsid w:val="000D1CB8"/>
    <w:rsid w:val="000D1E8A"/>
    <w:rsid w:val="000D2135"/>
    <w:rsid w:val="000D2221"/>
    <w:rsid w:val="000D22F0"/>
    <w:rsid w:val="000D22F4"/>
    <w:rsid w:val="000D234A"/>
    <w:rsid w:val="000D25E1"/>
    <w:rsid w:val="000D2A4A"/>
    <w:rsid w:val="000D2AC1"/>
    <w:rsid w:val="000D2B4C"/>
    <w:rsid w:val="000D2BB2"/>
    <w:rsid w:val="000D2CAF"/>
    <w:rsid w:val="000D2F97"/>
    <w:rsid w:val="000D3158"/>
    <w:rsid w:val="000D315B"/>
    <w:rsid w:val="000D316B"/>
    <w:rsid w:val="000D31A4"/>
    <w:rsid w:val="000D32A7"/>
    <w:rsid w:val="000D3310"/>
    <w:rsid w:val="000D33AA"/>
    <w:rsid w:val="000D3436"/>
    <w:rsid w:val="000D354D"/>
    <w:rsid w:val="000D358F"/>
    <w:rsid w:val="000D36B2"/>
    <w:rsid w:val="000D36D7"/>
    <w:rsid w:val="000D3903"/>
    <w:rsid w:val="000D398E"/>
    <w:rsid w:val="000D3A15"/>
    <w:rsid w:val="000D3A93"/>
    <w:rsid w:val="000D3B09"/>
    <w:rsid w:val="000D3B15"/>
    <w:rsid w:val="000D3B4B"/>
    <w:rsid w:val="000D3CC0"/>
    <w:rsid w:val="000D3DB0"/>
    <w:rsid w:val="000D3F9B"/>
    <w:rsid w:val="000D3FB5"/>
    <w:rsid w:val="000D40F1"/>
    <w:rsid w:val="000D4119"/>
    <w:rsid w:val="000D4193"/>
    <w:rsid w:val="000D44FF"/>
    <w:rsid w:val="000D4503"/>
    <w:rsid w:val="000D4587"/>
    <w:rsid w:val="000D45B2"/>
    <w:rsid w:val="000D4924"/>
    <w:rsid w:val="000D497A"/>
    <w:rsid w:val="000D4B94"/>
    <w:rsid w:val="000D4CEA"/>
    <w:rsid w:val="000D4CF5"/>
    <w:rsid w:val="000D4D6D"/>
    <w:rsid w:val="000D4E08"/>
    <w:rsid w:val="000D4E33"/>
    <w:rsid w:val="000D4E4E"/>
    <w:rsid w:val="000D4EB4"/>
    <w:rsid w:val="000D4EE4"/>
    <w:rsid w:val="000D50B5"/>
    <w:rsid w:val="000D51A5"/>
    <w:rsid w:val="000D51D2"/>
    <w:rsid w:val="000D5206"/>
    <w:rsid w:val="000D5393"/>
    <w:rsid w:val="000D53E1"/>
    <w:rsid w:val="000D53F4"/>
    <w:rsid w:val="000D5434"/>
    <w:rsid w:val="000D5454"/>
    <w:rsid w:val="000D5562"/>
    <w:rsid w:val="000D5575"/>
    <w:rsid w:val="000D5606"/>
    <w:rsid w:val="000D56F5"/>
    <w:rsid w:val="000D5744"/>
    <w:rsid w:val="000D58EC"/>
    <w:rsid w:val="000D5952"/>
    <w:rsid w:val="000D5A76"/>
    <w:rsid w:val="000D5B54"/>
    <w:rsid w:val="000D5BA6"/>
    <w:rsid w:val="000D5BD9"/>
    <w:rsid w:val="000D5D03"/>
    <w:rsid w:val="000D5E38"/>
    <w:rsid w:val="000D5F2E"/>
    <w:rsid w:val="000D5F7A"/>
    <w:rsid w:val="000D5F8F"/>
    <w:rsid w:val="000D5FAC"/>
    <w:rsid w:val="000D5FAF"/>
    <w:rsid w:val="000D6016"/>
    <w:rsid w:val="000D617A"/>
    <w:rsid w:val="000D61E4"/>
    <w:rsid w:val="000D632D"/>
    <w:rsid w:val="000D637D"/>
    <w:rsid w:val="000D640C"/>
    <w:rsid w:val="000D644A"/>
    <w:rsid w:val="000D6487"/>
    <w:rsid w:val="000D64AC"/>
    <w:rsid w:val="000D674B"/>
    <w:rsid w:val="000D692B"/>
    <w:rsid w:val="000D6ABC"/>
    <w:rsid w:val="000D6B07"/>
    <w:rsid w:val="000D6BB9"/>
    <w:rsid w:val="000D6CF0"/>
    <w:rsid w:val="000D6E11"/>
    <w:rsid w:val="000D6F98"/>
    <w:rsid w:val="000D6FB5"/>
    <w:rsid w:val="000D71D7"/>
    <w:rsid w:val="000D7214"/>
    <w:rsid w:val="000D72A3"/>
    <w:rsid w:val="000D736A"/>
    <w:rsid w:val="000D7426"/>
    <w:rsid w:val="000D759D"/>
    <w:rsid w:val="000D759F"/>
    <w:rsid w:val="000D7795"/>
    <w:rsid w:val="000D7831"/>
    <w:rsid w:val="000D79A5"/>
    <w:rsid w:val="000D7B16"/>
    <w:rsid w:val="000D7E5E"/>
    <w:rsid w:val="000D7F67"/>
    <w:rsid w:val="000D7F95"/>
    <w:rsid w:val="000E0223"/>
    <w:rsid w:val="000E0324"/>
    <w:rsid w:val="000E033C"/>
    <w:rsid w:val="000E039E"/>
    <w:rsid w:val="000E03D3"/>
    <w:rsid w:val="000E049D"/>
    <w:rsid w:val="000E04B8"/>
    <w:rsid w:val="000E065B"/>
    <w:rsid w:val="000E069D"/>
    <w:rsid w:val="000E06C7"/>
    <w:rsid w:val="000E08B1"/>
    <w:rsid w:val="000E08EE"/>
    <w:rsid w:val="000E09D4"/>
    <w:rsid w:val="000E0A7F"/>
    <w:rsid w:val="000E0A86"/>
    <w:rsid w:val="000E0B2E"/>
    <w:rsid w:val="000E0BC5"/>
    <w:rsid w:val="000E0BDC"/>
    <w:rsid w:val="000E0C12"/>
    <w:rsid w:val="000E0CA9"/>
    <w:rsid w:val="000E0D01"/>
    <w:rsid w:val="000E0D16"/>
    <w:rsid w:val="000E0D42"/>
    <w:rsid w:val="000E0FA3"/>
    <w:rsid w:val="000E0FB8"/>
    <w:rsid w:val="000E0FEA"/>
    <w:rsid w:val="000E107B"/>
    <w:rsid w:val="000E1175"/>
    <w:rsid w:val="000E155B"/>
    <w:rsid w:val="000E1561"/>
    <w:rsid w:val="000E16D1"/>
    <w:rsid w:val="000E172A"/>
    <w:rsid w:val="000E1936"/>
    <w:rsid w:val="000E1972"/>
    <w:rsid w:val="000E1997"/>
    <w:rsid w:val="000E1B47"/>
    <w:rsid w:val="000E1B5A"/>
    <w:rsid w:val="000E1B75"/>
    <w:rsid w:val="000E1B8C"/>
    <w:rsid w:val="000E1BD0"/>
    <w:rsid w:val="000E1BFF"/>
    <w:rsid w:val="000E1C0B"/>
    <w:rsid w:val="000E1D8F"/>
    <w:rsid w:val="000E1E1A"/>
    <w:rsid w:val="000E1E60"/>
    <w:rsid w:val="000E1EF7"/>
    <w:rsid w:val="000E1F2A"/>
    <w:rsid w:val="000E1FD6"/>
    <w:rsid w:val="000E217C"/>
    <w:rsid w:val="000E21D4"/>
    <w:rsid w:val="000E23A3"/>
    <w:rsid w:val="000E248A"/>
    <w:rsid w:val="000E25C4"/>
    <w:rsid w:val="000E25F6"/>
    <w:rsid w:val="000E2604"/>
    <w:rsid w:val="000E2634"/>
    <w:rsid w:val="000E276E"/>
    <w:rsid w:val="000E2794"/>
    <w:rsid w:val="000E2AC7"/>
    <w:rsid w:val="000E2AED"/>
    <w:rsid w:val="000E2BB4"/>
    <w:rsid w:val="000E2C3B"/>
    <w:rsid w:val="000E2D2A"/>
    <w:rsid w:val="000E2E81"/>
    <w:rsid w:val="000E31A8"/>
    <w:rsid w:val="000E31AD"/>
    <w:rsid w:val="000E3297"/>
    <w:rsid w:val="000E342A"/>
    <w:rsid w:val="000E347D"/>
    <w:rsid w:val="000E350B"/>
    <w:rsid w:val="000E36AC"/>
    <w:rsid w:val="000E36D4"/>
    <w:rsid w:val="000E3888"/>
    <w:rsid w:val="000E3A01"/>
    <w:rsid w:val="000E3F37"/>
    <w:rsid w:val="000E4211"/>
    <w:rsid w:val="000E42C5"/>
    <w:rsid w:val="000E4365"/>
    <w:rsid w:val="000E43AD"/>
    <w:rsid w:val="000E4659"/>
    <w:rsid w:val="000E48A7"/>
    <w:rsid w:val="000E4C7E"/>
    <w:rsid w:val="000E50A6"/>
    <w:rsid w:val="000E5334"/>
    <w:rsid w:val="000E533A"/>
    <w:rsid w:val="000E5534"/>
    <w:rsid w:val="000E5602"/>
    <w:rsid w:val="000E5627"/>
    <w:rsid w:val="000E57D5"/>
    <w:rsid w:val="000E5914"/>
    <w:rsid w:val="000E593B"/>
    <w:rsid w:val="000E59F9"/>
    <w:rsid w:val="000E5ACC"/>
    <w:rsid w:val="000E5F38"/>
    <w:rsid w:val="000E5F5A"/>
    <w:rsid w:val="000E601A"/>
    <w:rsid w:val="000E60B3"/>
    <w:rsid w:val="000E6287"/>
    <w:rsid w:val="000E667D"/>
    <w:rsid w:val="000E66D2"/>
    <w:rsid w:val="000E66E3"/>
    <w:rsid w:val="000E680B"/>
    <w:rsid w:val="000E687B"/>
    <w:rsid w:val="000E68AE"/>
    <w:rsid w:val="000E6BB9"/>
    <w:rsid w:val="000E6C8D"/>
    <w:rsid w:val="000E6CC7"/>
    <w:rsid w:val="000E6DBA"/>
    <w:rsid w:val="000E703E"/>
    <w:rsid w:val="000E70E5"/>
    <w:rsid w:val="000E7141"/>
    <w:rsid w:val="000E7159"/>
    <w:rsid w:val="000E7213"/>
    <w:rsid w:val="000E745F"/>
    <w:rsid w:val="000E7564"/>
    <w:rsid w:val="000E7609"/>
    <w:rsid w:val="000E7A80"/>
    <w:rsid w:val="000E7AD6"/>
    <w:rsid w:val="000E7E32"/>
    <w:rsid w:val="000E7F36"/>
    <w:rsid w:val="000E7F8D"/>
    <w:rsid w:val="000F004A"/>
    <w:rsid w:val="000F0195"/>
    <w:rsid w:val="000F01CE"/>
    <w:rsid w:val="000F01E5"/>
    <w:rsid w:val="000F042F"/>
    <w:rsid w:val="000F04A6"/>
    <w:rsid w:val="000F067C"/>
    <w:rsid w:val="000F0767"/>
    <w:rsid w:val="000F086F"/>
    <w:rsid w:val="000F09CB"/>
    <w:rsid w:val="000F0A68"/>
    <w:rsid w:val="000F0AB9"/>
    <w:rsid w:val="000F0AFC"/>
    <w:rsid w:val="000F0B58"/>
    <w:rsid w:val="000F0CDB"/>
    <w:rsid w:val="000F0D3C"/>
    <w:rsid w:val="000F0DED"/>
    <w:rsid w:val="000F0EC7"/>
    <w:rsid w:val="000F13FA"/>
    <w:rsid w:val="000F1413"/>
    <w:rsid w:val="000F146C"/>
    <w:rsid w:val="000F14BA"/>
    <w:rsid w:val="000F1505"/>
    <w:rsid w:val="000F15D3"/>
    <w:rsid w:val="000F15EC"/>
    <w:rsid w:val="000F176F"/>
    <w:rsid w:val="000F19B0"/>
    <w:rsid w:val="000F1BF1"/>
    <w:rsid w:val="000F1C85"/>
    <w:rsid w:val="000F1CA5"/>
    <w:rsid w:val="000F1CCA"/>
    <w:rsid w:val="000F1CDF"/>
    <w:rsid w:val="000F1D16"/>
    <w:rsid w:val="000F1E63"/>
    <w:rsid w:val="000F1E79"/>
    <w:rsid w:val="000F1F04"/>
    <w:rsid w:val="000F1F8A"/>
    <w:rsid w:val="000F229E"/>
    <w:rsid w:val="000F283C"/>
    <w:rsid w:val="000F285C"/>
    <w:rsid w:val="000F28C0"/>
    <w:rsid w:val="000F2937"/>
    <w:rsid w:val="000F2B04"/>
    <w:rsid w:val="000F2C20"/>
    <w:rsid w:val="000F2C6D"/>
    <w:rsid w:val="000F2CB9"/>
    <w:rsid w:val="000F2CDE"/>
    <w:rsid w:val="000F2D44"/>
    <w:rsid w:val="000F2DF5"/>
    <w:rsid w:val="000F2F97"/>
    <w:rsid w:val="000F309E"/>
    <w:rsid w:val="000F312E"/>
    <w:rsid w:val="000F32D4"/>
    <w:rsid w:val="000F32F3"/>
    <w:rsid w:val="000F3346"/>
    <w:rsid w:val="000F358C"/>
    <w:rsid w:val="000F3827"/>
    <w:rsid w:val="000F3840"/>
    <w:rsid w:val="000F38B2"/>
    <w:rsid w:val="000F3968"/>
    <w:rsid w:val="000F3B9A"/>
    <w:rsid w:val="000F3BA6"/>
    <w:rsid w:val="000F3C0B"/>
    <w:rsid w:val="000F3C32"/>
    <w:rsid w:val="000F3D86"/>
    <w:rsid w:val="000F40D6"/>
    <w:rsid w:val="000F4137"/>
    <w:rsid w:val="000F416D"/>
    <w:rsid w:val="000F418F"/>
    <w:rsid w:val="000F4253"/>
    <w:rsid w:val="000F4574"/>
    <w:rsid w:val="000F4630"/>
    <w:rsid w:val="000F469E"/>
    <w:rsid w:val="000F4901"/>
    <w:rsid w:val="000F4965"/>
    <w:rsid w:val="000F497F"/>
    <w:rsid w:val="000F499E"/>
    <w:rsid w:val="000F49EF"/>
    <w:rsid w:val="000F49F0"/>
    <w:rsid w:val="000F4A08"/>
    <w:rsid w:val="000F4A50"/>
    <w:rsid w:val="000F4B33"/>
    <w:rsid w:val="000F4B63"/>
    <w:rsid w:val="000F4C6A"/>
    <w:rsid w:val="000F4F0B"/>
    <w:rsid w:val="000F4FD8"/>
    <w:rsid w:val="000F51BA"/>
    <w:rsid w:val="000F521C"/>
    <w:rsid w:val="000F5401"/>
    <w:rsid w:val="000F559B"/>
    <w:rsid w:val="000F5819"/>
    <w:rsid w:val="000F5A25"/>
    <w:rsid w:val="000F5B3C"/>
    <w:rsid w:val="000F5C58"/>
    <w:rsid w:val="000F5C84"/>
    <w:rsid w:val="000F5CBA"/>
    <w:rsid w:val="000F5CF5"/>
    <w:rsid w:val="000F5D21"/>
    <w:rsid w:val="000F5DBF"/>
    <w:rsid w:val="000F5E05"/>
    <w:rsid w:val="000F5E7F"/>
    <w:rsid w:val="000F5EC7"/>
    <w:rsid w:val="000F5F37"/>
    <w:rsid w:val="000F5FA1"/>
    <w:rsid w:val="000F60A7"/>
    <w:rsid w:val="000F60C6"/>
    <w:rsid w:val="000F6163"/>
    <w:rsid w:val="000F63AD"/>
    <w:rsid w:val="000F6700"/>
    <w:rsid w:val="000F6788"/>
    <w:rsid w:val="000F67EC"/>
    <w:rsid w:val="000F685F"/>
    <w:rsid w:val="000F6919"/>
    <w:rsid w:val="000F6A3E"/>
    <w:rsid w:val="000F6A69"/>
    <w:rsid w:val="000F6AD1"/>
    <w:rsid w:val="000F6BB5"/>
    <w:rsid w:val="000F6BC1"/>
    <w:rsid w:val="000F6C82"/>
    <w:rsid w:val="000F6CD2"/>
    <w:rsid w:val="000F6DF6"/>
    <w:rsid w:val="000F707E"/>
    <w:rsid w:val="000F70ED"/>
    <w:rsid w:val="000F71EA"/>
    <w:rsid w:val="000F7251"/>
    <w:rsid w:val="000F727B"/>
    <w:rsid w:val="000F7677"/>
    <w:rsid w:val="000F778B"/>
    <w:rsid w:val="000F7843"/>
    <w:rsid w:val="000F7885"/>
    <w:rsid w:val="000F78AE"/>
    <w:rsid w:val="000F7B8B"/>
    <w:rsid w:val="000F7BAF"/>
    <w:rsid w:val="000F7C30"/>
    <w:rsid w:val="000F7C42"/>
    <w:rsid w:val="000F7C86"/>
    <w:rsid w:val="000F7D40"/>
    <w:rsid w:val="000F7F85"/>
    <w:rsid w:val="000F7FAD"/>
    <w:rsid w:val="001000BC"/>
    <w:rsid w:val="001001A7"/>
    <w:rsid w:val="0010048C"/>
    <w:rsid w:val="0010070B"/>
    <w:rsid w:val="00100817"/>
    <w:rsid w:val="0010084B"/>
    <w:rsid w:val="001009E7"/>
    <w:rsid w:val="00100A4D"/>
    <w:rsid w:val="00100ACB"/>
    <w:rsid w:val="00100B53"/>
    <w:rsid w:val="00100B74"/>
    <w:rsid w:val="00100C0C"/>
    <w:rsid w:val="00100CE6"/>
    <w:rsid w:val="00100DCB"/>
    <w:rsid w:val="00100DD8"/>
    <w:rsid w:val="00100EB5"/>
    <w:rsid w:val="00100F3C"/>
    <w:rsid w:val="00101037"/>
    <w:rsid w:val="00101168"/>
    <w:rsid w:val="0010120E"/>
    <w:rsid w:val="0010137E"/>
    <w:rsid w:val="001013FE"/>
    <w:rsid w:val="001017F3"/>
    <w:rsid w:val="0010194D"/>
    <w:rsid w:val="0010196F"/>
    <w:rsid w:val="00101A96"/>
    <w:rsid w:val="00101B9C"/>
    <w:rsid w:val="00101C2C"/>
    <w:rsid w:val="00101CB6"/>
    <w:rsid w:val="00101CE5"/>
    <w:rsid w:val="00101E11"/>
    <w:rsid w:val="00101EC5"/>
    <w:rsid w:val="00101ED7"/>
    <w:rsid w:val="00101ED9"/>
    <w:rsid w:val="00101FDD"/>
    <w:rsid w:val="00102087"/>
    <w:rsid w:val="00102147"/>
    <w:rsid w:val="001022F1"/>
    <w:rsid w:val="0010249C"/>
    <w:rsid w:val="001026B6"/>
    <w:rsid w:val="001027C2"/>
    <w:rsid w:val="00102986"/>
    <w:rsid w:val="00102A20"/>
    <w:rsid w:val="00102A87"/>
    <w:rsid w:val="00102B47"/>
    <w:rsid w:val="00102E07"/>
    <w:rsid w:val="00102E67"/>
    <w:rsid w:val="00103002"/>
    <w:rsid w:val="0010300E"/>
    <w:rsid w:val="0010308A"/>
    <w:rsid w:val="001032E7"/>
    <w:rsid w:val="0010348D"/>
    <w:rsid w:val="001034E5"/>
    <w:rsid w:val="00103562"/>
    <w:rsid w:val="001035C5"/>
    <w:rsid w:val="001035FA"/>
    <w:rsid w:val="00103686"/>
    <w:rsid w:val="001036C0"/>
    <w:rsid w:val="00103773"/>
    <w:rsid w:val="001037AA"/>
    <w:rsid w:val="00103962"/>
    <w:rsid w:val="001039CC"/>
    <w:rsid w:val="00103B81"/>
    <w:rsid w:val="00103C71"/>
    <w:rsid w:val="00103CAC"/>
    <w:rsid w:val="001040E5"/>
    <w:rsid w:val="001040E8"/>
    <w:rsid w:val="001040F1"/>
    <w:rsid w:val="0010417B"/>
    <w:rsid w:val="0010440F"/>
    <w:rsid w:val="001045B5"/>
    <w:rsid w:val="00104650"/>
    <w:rsid w:val="00104733"/>
    <w:rsid w:val="001047E0"/>
    <w:rsid w:val="0010483D"/>
    <w:rsid w:val="00104A5E"/>
    <w:rsid w:val="00104D13"/>
    <w:rsid w:val="00104D5C"/>
    <w:rsid w:val="00104DA1"/>
    <w:rsid w:val="00104DBC"/>
    <w:rsid w:val="00104DF6"/>
    <w:rsid w:val="00104E05"/>
    <w:rsid w:val="00104E35"/>
    <w:rsid w:val="00105045"/>
    <w:rsid w:val="001053F8"/>
    <w:rsid w:val="00105566"/>
    <w:rsid w:val="0010566F"/>
    <w:rsid w:val="001058E3"/>
    <w:rsid w:val="00105B8C"/>
    <w:rsid w:val="00105BA4"/>
    <w:rsid w:val="00105C63"/>
    <w:rsid w:val="00105C83"/>
    <w:rsid w:val="00105DE3"/>
    <w:rsid w:val="00105F14"/>
    <w:rsid w:val="001062C1"/>
    <w:rsid w:val="0010644D"/>
    <w:rsid w:val="00106524"/>
    <w:rsid w:val="00106526"/>
    <w:rsid w:val="00106574"/>
    <w:rsid w:val="001065DA"/>
    <w:rsid w:val="00106607"/>
    <w:rsid w:val="001066A7"/>
    <w:rsid w:val="001067DF"/>
    <w:rsid w:val="001068E2"/>
    <w:rsid w:val="00106929"/>
    <w:rsid w:val="00106A61"/>
    <w:rsid w:val="00106B1B"/>
    <w:rsid w:val="00106E8C"/>
    <w:rsid w:val="00106EC3"/>
    <w:rsid w:val="00106FE3"/>
    <w:rsid w:val="0010719E"/>
    <w:rsid w:val="00107261"/>
    <w:rsid w:val="00107435"/>
    <w:rsid w:val="001077F3"/>
    <w:rsid w:val="00107B35"/>
    <w:rsid w:val="00107B8F"/>
    <w:rsid w:val="00107C3C"/>
    <w:rsid w:val="00107C70"/>
    <w:rsid w:val="00107D28"/>
    <w:rsid w:val="00107FCD"/>
    <w:rsid w:val="0011023E"/>
    <w:rsid w:val="00110339"/>
    <w:rsid w:val="00110364"/>
    <w:rsid w:val="00110370"/>
    <w:rsid w:val="001103ED"/>
    <w:rsid w:val="001104E0"/>
    <w:rsid w:val="001105A4"/>
    <w:rsid w:val="001106F9"/>
    <w:rsid w:val="0011089C"/>
    <w:rsid w:val="001108D6"/>
    <w:rsid w:val="001109FE"/>
    <w:rsid w:val="00110BC8"/>
    <w:rsid w:val="00110C18"/>
    <w:rsid w:val="00110C4C"/>
    <w:rsid w:val="00110DB8"/>
    <w:rsid w:val="00110DE9"/>
    <w:rsid w:val="00110E40"/>
    <w:rsid w:val="00110E9C"/>
    <w:rsid w:val="00110EF1"/>
    <w:rsid w:val="001110C3"/>
    <w:rsid w:val="001110F8"/>
    <w:rsid w:val="001111C5"/>
    <w:rsid w:val="001113F1"/>
    <w:rsid w:val="00111455"/>
    <w:rsid w:val="001116B1"/>
    <w:rsid w:val="001117C5"/>
    <w:rsid w:val="00111975"/>
    <w:rsid w:val="001119F3"/>
    <w:rsid w:val="00111A2E"/>
    <w:rsid w:val="00111AE3"/>
    <w:rsid w:val="00111B4E"/>
    <w:rsid w:val="00111CB0"/>
    <w:rsid w:val="00111E57"/>
    <w:rsid w:val="00111E7C"/>
    <w:rsid w:val="00111FD3"/>
    <w:rsid w:val="00112275"/>
    <w:rsid w:val="001122EA"/>
    <w:rsid w:val="0011238E"/>
    <w:rsid w:val="00112482"/>
    <w:rsid w:val="0011251C"/>
    <w:rsid w:val="001125ED"/>
    <w:rsid w:val="00112720"/>
    <w:rsid w:val="001128CB"/>
    <w:rsid w:val="00112900"/>
    <w:rsid w:val="001129FC"/>
    <w:rsid w:val="00112AE5"/>
    <w:rsid w:val="00112BD1"/>
    <w:rsid w:val="00112BF1"/>
    <w:rsid w:val="00112D79"/>
    <w:rsid w:val="00112DCB"/>
    <w:rsid w:val="00112DDE"/>
    <w:rsid w:val="00112ECA"/>
    <w:rsid w:val="00112EE7"/>
    <w:rsid w:val="001131F7"/>
    <w:rsid w:val="00113278"/>
    <w:rsid w:val="0011327E"/>
    <w:rsid w:val="0011342C"/>
    <w:rsid w:val="00113488"/>
    <w:rsid w:val="00113536"/>
    <w:rsid w:val="00113745"/>
    <w:rsid w:val="001137C4"/>
    <w:rsid w:val="00113929"/>
    <w:rsid w:val="0011394C"/>
    <w:rsid w:val="00113A57"/>
    <w:rsid w:val="00113A74"/>
    <w:rsid w:val="00113AA9"/>
    <w:rsid w:val="00113B39"/>
    <w:rsid w:val="00113BAC"/>
    <w:rsid w:val="00113BBA"/>
    <w:rsid w:val="00113C0F"/>
    <w:rsid w:val="00113C85"/>
    <w:rsid w:val="00113C8C"/>
    <w:rsid w:val="00113D8C"/>
    <w:rsid w:val="00114044"/>
    <w:rsid w:val="00114069"/>
    <w:rsid w:val="001142C2"/>
    <w:rsid w:val="00114362"/>
    <w:rsid w:val="001143C2"/>
    <w:rsid w:val="0011484A"/>
    <w:rsid w:val="001149E2"/>
    <w:rsid w:val="00114A25"/>
    <w:rsid w:val="00114A52"/>
    <w:rsid w:val="00114AFD"/>
    <w:rsid w:val="00114B17"/>
    <w:rsid w:val="00114B84"/>
    <w:rsid w:val="00114CE8"/>
    <w:rsid w:val="00114D28"/>
    <w:rsid w:val="00114D79"/>
    <w:rsid w:val="00114E75"/>
    <w:rsid w:val="00114FC9"/>
    <w:rsid w:val="00114FDB"/>
    <w:rsid w:val="00114FE1"/>
    <w:rsid w:val="001150C7"/>
    <w:rsid w:val="00115316"/>
    <w:rsid w:val="00115392"/>
    <w:rsid w:val="00115637"/>
    <w:rsid w:val="001156B3"/>
    <w:rsid w:val="00115793"/>
    <w:rsid w:val="001158F0"/>
    <w:rsid w:val="0011592E"/>
    <w:rsid w:val="00115CA0"/>
    <w:rsid w:val="00115D35"/>
    <w:rsid w:val="00115D9C"/>
    <w:rsid w:val="00115F80"/>
    <w:rsid w:val="00115FF3"/>
    <w:rsid w:val="001160B7"/>
    <w:rsid w:val="0011627B"/>
    <w:rsid w:val="001162E2"/>
    <w:rsid w:val="00116394"/>
    <w:rsid w:val="001167ED"/>
    <w:rsid w:val="0011683E"/>
    <w:rsid w:val="00116A9B"/>
    <w:rsid w:val="00116AB9"/>
    <w:rsid w:val="00116AF2"/>
    <w:rsid w:val="00116B51"/>
    <w:rsid w:val="00116C3F"/>
    <w:rsid w:val="00116D5C"/>
    <w:rsid w:val="00116DE6"/>
    <w:rsid w:val="00116FD7"/>
    <w:rsid w:val="00117035"/>
    <w:rsid w:val="001170C8"/>
    <w:rsid w:val="001170DD"/>
    <w:rsid w:val="001171D3"/>
    <w:rsid w:val="00117226"/>
    <w:rsid w:val="0011726A"/>
    <w:rsid w:val="001174EA"/>
    <w:rsid w:val="00117608"/>
    <w:rsid w:val="00117708"/>
    <w:rsid w:val="0011772E"/>
    <w:rsid w:val="00117761"/>
    <w:rsid w:val="001178D6"/>
    <w:rsid w:val="0011791A"/>
    <w:rsid w:val="0011799B"/>
    <w:rsid w:val="00117A0F"/>
    <w:rsid w:val="00117B2E"/>
    <w:rsid w:val="00117DA0"/>
    <w:rsid w:val="00117F88"/>
    <w:rsid w:val="00120034"/>
    <w:rsid w:val="001200B3"/>
    <w:rsid w:val="001200D5"/>
    <w:rsid w:val="001200D9"/>
    <w:rsid w:val="00120186"/>
    <w:rsid w:val="001201EF"/>
    <w:rsid w:val="001202DA"/>
    <w:rsid w:val="00120498"/>
    <w:rsid w:val="001204C3"/>
    <w:rsid w:val="001204F2"/>
    <w:rsid w:val="00120749"/>
    <w:rsid w:val="00120947"/>
    <w:rsid w:val="00120950"/>
    <w:rsid w:val="001209C2"/>
    <w:rsid w:val="00120B95"/>
    <w:rsid w:val="00120CC9"/>
    <w:rsid w:val="00120CF5"/>
    <w:rsid w:val="00120D2B"/>
    <w:rsid w:val="00120D66"/>
    <w:rsid w:val="00120F8C"/>
    <w:rsid w:val="00120FAA"/>
    <w:rsid w:val="00121019"/>
    <w:rsid w:val="0012114C"/>
    <w:rsid w:val="00121201"/>
    <w:rsid w:val="00121205"/>
    <w:rsid w:val="00121385"/>
    <w:rsid w:val="001214E0"/>
    <w:rsid w:val="001214E9"/>
    <w:rsid w:val="0012152A"/>
    <w:rsid w:val="00121581"/>
    <w:rsid w:val="001215B1"/>
    <w:rsid w:val="001215F5"/>
    <w:rsid w:val="001216E9"/>
    <w:rsid w:val="00121764"/>
    <w:rsid w:val="0012186C"/>
    <w:rsid w:val="00121916"/>
    <w:rsid w:val="00121A10"/>
    <w:rsid w:val="00121A51"/>
    <w:rsid w:val="00121ACB"/>
    <w:rsid w:val="00121B31"/>
    <w:rsid w:val="00121C2F"/>
    <w:rsid w:val="00121DEF"/>
    <w:rsid w:val="00121F21"/>
    <w:rsid w:val="00121F45"/>
    <w:rsid w:val="00122064"/>
    <w:rsid w:val="001220DE"/>
    <w:rsid w:val="00122184"/>
    <w:rsid w:val="00122215"/>
    <w:rsid w:val="00122221"/>
    <w:rsid w:val="00122313"/>
    <w:rsid w:val="0012238D"/>
    <w:rsid w:val="00122446"/>
    <w:rsid w:val="00122667"/>
    <w:rsid w:val="00122684"/>
    <w:rsid w:val="0012274E"/>
    <w:rsid w:val="00122793"/>
    <w:rsid w:val="00122A50"/>
    <w:rsid w:val="00122B86"/>
    <w:rsid w:val="00122BB4"/>
    <w:rsid w:val="00122CFD"/>
    <w:rsid w:val="00122E78"/>
    <w:rsid w:val="0012302F"/>
    <w:rsid w:val="00123062"/>
    <w:rsid w:val="00123163"/>
    <w:rsid w:val="0012316A"/>
    <w:rsid w:val="00123324"/>
    <w:rsid w:val="00123367"/>
    <w:rsid w:val="001233CE"/>
    <w:rsid w:val="001234C5"/>
    <w:rsid w:val="00123649"/>
    <w:rsid w:val="0012384B"/>
    <w:rsid w:val="001239D9"/>
    <w:rsid w:val="00123A75"/>
    <w:rsid w:val="00123C5D"/>
    <w:rsid w:val="00123D96"/>
    <w:rsid w:val="00123DF7"/>
    <w:rsid w:val="00123E99"/>
    <w:rsid w:val="00123F8A"/>
    <w:rsid w:val="00124107"/>
    <w:rsid w:val="0012414A"/>
    <w:rsid w:val="00124555"/>
    <w:rsid w:val="0012464E"/>
    <w:rsid w:val="0012478E"/>
    <w:rsid w:val="001249C8"/>
    <w:rsid w:val="00124A0E"/>
    <w:rsid w:val="00124B61"/>
    <w:rsid w:val="00124C54"/>
    <w:rsid w:val="00124C5E"/>
    <w:rsid w:val="00124C83"/>
    <w:rsid w:val="00124D50"/>
    <w:rsid w:val="00124E5C"/>
    <w:rsid w:val="00124E63"/>
    <w:rsid w:val="00124E7F"/>
    <w:rsid w:val="00124FA6"/>
    <w:rsid w:val="00124FB1"/>
    <w:rsid w:val="00125133"/>
    <w:rsid w:val="001252A0"/>
    <w:rsid w:val="001252FC"/>
    <w:rsid w:val="00125368"/>
    <w:rsid w:val="00125413"/>
    <w:rsid w:val="00125582"/>
    <w:rsid w:val="00125609"/>
    <w:rsid w:val="0012566E"/>
    <w:rsid w:val="00125753"/>
    <w:rsid w:val="00125963"/>
    <w:rsid w:val="00125B87"/>
    <w:rsid w:val="00125BC7"/>
    <w:rsid w:val="00125C28"/>
    <w:rsid w:val="00125C5D"/>
    <w:rsid w:val="00125DA1"/>
    <w:rsid w:val="00125E7D"/>
    <w:rsid w:val="00125F42"/>
    <w:rsid w:val="00126106"/>
    <w:rsid w:val="001262AE"/>
    <w:rsid w:val="00126377"/>
    <w:rsid w:val="0012659C"/>
    <w:rsid w:val="00126770"/>
    <w:rsid w:val="00126809"/>
    <w:rsid w:val="00126906"/>
    <w:rsid w:val="00126951"/>
    <w:rsid w:val="00126962"/>
    <w:rsid w:val="001269B6"/>
    <w:rsid w:val="00126C1F"/>
    <w:rsid w:val="00126C98"/>
    <w:rsid w:val="00126C9E"/>
    <w:rsid w:val="00126E96"/>
    <w:rsid w:val="001270E8"/>
    <w:rsid w:val="00127133"/>
    <w:rsid w:val="0012734D"/>
    <w:rsid w:val="001274AE"/>
    <w:rsid w:val="001277C5"/>
    <w:rsid w:val="00127BC3"/>
    <w:rsid w:val="00127BD9"/>
    <w:rsid w:val="00127F12"/>
    <w:rsid w:val="00127F30"/>
    <w:rsid w:val="001302EE"/>
    <w:rsid w:val="001302F8"/>
    <w:rsid w:val="00130368"/>
    <w:rsid w:val="0013036F"/>
    <w:rsid w:val="0013039C"/>
    <w:rsid w:val="0013051F"/>
    <w:rsid w:val="00130811"/>
    <w:rsid w:val="001308CC"/>
    <w:rsid w:val="001308F1"/>
    <w:rsid w:val="001309E3"/>
    <w:rsid w:val="00130A5A"/>
    <w:rsid w:val="00130A7E"/>
    <w:rsid w:val="00130D20"/>
    <w:rsid w:val="00130D27"/>
    <w:rsid w:val="00130DA4"/>
    <w:rsid w:val="00130E3E"/>
    <w:rsid w:val="00130E90"/>
    <w:rsid w:val="00130F4E"/>
    <w:rsid w:val="001311F1"/>
    <w:rsid w:val="001313AC"/>
    <w:rsid w:val="00131464"/>
    <w:rsid w:val="001315CF"/>
    <w:rsid w:val="001315E2"/>
    <w:rsid w:val="001317A2"/>
    <w:rsid w:val="001317F2"/>
    <w:rsid w:val="00131811"/>
    <w:rsid w:val="00131853"/>
    <w:rsid w:val="0013187F"/>
    <w:rsid w:val="00131A08"/>
    <w:rsid w:val="00131A80"/>
    <w:rsid w:val="00131AF9"/>
    <w:rsid w:val="00131B59"/>
    <w:rsid w:val="00131D48"/>
    <w:rsid w:val="00131F87"/>
    <w:rsid w:val="00131F8B"/>
    <w:rsid w:val="00132018"/>
    <w:rsid w:val="00132071"/>
    <w:rsid w:val="00132087"/>
    <w:rsid w:val="001323B1"/>
    <w:rsid w:val="001323F5"/>
    <w:rsid w:val="001323FD"/>
    <w:rsid w:val="001325F4"/>
    <w:rsid w:val="00132651"/>
    <w:rsid w:val="0013276A"/>
    <w:rsid w:val="00132788"/>
    <w:rsid w:val="0013287F"/>
    <w:rsid w:val="001328DB"/>
    <w:rsid w:val="0013293B"/>
    <w:rsid w:val="0013295A"/>
    <w:rsid w:val="0013296C"/>
    <w:rsid w:val="001329AE"/>
    <w:rsid w:val="001329F6"/>
    <w:rsid w:val="00132A39"/>
    <w:rsid w:val="00132BFD"/>
    <w:rsid w:val="00132EE9"/>
    <w:rsid w:val="0013302A"/>
    <w:rsid w:val="001330AA"/>
    <w:rsid w:val="00133201"/>
    <w:rsid w:val="001334C8"/>
    <w:rsid w:val="001334CC"/>
    <w:rsid w:val="0013356C"/>
    <w:rsid w:val="00133642"/>
    <w:rsid w:val="001336D8"/>
    <w:rsid w:val="00133849"/>
    <w:rsid w:val="00133939"/>
    <w:rsid w:val="00133A5F"/>
    <w:rsid w:val="00133CB6"/>
    <w:rsid w:val="00133DD4"/>
    <w:rsid w:val="00133E66"/>
    <w:rsid w:val="00133E67"/>
    <w:rsid w:val="00133E96"/>
    <w:rsid w:val="00134016"/>
    <w:rsid w:val="0013404B"/>
    <w:rsid w:val="00134118"/>
    <w:rsid w:val="00134165"/>
    <w:rsid w:val="00134187"/>
    <w:rsid w:val="0013448B"/>
    <w:rsid w:val="00134714"/>
    <w:rsid w:val="00134853"/>
    <w:rsid w:val="001348E6"/>
    <w:rsid w:val="00134910"/>
    <w:rsid w:val="0013497B"/>
    <w:rsid w:val="00134B16"/>
    <w:rsid w:val="00134C1F"/>
    <w:rsid w:val="00134D1B"/>
    <w:rsid w:val="00134D59"/>
    <w:rsid w:val="00134E29"/>
    <w:rsid w:val="00135120"/>
    <w:rsid w:val="00135148"/>
    <w:rsid w:val="0013519D"/>
    <w:rsid w:val="001351E6"/>
    <w:rsid w:val="00135208"/>
    <w:rsid w:val="0013537C"/>
    <w:rsid w:val="001353B3"/>
    <w:rsid w:val="0013549E"/>
    <w:rsid w:val="00135677"/>
    <w:rsid w:val="001357FF"/>
    <w:rsid w:val="00135839"/>
    <w:rsid w:val="00135906"/>
    <w:rsid w:val="001359FC"/>
    <w:rsid w:val="00135C78"/>
    <w:rsid w:val="00135C7E"/>
    <w:rsid w:val="00135CCF"/>
    <w:rsid w:val="0013602D"/>
    <w:rsid w:val="00136055"/>
    <w:rsid w:val="0013662A"/>
    <w:rsid w:val="00136640"/>
    <w:rsid w:val="00136705"/>
    <w:rsid w:val="00136826"/>
    <w:rsid w:val="001369AD"/>
    <w:rsid w:val="00136CAF"/>
    <w:rsid w:val="00136D3E"/>
    <w:rsid w:val="00136E22"/>
    <w:rsid w:val="001372DA"/>
    <w:rsid w:val="00137379"/>
    <w:rsid w:val="00137555"/>
    <w:rsid w:val="001376E9"/>
    <w:rsid w:val="00137969"/>
    <w:rsid w:val="00137A5A"/>
    <w:rsid w:val="00137A8C"/>
    <w:rsid w:val="00137B44"/>
    <w:rsid w:val="00137BCA"/>
    <w:rsid w:val="00137BF2"/>
    <w:rsid w:val="00137DCC"/>
    <w:rsid w:val="00137FA6"/>
    <w:rsid w:val="00137FF5"/>
    <w:rsid w:val="0014008B"/>
    <w:rsid w:val="001403DA"/>
    <w:rsid w:val="00140469"/>
    <w:rsid w:val="001405C2"/>
    <w:rsid w:val="001405E9"/>
    <w:rsid w:val="00140797"/>
    <w:rsid w:val="00140BA4"/>
    <w:rsid w:val="00140E20"/>
    <w:rsid w:val="00140EB4"/>
    <w:rsid w:val="00141050"/>
    <w:rsid w:val="001410DA"/>
    <w:rsid w:val="0014123B"/>
    <w:rsid w:val="00141378"/>
    <w:rsid w:val="001413DE"/>
    <w:rsid w:val="00141615"/>
    <w:rsid w:val="001417C7"/>
    <w:rsid w:val="00141821"/>
    <w:rsid w:val="00141836"/>
    <w:rsid w:val="001418E1"/>
    <w:rsid w:val="001418F7"/>
    <w:rsid w:val="00141937"/>
    <w:rsid w:val="00141ADB"/>
    <w:rsid w:val="00141F59"/>
    <w:rsid w:val="00141FDD"/>
    <w:rsid w:val="0014214F"/>
    <w:rsid w:val="00142186"/>
    <w:rsid w:val="0014241C"/>
    <w:rsid w:val="001428D4"/>
    <w:rsid w:val="00142A49"/>
    <w:rsid w:val="00142A96"/>
    <w:rsid w:val="00142B05"/>
    <w:rsid w:val="00142BB2"/>
    <w:rsid w:val="00142E4C"/>
    <w:rsid w:val="00142E8F"/>
    <w:rsid w:val="00142F69"/>
    <w:rsid w:val="00142FC8"/>
    <w:rsid w:val="00142FCD"/>
    <w:rsid w:val="001431D2"/>
    <w:rsid w:val="001432F0"/>
    <w:rsid w:val="0014338A"/>
    <w:rsid w:val="001433A7"/>
    <w:rsid w:val="0014351A"/>
    <w:rsid w:val="001437B7"/>
    <w:rsid w:val="001437D3"/>
    <w:rsid w:val="00143984"/>
    <w:rsid w:val="00143A36"/>
    <w:rsid w:val="00143AA8"/>
    <w:rsid w:val="00143AE3"/>
    <w:rsid w:val="00143BB0"/>
    <w:rsid w:val="00143C3A"/>
    <w:rsid w:val="00143CFC"/>
    <w:rsid w:val="00143FC6"/>
    <w:rsid w:val="00144171"/>
    <w:rsid w:val="00144328"/>
    <w:rsid w:val="00144530"/>
    <w:rsid w:val="001446D0"/>
    <w:rsid w:val="00144779"/>
    <w:rsid w:val="00144936"/>
    <w:rsid w:val="001449FD"/>
    <w:rsid w:val="00144BF4"/>
    <w:rsid w:val="00144BF6"/>
    <w:rsid w:val="00144D4B"/>
    <w:rsid w:val="00144DAD"/>
    <w:rsid w:val="00144DEB"/>
    <w:rsid w:val="00144EEB"/>
    <w:rsid w:val="0014504E"/>
    <w:rsid w:val="0014525A"/>
    <w:rsid w:val="00145265"/>
    <w:rsid w:val="001452D8"/>
    <w:rsid w:val="001452F9"/>
    <w:rsid w:val="0014564F"/>
    <w:rsid w:val="00145685"/>
    <w:rsid w:val="0014580D"/>
    <w:rsid w:val="00145A2B"/>
    <w:rsid w:val="00145A5D"/>
    <w:rsid w:val="00145B40"/>
    <w:rsid w:val="00145DB6"/>
    <w:rsid w:val="001460B2"/>
    <w:rsid w:val="00146126"/>
    <w:rsid w:val="0014617D"/>
    <w:rsid w:val="0014636E"/>
    <w:rsid w:val="0014638F"/>
    <w:rsid w:val="001464BE"/>
    <w:rsid w:val="00146574"/>
    <w:rsid w:val="0014661F"/>
    <w:rsid w:val="0014666C"/>
    <w:rsid w:val="001468C6"/>
    <w:rsid w:val="001469C7"/>
    <w:rsid w:val="00146A6C"/>
    <w:rsid w:val="00146B50"/>
    <w:rsid w:val="00146CDD"/>
    <w:rsid w:val="00146EAA"/>
    <w:rsid w:val="00146F2A"/>
    <w:rsid w:val="00146F4E"/>
    <w:rsid w:val="00146F60"/>
    <w:rsid w:val="00146FE8"/>
    <w:rsid w:val="00147138"/>
    <w:rsid w:val="00147211"/>
    <w:rsid w:val="0014722D"/>
    <w:rsid w:val="00147250"/>
    <w:rsid w:val="0014725A"/>
    <w:rsid w:val="001472C9"/>
    <w:rsid w:val="00147434"/>
    <w:rsid w:val="001475B7"/>
    <w:rsid w:val="001476CE"/>
    <w:rsid w:val="00147EB7"/>
    <w:rsid w:val="00147F1E"/>
    <w:rsid w:val="00147F57"/>
    <w:rsid w:val="0015000E"/>
    <w:rsid w:val="001501B4"/>
    <w:rsid w:val="001501F8"/>
    <w:rsid w:val="001503E4"/>
    <w:rsid w:val="00150517"/>
    <w:rsid w:val="001505BB"/>
    <w:rsid w:val="00150613"/>
    <w:rsid w:val="00150674"/>
    <w:rsid w:val="001508E3"/>
    <w:rsid w:val="0015098D"/>
    <w:rsid w:val="00150AF5"/>
    <w:rsid w:val="00150B59"/>
    <w:rsid w:val="00150B81"/>
    <w:rsid w:val="00150BF0"/>
    <w:rsid w:val="00150C2E"/>
    <w:rsid w:val="00150C6C"/>
    <w:rsid w:val="00150D52"/>
    <w:rsid w:val="00150D58"/>
    <w:rsid w:val="00150E66"/>
    <w:rsid w:val="00151005"/>
    <w:rsid w:val="001510D5"/>
    <w:rsid w:val="0015110D"/>
    <w:rsid w:val="00151183"/>
    <w:rsid w:val="00151364"/>
    <w:rsid w:val="00151521"/>
    <w:rsid w:val="001515EC"/>
    <w:rsid w:val="00151659"/>
    <w:rsid w:val="00151672"/>
    <w:rsid w:val="001517C0"/>
    <w:rsid w:val="00151B35"/>
    <w:rsid w:val="00151E2E"/>
    <w:rsid w:val="00151F24"/>
    <w:rsid w:val="00152240"/>
    <w:rsid w:val="0015224F"/>
    <w:rsid w:val="00152259"/>
    <w:rsid w:val="001522BB"/>
    <w:rsid w:val="0015231E"/>
    <w:rsid w:val="0015258D"/>
    <w:rsid w:val="001525FF"/>
    <w:rsid w:val="0015264B"/>
    <w:rsid w:val="00152761"/>
    <w:rsid w:val="00152790"/>
    <w:rsid w:val="00152A8B"/>
    <w:rsid w:val="00152AB2"/>
    <w:rsid w:val="00152B00"/>
    <w:rsid w:val="00152D73"/>
    <w:rsid w:val="00152F64"/>
    <w:rsid w:val="00153020"/>
    <w:rsid w:val="0015312C"/>
    <w:rsid w:val="00153210"/>
    <w:rsid w:val="00153274"/>
    <w:rsid w:val="00153614"/>
    <w:rsid w:val="0015365A"/>
    <w:rsid w:val="00153731"/>
    <w:rsid w:val="001538F1"/>
    <w:rsid w:val="001538FB"/>
    <w:rsid w:val="0015390A"/>
    <w:rsid w:val="00153A2F"/>
    <w:rsid w:val="00153BAA"/>
    <w:rsid w:val="00153C1D"/>
    <w:rsid w:val="00153D1C"/>
    <w:rsid w:val="00153E81"/>
    <w:rsid w:val="00153EF4"/>
    <w:rsid w:val="001541E7"/>
    <w:rsid w:val="00154385"/>
    <w:rsid w:val="001543DB"/>
    <w:rsid w:val="0015444B"/>
    <w:rsid w:val="00154456"/>
    <w:rsid w:val="00154467"/>
    <w:rsid w:val="00154511"/>
    <w:rsid w:val="00154C0E"/>
    <w:rsid w:val="00154CA1"/>
    <w:rsid w:val="00154CEC"/>
    <w:rsid w:val="00154D1C"/>
    <w:rsid w:val="00154D3B"/>
    <w:rsid w:val="00154E27"/>
    <w:rsid w:val="00154EC4"/>
    <w:rsid w:val="00155245"/>
    <w:rsid w:val="0015526B"/>
    <w:rsid w:val="00155756"/>
    <w:rsid w:val="00155861"/>
    <w:rsid w:val="00155900"/>
    <w:rsid w:val="00155938"/>
    <w:rsid w:val="0015593A"/>
    <w:rsid w:val="0015599C"/>
    <w:rsid w:val="00155AC3"/>
    <w:rsid w:val="00155BF5"/>
    <w:rsid w:val="00155C20"/>
    <w:rsid w:val="00155D94"/>
    <w:rsid w:val="00155F48"/>
    <w:rsid w:val="0015606A"/>
    <w:rsid w:val="001561BB"/>
    <w:rsid w:val="001561D4"/>
    <w:rsid w:val="0015649C"/>
    <w:rsid w:val="001564AB"/>
    <w:rsid w:val="00156500"/>
    <w:rsid w:val="00156511"/>
    <w:rsid w:val="001565CB"/>
    <w:rsid w:val="00156892"/>
    <w:rsid w:val="00156918"/>
    <w:rsid w:val="00156BE6"/>
    <w:rsid w:val="00156C08"/>
    <w:rsid w:val="00156D67"/>
    <w:rsid w:val="00156E39"/>
    <w:rsid w:val="00156E6B"/>
    <w:rsid w:val="001570BC"/>
    <w:rsid w:val="001571C9"/>
    <w:rsid w:val="00157323"/>
    <w:rsid w:val="00157498"/>
    <w:rsid w:val="001574F3"/>
    <w:rsid w:val="00157851"/>
    <w:rsid w:val="00157879"/>
    <w:rsid w:val="001578E0"/>
    <w:rsid w:val="00157970"/>
    <w:rsid w:val="0015798A"/>
    <w:rsid w:val="00157A4A"/>
    <w:rsid w:val="00157DB9"/>
    <w:rsid w:val="00157E3C"/>
    <w:rsid w:val="00157E4F"/>
    <w:rsid w:val="00157EFE"/>
    <w:rsid w:val="00157F07"/>
    <w:rsid w:val="00157F44"/>
    <w:rsid w:val="00157F6F"/>
    <w:rsid w:val="001600DA"/>
    <w:rsid w:val="001600F2"/>
    <w:rsid w:val="001601AE"/>
    <w:rsid w:val="0016031C"/>
    <w:rsid w:val="0016058F"/>
    <w:rsid w:val="00160609"/>
    <w:rsid w:val="00160719"/>
    <w:rsid w:val="001607DD"/>
    <w:rsid w:val="00160856"/>
    <w:rsid w:val="001608A2"/>
    <w:rsid w:val="001608F5"/>
    <w:rsid w:val="00160B95"/>
    <w:rsid w:val="00160C2B"/>
    <w:rsid w:val="00160CF5"/>
    <w:rsid w:val="00160DC3"/>
    <w:rsid w:val="00160F0B"/>
    <w:rsid w:val="00161304"/>
    <w:rsid w:val="0016166D"/>
    <w:rsid w:val="00161677"/>
    <w:rsid w:val="0016195F"/>
    <w:rsid w:val="001619C5"/>
    <w:rsid w:val="001619F1"/>
    <w:rsid w:val="00161B4D"/>
    <w:rsid w:val="00161BBE"/>
    <w:rsid w:val="00161BD4"/>
    <w:rsid w:val="00161CCF"/>
    <w:rsid w:val="00161F3D"/>
    <w:rsid w:val="00161F64"/>
    <w:rsid w:val="00161F9E"/>
    <w:rsid w:val="0016218B"/>
    <w:rsid w:val="00162276"/>
    <w:rsid w:val="0016259D"/>
    <w:rsid w:val="001626A1"/>
    <w:rsid w:val="001626C3"/>
    <w:rsid w:val="00162A3C"/>
    <w:rsid w:val="00162BDD"/>
    <w:rsid w:val="00162C38"/>
    <w:rsid w:val="00162C48"/>
    <w:rsid w:val="00162E43"/>
    <w:rsid w:val="00162E46"/>
    <w:rsid w:val="00162EA0"/>
    <w:rsid w:val="00162EA9"/>
    <w:rsid w:val="00162EE2"/>
    <w:rsid w:val="00163050"/>
    <w:rsid w:val="00163090"/>
    <w:rsid w:val="00163225"/>
    <w:rsid w:val="001632DD"/>
    <w:rsid w:val="001637C8"/>
    <w:rsid w:val="001637FF"/>
    <w:rsid w:val="00163824"/>
    <w:rsid w:val="00163900"/>
    <w:rsid w:val="00163B36"/>
    <w:rsid w:val="00163BC3"/>
    <w:rsid w:val="00163F41"/>
    <w:rsid w:val="00163F4E"/>
    <w:rsid w:val="00163FD9"/>
    <w:rsid w:val="00164115"/>
    <w:rsid w:val="00164261"/>
    <w:rsid w:val="0016437D"/>
    <w:rsid w:val="001643B6"/>
    <w:rsid w:val="0016451A"/>
    <w:rsid w:val="001645BA"/>
    <w:rsid w:val="00164716"/>
    <w:rsid w:val="00164718"/>
    <w:rsid w:val="0016481C"/>
    <w:rsid w:val="001648B8"/>
    <w:rsid w:val="00164B27"/>
    <w:rsid w:val="00164B92"/>
    <w:rsid w:val="00164CB9"/>
    <w:rsid w:val="00164D28"/>
    <w:rsid w:val="00164F88"/>
    <w:rsid w:val="00165202"/>
    <w:rsid w:val="0016522F"/>
    <w:rsid w:val="001652EB"/>
    <w:rsid w:val="0016544B"/>
    <w:rsid w:val="00165475"/>
    <w:rsid w:val="00165597"/>
    <w:rsid w:val="00165711"/>
    <w:rsid w:val="00165831"/>
    <w:rsid w:val="001658A1"/>
    <w:rsid w:val="00165AF0"/>
    <w:rsid w:val="00165B82"/>
    <w:rsid w:val="00165BDC"/>
    <w:rsid w:val="00165DAB"/>
    <w:rsid w:val="00165F87"/>
    <w:rsid w:val="001663DF"/>
    <w:rsid w:val="001665A0"/>
    <w:rsid w:val="001665CB"/>
    <w:rsid w:val="0016669E"/>
    <w:rsid w:val="0016681D"/>
    <w:rsid w:val="00166908"/>
    <w:rsid w:val="001669D9"/>
    <w:rsid w:val="00166AC1"/>
    <w:rsid w:val="00166ADA"/>
    <w:rsid w:val="00166B1D"/>
    <w:rsid w:val="00166B29"/>
    <w:rsid w:val="00166B36"/>
    <w:rsid w:val="00166BBE"/>
    <w:rsid w:val="00166BDD"/>
    <w:rsid w:val="00166DD9"/>
    <w:rsid w:val="00166E4F"/>
    <w:rsid w:val="00167159"/>
    <w:rsid w:val="00167311"/>
    <w:rsid w:val="00167421"/>
    <w:rsid w:val="00167488"/>
    <w:rsid w:val="001674B9"/>
    <w:rsid w:val="001675A7"/>
    <w:rsid w:val="00167623"/>
    <w:rsid w:val="0016773D"/>
    <w:rsid w:val="00167890"/>
    <w:rsid w:val="001679DC"/>
    <w:rsid w:val="00167C4D"/>
    <w:rsid w:val="00167C88"/>
    <w:rsid w:val="00167FAB"/>
    <w:rsid w:val="00167FB0"/>
    <w:rsid w:val="0017016E"/>
    <w:rsid w:val="00170213"/>
    <w:rsid w:val="001702E9"/>
    <w:rsid w:val="00170376"/>
    <w:rsid w:val="001704D9"/>
    <w:rsid w:val="00170651"/>
    <w:rsid w:val="001706E6"/>
    <w:rsid w:val="00170735"/>
    <w:rsid w:val="001707B4"/>
    <w:rsid w:val="001707F3"/>
    <w:rsid w:val="0017097B"/>
    <w:rsid w:val="00170AC3"/>
    <w:rsid w:val="00170F0C"/>
    <w:rsid w:val="00171142"/>
    <w:rsid w:val="00171204"/>
    <w:rsid w:val="00171329"/>
    <w:rsid w:val="001714E3"/>
    <w:rsid w:val="0017151B"/>
    <w:rsid w:val="00171559"/>
    <w:rsid w:val="0017164B"/>
    <w:rsid w:val="00171656"/>
    <w:rsid w:val="0017178C"/>
    <w:rsid w:val="0017182D"/>
    <w:rsid w:val="00171852"/>
    <w:rsid w:val="001718C3"/>
    <w:rsid w:val="00171A86"/>
    <w:rsid w:val="00171AB5"/>
    <w:rsid w:val="00171ABA"/>
    <w:rsid w:val="00171B0A"/>
    <w:rsid w:val="00171BF5"/>
    <w:rsid w:val="00171CCC"/>
    <w:rsid w:val="00171E17"/>
    <w:rsid w:val="001721A4"/>
    <w:rsid w:val="0017221C"/>
    <w:rsid w:val="00172243"/>
    <w:rsid w:val="00172461"/>
    <w:rsid w:val="0017247A"/>
    <w:rsid w:val="001724E5"/>
    <w:rsid w:val="0017279D"/>
    <w:rsid w:val="00172812"/>
    <w:rsid w:val="001728EF"/>
    <w:rsid w:val="00172963"/>
    <w:rsid w:val="001729C1"/>
    <w:rsid w:val="00172A1C"/>
    <w:rsid w:val="00172C89"/>
    <w:rsid w:val="00172D43"/>
    <w:rsid w:val="00172D4B"/>
    <w:rsid w:val="00172FF3"/>
    <w:rsid w:val="00173180"/>
    <w:rsid w:val="001731CA"/>
    <w:rsid w:val="001733E5"/>
    <w:rsid w:val="001736EC"/>
    <w:rsid w:val="001737D8"/>
    <w:rsid w:val="0017399C"/>
    <w:rsid w:val="00173C2C"/>
    <w:rsid w:val="00173C2F"/>
    <w:rsid w:val="00173CDB"/>
    <w:rsid w:val="00173CEE"/>
    <w:rsid w:val="00173D05"/>
    <w:rsid w:val="00173D0E"/>
    <w:rsid w:val="00173D5C"/>
    <w:rsid w:val="00173DD0"/>
    <w:rsid w:val="00173F2D"/>
    <w:rsid w:val="00173FCB"/>
    <w:rsid w:val="00174242"/>
    <w:rsid w:val="00174359"/>
    <w:rsid w:val="001744CA"/>
    <w:rsid w:val="001744F7"/>
    <w:rsid w:val="001746D3"/>
    <w:rsid w:val="001746E4"/>
    <w:rsid w:val="0017478E"/>
    <w:rsid w:val="00174965"/>
    <w:rsid w:val="001749BB"/>
    <w:rsid w:val="00174B9E"/>
    <w:rsid w:val="00174C72"/>
    <w:rsid w:val="00174CAA"/>
    <w:rsid w:val="00174CF0"/>
    <w:rsid w:val="00174DA6"/>
    <w:rsid w:val="00174DCB"/>
    <w:rsid w:val="00174DFD"/>
    <w:rsid w:val="00174E4D"/>
    <w:rsid w:val="0017504D"/>
    <w:rsid w:val="001752C5"/>
    <w:rsid w:val="00175509"/>
    <w:rsid w:val="00175510"/>
    <w:rsid w:val="00175773"/>
    <w:rsid w:val="00175814"/>
    <w:rsid w:val="001758DB"/>
    <w:rsid w:val="00175975"/>
    <w:rsid w:val="00175BE9"/>
    <w:rsid w:val="00175F54"/>
    <w:rsid w:val="0017608F"/>
    <w:rsid w:val="001760C7"/>
    <w:rsid w:val="0017618E"/>
    <w:rsid w:val="00176213"/>
    <w:rsid w:val="00176328"/>
    <w:rsid w:val="0017632C"/>
    <w:rsid w:val="001763D1"/>
    <w:rsid w:val="00176511"/>
    <w:rsid w:val="0017669F"/>
    <w:rsid w:val="0017670A"/>
    <w:rsid w:val="001767C0"/>
    <w:rsid w:val="00176A0C"/>
    <w:rsid w:val="00176AD6"/>
    <w:rsid w:val="00176B22"/>
    <w:rsid w:val="00176B57"/>
    <w:rsid w:val="00176B73"/>
    <w:rsid w:val="00176BB7"/>
    <w:rsid w:val="00176C09"/>
    <w:rsid w:val="00176CF6"/>
    <w:rsid w:val="00176E3E"/>
    <w:rsid w:val="00176E68"/>
    <w:rsid w:val="00176FB0"/>
    <w:rsid w:val="0017713E"/>
    <w:rsid w:val="0017715B"/>
    <w:rsid w:val="0017728A"/>
    <w:rsid w:val="001772BB"/>
    <w:rsid w:val="001772EB"/>
    <w:rsid w:val="001773B6"/>
    <w:rsid w:val="0017747E"/>
    <w:rsid w:val="001774E4"/>
    <w:rsid w:val="001774EA"/>
    <w:rsid w:val="001775A1"/>
    <w:rsid w:val="001775B4"/>
    <w:rsid w:val="00177606"/>
    <w:rsid w:val="0017762A"/>
    <w:rsid w:val="001777B8"/>
    <w:rsid w:val="001777D4"/>
    <w:rsid w:val="001778FB"/>
    <w:rsid w:val="0017790F"/>
    <w:rsid w:val="0017794F"/>
    <w:rsid w:val="00177AC8"/>
    <w:rsid w:val="00177B23"/>
    <w:rsid w:val="00177C25"/>
    <w:rsid w:val="00177D88"/>
    <w:rsid w:val="00177E99"/>
    <w:rsid w:val="00177EC5"/>
    <w:rsid w:val="00180031"/>
    <w:rsid w:val="001800C0"/>
    <w:rsid w:val="001801F5"/>
    <w:rsid w:val="001806A6"/>
    <w:rsid w:val="0018070F"/>
    <w:rsid w:val="00180743"/>
    <w:rsid w:val="0018081C"/>
    <w:rsid w:val="0018087B"/>
    <w:rsid w:val="00180942"/>
    <w:rsid w:val="00180989"/>
    <w:rsid w:val="001809AB"/>
    <w:rsid w:val="00180B1F"/>
    <w:rsid w:val="00180CA6"/>
    <w:rsid w:val="00180DF9"/>
    <w:rsid w:val="00180E26"/>
    <w:rsid w:val="00180F4A"/>
    <w:rsid w:val="00180F7C"/>
    <w:rsid w:val="00180FB5"/>
    <w:rsid w:val="00181011"/>
    <w:rsid w:val="0018102A"/>
    <w:rsid w:val="0018103A"/>
    <w:rsid w:val="001810CF"/>
    <w:rsid w:val="001810ED"/>
    <w:rsid w:val="00181133"/>
    <w:rsid w:val="001811A6"/>
    <w:rsid w:val="00181407"/>
    <w:rsid w:val="00181424"/>
    <w:rsid w:val="00181429"/>
    <w:rsid w:val="001814D3"/>
    <w:rsid w:val="0018151E"/>
    <w:rsid w:val="00181524"/>
    <w:rsid w:val="001815CE"/>
    <w:rsid w:val="00181642"/>
    <w:rsid w:val="00181694"/>
    <w:rsid w:val="001817A1"/>
    <w:rsid w:val="00181846"/>
    <w:rsid w:val="00181B09"/>
    <w:rsid w:val="00181D79"/>
    <w:rsid w:val="00181DE2"/>
    <w:rsid w:val="00181F38"/>
    <w:rsid w:val="001820C0"/>
    <w:rsid w:val="001821EE"/>
    <w:rsid w:val="0018229B"/>
    <w:rsid w:val="001825AD"/>
    <w:rsid w:val="001825B1"/>
    <w:rsid w:val="001826FF"/>
    <w:rsid w:val="0018274F"/>
    <w:rsid w:val="00182757"/>
    <w:rsid w:val="00182820"/>
    <w:rsid w:val="001829F8"/>
    <w:rsid w:val="00182AB3"/>
    <w:rsid w:val="00182B5F"/>
    <w:rsid w:val="00182C62"/>
    <w:rsid w:val="00182CB6"/>
    <w:rsid w:val="00182F73"/>
    <w:rsid w:val="0018317E"/>
    <w:rsid w:val="0018340B"/>
    <w:rsid w:val="00183561"/>
    <w:rsid w:val="0018381E"/>
    <w:rsid w:val="0018395C"/>
    <w:rsid w:val="00183C2A"/>
    <w:rsid w:val="00183C3F"/>
    <w:rsid w:val="00183D28"/>
    <w:rsid w:val="00183DA3"/>
    <w:rsid w:val="00183DED"/>
    <w:rsid w:val="001840E8"/>
    <w:rsid w:val="00184157"/>
    <w:rsid w:val="00184216"/>
    <w:rsid w:val="00184232"/>
    <w:rsid w:val="001842B7"/>
    <w:rsid w:val="00184313"/>
    <w:rsid w:val="001845EC"/>
    <w:rsid w:val="001846C1"/>
    <w:rsid w:val="0018473C"/>
    <w:rsid w:val="0018474B"/>
    <w:rsid w:val="00184816"/>
    <w:rsid w:val="00184918"/>
    <w:rsid w:val="00184961"/>
    <w:rsid w:val="00184B52"/>
    <w:rsid w:val="00184B7E"/>
    <w:rsid w:val="00184DC4"/>
    <w:rsid w:val="00184F2A"/>
    <w:rsid w:val="00185050"/>
    <w:rsid w:val="00185080"/>
    <w:rsid w:val="0018514D"/>
    <w:rsid w:val="00185218"/>
    <w:rsid w:val="0018529D"/>
    <w:rsid w:val="00185614"/>
    <w:rsid w:val="001856D9"/>
    <w:rsid w:val="00185723"/>
    <w:rsid w:val="00185750"/>
    <w:rsid w:val="001857F4"/>
    <w:rsid w:val="001857F8"/>
    <w:rsid w:val="001859EA"/>
    <w:rsid w:val="00185A1A"/>
    <w:rsid w:val="00185A6E"/>
    <w:rsid w:val="00185AE6"/>
    <w:rsid w:val="00185DD0"/>
    <w:rsid w:val="00185F1C"/>
    <w:rsid w:val="0018640D"/>
    <w:rsid w:val="001864E7"/>
    <w:rsid w:val="00186620"/>
    <w:rsid w:val="00186745"/>
    <w:rsid w:val="00186875"/>
    <w:rsid w:val="00186927"/>
    <w:rsid w:val="00186B21"/>
    <w:rsid w:val="00186C0B"/>
    <w:rsid w:val="00186D55"/>
    <w:rsid w:val="00186D75"/>
    <w:rsid w:val="00186E40"/>
    <w:rsid w:val="00186F63"/>
    <w:rsid w:val="0018725C"/>
    <w:rsid w:val="001872DD"/>
    <w:rsid w:val="0018738C"/>
    <w:rsid w:val="001873C5"/>
    <w:rsid w:val="0018740C"/>
    <w:rsid w:val="0018745A"/>
    <w:rsid w:val="001875FE"/>
    <w:rsid w:val="001876A3"/>
    <w:rsid w:val="001876EF"/>
    <w:rsid w:val="00187703"/>
    <w:rsid w:val="001877AF"/>
    <w:rsid w:val="001879F8"/>
    <w:rsid w:val="00187C82"/>
    <w:rsid w:val="00187CD4"/>
    <w:rsid w:val="00187F38"/>
    <w:rsid w:val="00187F39"/>
    <w:rsid w:val="001900C2"/>
    <w:rsid w:val="001900EB"/>
    <w:rsid w:val="00190237"/>
    <w:rsid w:val="00190337"/>
    <w:rsid w:val="0019053C"/>
    <w:rsid w:val="001906A5"/>
    <w:rsid w:val="001908B0"/>
    <w:rsid w:val="001908D0"/>
    <w:rsid w:val="001909AA"/>
    <w:rsid w:val="00190B69"/>
    <w:rsid w:val="00190C56"/>
    <w:rsid w:val="00190D47"/>
    <w:rsid w:val="00190D9C"/>
    <w:rsid w:val="00190E6D"/>
    <w:rsid w:val="0019109C"/>
    <w:rsid w:val="00191191"/>
    <w:rsid w:val="00191217"/>
    <w:rsid w:val="001912CB"/>
    <w:rsid w:val="00191301"/>
    <w:rsid w:val="001915D6"/>
    <w:rsid w:val="001916B8"/>
    <w:rsid w:val="001917F2"/>
    <w:rsid w:val="0019181E"/>
    <w:rsid w:val="00191D15"/>
    <w:rsid w:val="00191EED"/>
    <w:rsid w:val="00191F41"/>
    <w:rsid w:val="00191FB4"/>
    <w:rsid w:val="0019231F"/>
    <w:rsid w:val="001923A3"/>
    <w:rsid w:val="001923C0"/>
    <w:rsid w:val="00192444"/>
    <w:rsid w:val="0019244D"/>
    <w:rsid w:val="00192567"/>
    <w:rsid w:val="001925D2"/>
    <w:rsid w:val="00192935"/>
    <w:rsid w:val="001929C5"/>
    <w:rsid w:val="00192C0D"/>
    <w:rsid w:val="00192DAB"/>
    <w:rsid w:val="00192E57"/>
    <w:rsid w:val="001931B7"/>
    <w:rsid w:val="001932D3"/>
    <w:rsid w:val="0019350E"/>
    <w:rsid w:val="001935C7"/>
    <w:rsid w:val="001935E8"/>
    <w:rsid w:val="00193685"/>
    <w:rsid w:val="001939A7"/>
    <w:rsid w:val="00193A30"/>
    <w:rsid w:val="00193AC2"/>
    <w:rsid w:val="00193B23"/>
    <w:rsid w:val="00193BF6"/>
    <w:rsid w:val="00193D5E"/>
    <w:rsid w:val="00193F48"/>
    <w:rsid w:val="00193F54"/>
    <w:rsid w:val="00193F78"/>
    <w:rsid w:val="00193FAB"/>
    <w:rsid w:val="00193FDE"/>
    <w:rsid w:val="00194107"/>
    <w:rsid w:val="00194150"/>
    <w:rsid w:val="0019430A"/>
    <w:rsid w:val="0019456A"/>
    <w:rsid w:val="0019462F"/>
    <w:rsid w:val="0019464B"/>
    <w:rsid w:val="00194658"/>
    <w:rsid w:val="001946B6"/>
    <w:rsid w:val="001947CB"/>
    <w:rsid w:val="0019481C"/>
    <w:rsid w:val="00194865"/>
    <w:rsid w:val="001949D3"/>
    <w:rsid w:val="00194BBA"/>
    <w:rsid w:val="00194BED"/>
    <w:rsid w:val="00194CB3"/>
    <w:rsid w:val="00194CF5"/>
    <w:rsid w:val="00194CFF"/>
    <w:rsid w:val="00194F7D"/>
    <w:rsid w:val="00194F91"/>
    <w:rsid w:val="00194FCD"/>
    <w:rsid w:val="00194FD8"/>
    <w:rsid w:val="0019513A"/>
    <w:rsid w:val="00195175"/>
    <w:rsid w:val="0019522C"/>
    <w:rsid w:val="00195294"/>
    <w:rsid w:val="00195667"/>
    <w:rsid w:val="001957ED"/>
    <w:rsid w:val="00195993"/>
    <w:rsid w:val="00195A9E"/>
    <w:rsid w:val="00195CC1"/>
    <w:rsid w:val="00195D60"/>
    <w:rsid w:val="00195DAE"/>
    <w:rsid w:val="00195E81"/>
    <w:rsid w:val="00195F8E"/>
    <w:rsid w:val="00196214"/>
    <w:rsid w:val="00196229"/>
    <w:rsid w:val="00196294"/>
    <w:rsid w:val="00196298"/>
    <w:rsid w:val="0019662F"/>
    <w:rsid w:val="0019675D"/>
    <w:rsid w:val="001967EF"/>
    <w:rsid w:val="001967FF"/>
    <w:rsid w:val="001968AF"/>
    <w:rsid w:val="00196B04"/>
    <w:rsid w:val="00196B49"/>
    <w:rsid w:val="00196C7B"/>
    <w:rsid w:val="00196CBF"/>
    <w:rsid w:val="00196CC0"/>
    <w:rsid w:val="00196D23"/>
    <w:rsid w:val="00196EC4"/>
    <w:rsid w:val="001970AB"/>
    <w:rsid w:val="0019717C"/>
    <w:rsid w:val="001971A4"/>
    <w:rsid w:val="00197221"/>
    <w:rsid w:val="0019723E"/>
    <w:rsid w:val="001972DE"/>
    <w:rsid w:val="001973BB"/>
    <w:rsid w:val="0019758D"/>
    <w:rsid w:val="0019765F"/>
    <w:rsid w:val="00197660"/>
    <w:rsid w:val="00197682"/>
    <w:rsid w:val="00197713"/>
    <w:rsid w:val="00197737"/>
    <w:rsid w:val="001977CA"/>
    <w:rsid w:val="00197AC8"/>
    <w:rsid w:val="00197B73"/>
    <w:rsid w:val="00197B7B"/>
    <w:rsid w:val="00197C04"/>
    <w:rsid w:val="00197CE3"/>
    <w:rsid w:val="00197D6F"/>
    <w:rsid w:val="00197DA9"/>
    <w:rsid w:val="00197EAF"/>
    <w:rsid w:val="00197F30"/>
    <w:rsid w:val="001A01AC"/>
    <w:rsid w:val="001A0201"/>
    <w:rsid w:val="001A02B0"/>
    <w:rsid w:val="001A034D"/>
    <w:rsid w:val="001A050B"/>
    <w:rsid w:val="001A08E3"/>
    <w:rsid w:val="001A09CF"/>
    <w:rsid w:val="001A0A3A"/>
    <w:rsid w:val="001A0A91"/>
    <w:rsid w:val="001A0B8D"/>
    <w:rsid w:val="001A0BEE"/>
    <w:rsid w:val="001A0C2A"/>
    <w:rsid w:val="001A0C76"/>
    <w:rsid w:val="001A0C81"/>
    <w:rsid w:val="001A0C8D"/>
    <w:rsid w:val="001A0CB3"/>
    <w:rsid w:val="001A0CE6"/>
    <w:rsid w:val="001A0D82"/>
    <w:rsid w:val="001A0FCE"/>
    <w:rsid w:val="001A13D6"/>
    <w:rsid w:val="001A160B"/>
    <w:rsid w:val="001A16BB"/>
    <w:rsid w:val="001A18DC"/>
    <w:rsid w:val="001A197E"/>
    <w:rsid w:val="001A1B21"/>
    <w:rsid w:val="001A1BD8"/>
    <w:rsid w:val="001A1C17"/>
    <w:rsid w:val="001A1E66"/>
    <w:rsid w:val="001A1FFA"/>
    <w:rsid w:val="001A2041"/>
    <w:rsid w:val="001A21A9"/>
    <w:rsid w:val="001A21F5"/>
    <w:rsid w:val="001A2268"/>
    <w:rsid w:val="001A22A3"/>
    <w:rsid w:val="001A2354"/>
    <w:rsid w:val="001A23E3"/>
    <w:rsid w:val="001A25AF"/>
    <w:rsid w:val="001A2681"/>
    <w:rsid w:val="001A2843"/>
    <w:rsid w:val="001A292A"/>
    <w:rsid w:val="001A2940"/>
    <w:rsid w:val="001A2965"/>
    <w:rsid w:val="001A2A21"/>
    <w:rsid w:val="001A2AC6"/>
    <w:rsid w:val="001A2EC2"/>
    <w:rsid w:val="001A2FA1"/>
    <w:rsid w:val="001A3088"/>
    <w:rsid w:val="001A3097"/>
    <w:rsid w:val="001A3145"/>
    <w:rsid w:val="001A33A4"/>
    <w:rsid w:val="001A33AB"/>
    <w:rsid w:val="001A343A"/>
    <w:rsid w:val="001A3465"/>
    <w:rsid w:val="001A3522"/>
    <w:rsid w:val="001A353E"/>
    <w:rsid w:val="001A37FD"/>
    <w:rsid w:val="001A3AF3"/>
    <w:rsid w:val="001A3C03"/>
    <w:rsid w:val="001A3C71"/>
    <w:rsid w:val="001A3D76"/>
    <w:rsid w:val="001A3DF2"/>
    <w:rsid w:val="001A3EDF"/>
    <w:rsid w:val="001A4072"/>
    <w:rsid w:val="001A407E"/>
    <w:rsid w:val="001A4296"/>
    <w:rsid w:val="001A430D"/>
    <w:rsid w:val="001A439D"/>
    <w:rsid w:val="001A43B8"/>
    <w:rsid w:val="001A458C"/>
    <w:rsid w:val="001A45E1"/>
    <w:rsid w:val="001A4756"/>
    <w:rsid w:val="001A4832"/>
    <w:rsid w:val="001A492E"/>
    <w:rsid w:val="001A49A4"/>
    <w:rsid w:val="001A4BB6"/>
    <w:rsid w:val="001A4DFC"/>
    <w:rsid w:val="001A4E59"/>
    <w:rsid w:val="001A4F27"/>
    <w:rsid w:val="001A4F65"/>
    <w:rsid w:val="001A4FB4"/>
    <w:rsid w:val="001A5004"/>
    <w:rsid w:val="001A516A"/>
    <w:rsid w:val="001A5336"/>
    <w:rsid w:val="001A5358"/>
    <w:rsid w:val="001A53E4"/>
    <w:rsid w:val="001A5549"/>
    <w:rsid w:val="001A5582"/>
    <w:rsid w:val="001A55FB"/>
    <w:rsid w:val="001A5613"/>
    <w:rsid w:val="001A5668"/>
    <w:rsid w:val="001A568B"/>
    <w:rsid w:val="001A5692"/>
    <w:rsid w:val="001A587E"/>
    <w:rsid w:val="001A592A"/>
    <w:rsid w:val="001A5AA6"/>
    <w:rsid w:val="001A5C7A"/>
    <w:rsid w:val="001A5F3F"/>
    <w:rsid w:val="001A6097"/>
    <w:rsid w:val="001A60D8"/>
    <w:rsid w:val="001A61B9"/>
    <w:rsid w:val="001A62A8"/>
    <w:rsid w:val="001A6486"/>
    <w:rsid w:val="001A669B"/>
    <w:rsid w:val="001A6F0C"/>
    <w:rsid w:val="001A6FFF"/>
    <w:rsid w:val="001A7067"/>
    <w:rsid w:val="001A7097"/>
    <w:rsid w:val="001A7156"/>
    <w:rsid w:val="001A7231"/>
    <w:rsid w:val="001A72C7"/>
    <w:rsid w:val="001A7308"/>
    <w:rsid w:val="001A747A"/>
    <w:rsid w:val="001A7482"/>
    <w:rsid w:val="001A7508"/>
    <w:rsid w:val="001A75BC"/>
    <w:rsid w:val="001A75D6"/>
    <w:rsid w:val="001A760B"/>
    <w:rsid w:val="001A763B"/>
    <w:rsid w:val="001A7732"/>
    <w:rsid w:val="001A77C1"/>
    <w:rsid w:val="001A78AB"/>
    <w:rsid w:val="001A7B0E"/>
    <w:rsid w:val="001A7B8C"/>
    <w:rsid w:val="001A7C58"/>
    <w:rsid w:val="001A7CFE"/>
    <w:rsid w:val="001A7D5D"/>
    <w:rsid w:val="001A7DB6"/>
    <w:rsid w:val="001A7E23"/>
    <w:rsid w:val="001A7FC6"/>
    <w:rsid w:val="001A7FDB"/>
    <w:rsid w:val="001B0173"/>
    <w:rsid w:val="001B018F"/>
    <w:rsid w:val="001B0324"/>
    <w:rsid w:val="001B0326"/>
    <w:rsid w:val="001B0350"/>
    <w:rsid w:val="001B045E"/>
    <w:rsid w:val="001B06F0"/>
    <w:rsid w:val="001B07F6"/>
    <w:rsid w:val="001B0844"/>
    <w:rsid w:val="001B08D3"/>
    <w:rsid w:val="001B0978"/>
    <w:rsid w:val="001B0B50"/>
    <w:rsid w:val="001B0C09"/>
    <w:rsid w:val="001B0C7D"/>
    <w:rsid w:val="001B0D41"/>
    <w:rsid w:val="001B0E95"/>
    <w:rsid w:val="001B0F0D"/>
    <w:rsid w:val="001B0FA2"/>
    <w:rsid w:val="001B0FB8"/>
    <w:rsid w:val="001B1027"/>
    <w:rsid w:val="001B105C"/>
    <w:rsid w:val="001B1346"/>
    <w:rsid w:val="001B1355"/>
    <w:rsid w:val="001B1537"/>
    <w:rsid w:val="001B1549"/>
    <w:rsid w:val="001B1573"/>
    <w:rsid w:val="001B1797"/>
    <w:rsid w:val="001B1843"/>
    <w:rsid w:val="001B19B2"/>
    <w:rsid w:val="001B1B80"/>
    <w:rsid w:val="001B1D01"/>
    <w:rsid w:val="001B1D49"/>
    <w:rsid w:val="001B1D55"/>
    <w:rsid w:val="001B1EB9"/>
    <w:rsid w:val="001B21A4"/>
    <w:rsid w:val="001B21E5"/>
    <w:rsid w:val="001B2349"/>
    <w:rsid w:val="001B23EA"/>
    <w:rsid w:val="001B248B"/>
    <w:rsid w:val="001B24E8"/>
    <w:rsid w:val="001B251A"/>
    <w:rsid w:val="001B2694"/>
    <w:rsid w:val="001B2697"/>
    <w:rsid w:val="001B283F"/>
    <w:rsid w:val="001B2915"/>
    <w:rsid w:val="001B29DE"/>
    <w:rsid w:val="001B2BD2"/>
    <w:rsid w:val="001B2E72"/>
    <w:rsid w:val="001B2F09"/>
    <w:rsid w:val="001B30D1"/>
    <w:rsid w:val="001B32E7"/>
    <w:rsid w:val="001B3337"/>
    <w:rsid w:val="001B334E"/>
    <w:rsid w:val="001B33A2"/>
    <w:rsid w:val="001B3402"/>
    <w:rsid w:val="001B3437"/>
    <w:rsid w:val="001B3507"/>
    <w:rsid w:val="001B363C"/>
    <w:rsid w:val="001B38C0"/>
    <w:rsid w:val="001B394F"/>
    <w:rsid w:val="001B3A30"/>
    <w:rsid w:val="001B3A83"/>
    <w:rsid w:val="001B3C09"/>
    <w:rsid w:val="001B3CD7"/>
    <w:rsid w:val="001B3E1C"/>
    <w:rsid w:val="001B3F32"/>
    <w:rsid w:val="001B4030"/>
    <w:rsid w:val="001B41C3"/>
    <w:rsid w:val="001B42E7"/>
    <w:rsid w:val="001B42F1"/>
    <w:rsid w:val="001B438C"/>
    <w:rsid w:val="001B4507"/>
    <w:rsid w:val="001B45AF"/>
    <w:rsid w:val="001B49BA"/>
    <w:rsid w:val="001B4A12"/>
    <w:rsid w:val="001B4B03"/>
    <w:rsid w:val="001B4B73"/>
    <w:rsid w:val="001B4C3D"/>
    <w:rsid w:val="001B4CB6"/>
    <w:rsid w:val="001B4CE2"/>
    <w:rsid w:val="001B4E2D"/>
    <w:rsid w:val="001B4FE8"/>
    <w:rsid w:val="001B5068"/>
    <w:rsid w:val="001B508C"/>
    <w:rsid w:val="001B538E"/>
    <w:rsid w:val="001B539F"/>
    <w:rsid w:val="001B55E6"/>
    <w:rsid w:val="001B56E0"/>
    <w:rsid w:val="001B5971"/>
    <w:rsid w:val="001B5988"/>
    <w:rsid w:val="001B5A84"/>
    <w:rsid w:val="001B5B5D"/>
    <w:rsid w:val="001B5BAF"/>
    <w:rsid w:val="001B5CE9"/>
    <w:rsid w:val="001B5D22"/>
    <w:rsid w:val="001B60BA"/>
    <w:rsid w:val="001B60D1"/>
    <w:rsid w:val="001B6102"/>
    <w:rsid w:val="001B622E"/>
    <w:rsid w:val="001B6489"/>
    <w:rsid w:val="001B693E"/>
    <w:rsid w:val="001B69A6"/>
    <w:rsid w:val="001B6BBE"/>
    <w:rsid w:val="001B6C17"/>
    <w:rsid w:val="001B6CAE"/>
    <w:rsid w:val="001B6D23"/>
    <w:rsid w:val="001B6DC8"/>
    <w:rsid w:val="001B6E48"/>
    <w:rsid w:val="001B6F34"/>
    <w:rsid w:val="001B6F8F"/>
    <w:rsid w:val="001B70E7"/>
    <w:rsid w:val="001B7481"/>
    <w:rsid w:val="001B752D"/>
    <w:rsid w:val="001B763B"/>
    <w:rsid w:val="001B7A1E"/>
    <w:rsid w:val="001B7A81"/>
    <w:rsid w:val="001B7DE0"/>
    <w:rsid w:val="001B7EF6"/>
    <w:rsid w:val="001C0070"/>
    <w:rsid w:val="001C020A"/>
    <w:rsid w:val="001C02E2"/>
    <w:rsid w:val="001C03ED"/>
    <w:rsid w:val="001C044E"/>
    <w:rsid w:val="001C052C"/>
    <w:rsid w:val="001C0538"/>
    <w:rsid w:val="001C05A2"/>
    <w:rsid w:val="001C070E"/>
    <w:rsid w:val="001C0723"/>
    <w:rsid w:val="001C0955"/>
    <w:rsid w:val="001C0B2B"/>
    <w:rsid w:val="001C0C5A"/>
    <w:rsid w:val="001C0D29"/>
    <w:rsid w:val="001C0DFE"/>
    <w:rsid w:val="001C0E24"/>
    <w:rsid w:val="001C0E56"/>
    <w:rsid w:val="001C1161"/>
    <w:rsid w:val="001C1730"/>
    <w:rsid w:val="001C179C"/>
    <w:rsid w:val="001C19E2"/>
    <w:rsid w:val="001C1A0E"/>
    <w:rsid w:val="001C1A7F"/>
    <w:rsid w:val="001C1AFC"/>
    <w:rsid w:val="001C1C83"/>
    <w:rsid w:val="001C1CB9"/>
    <w:rsid w:val="001C1D37"/>
    <w:rsid w:val="001C2053"/>
    <w:rsid w:val="001C20A7"/>
    <w:rsid w:val="001C222F"/>
    <w:rsid w:val="001C23CE"/>
    <w:rsid w:val="001C246C"/>
    <w:rsid w:val="001C24E5"/>
    <w:rsid w:val="001C25C5"/>
    <w:rsid w:val="001C25D4"/>
    <w:rsid w:val="001C268C"/>
    <w:rsid w:val="001C2D10"/>
    <w:rsid w:val="001C2DA8"/>
    <w:rsid w:val="001C2E00"/>
    <w:rsid w:val="001C3122"/>
    <w:rsid w:val="001C3165"/>
    <w:rsid w:val="001C3192"/>
    <w:rsid w:val="001C321B"/>
    <w:rsid w:val="001C3266"/>
    <w:rsid w:val="001C3287"/>
    <w:rsid w:val="001C32F8"/>
    <w:rsid w:val="001C331D"/>
    <w:rsid w:val="001C3593"/>
    <w:rsid w:val="001C360D"/>
    <w:rsid w:val="001C36F5"/>
    <w:rsid w:val="001C3772"/>
    <w:rsid w:val="001C377B"/>
    <w:rsid w:val="001C37A9"/>
    <w:rsid w:val="001C3876"/>
    <w:rsid w:val="001C38CB"/>
    <w:rsid w:val="001C3913"/>
    <w:rsid w:val="001C3A75"/>
    <w:rsid w:val="001C3A9F"/>
    <w:rsid w:val="001C3BE6"/>
    <w:rsid w:val="001C3C22"/>
    <w:rsid w:val="001C3C77"/>
    <w:rsid w:val="001C3CB2"/>
    <w:rsid w:val="001C3CF2"/>
    <w:rsid w:val="001C3D37"/>
    <w:rsid w:val="001C3E60"/>
    <w:rsid w:val="001C3F3E"/>
    <w:rsid w:val="001C3F95"/>
    <w:rsid w:val="001C4140"/>
    <w:rsid w:val="001C41E6"/>
    <w:rsid w:val="001C434B"/>
    <w:rsid w:val="001C4422"/>
    <w:rsid w:val="001C44E1"/>
    <w:rsid w:val="001C4688"/>
    <w:rsid w:val="001C47BA"/>
    <w:rsid w:val="001C47D6"/>
    <w:rsid w:val="001C488F"/>
    <w:rsid w:val="001C49AC"/>
    <w:rsid w:val="001C4A85"/>
    <w:rsid w:val="001C4AB5"/>
    <w:rsid w:val="001C4AFD"/>
    <w:rsid w:val="001C4B3D"/>
    <w:rsid w:val="001C4B67"/>
    <w:rsid w:val="001C4C43"/>
    <w:rsid w:val="001C4DA8"/>
    <w:rsid w:val="001C4DAC"/>
    <w:rsid w:val="001C4E9A"/>
    <w:rsid w:val="001C513D"/>
    <w:rsid w:val="001C553D"/>
    <w:rsid w:val="001C5691"/>
    <w:rsid w:val="001C5693"/>
    <w:rsid w:val="001C56DB"/>
    <w:rsid w:val="001C589A"/>
    <w:rsid w:val="001C58E4"/>
    <w:rsid w:val="001C599C"/>
    <w:rsid w:val="001C5C7C"/>
    <w:rsid w:val="001C5D68"/>
    <w:rsid w:val="001C5DAA"/>
    <w:rsid w:val="001C5E3D"/>
    <w:rsid w:val="001C5E77"/>
    <w:rsid w:val="001C5FC5"/>
    <w:rsid w:val="001C60F4"/>
    <w:rsid w:val="001C623F"/>
    <w:rsid w:val="001C626A"/>
    <w:rsid w:val="001C6399"/>
    <w:rsid w:val="001C6517"/>
    <w:rsid w:val="001C6518"/>
    <w:rsid w:val="001C6526"/>
    <w:rsid w:val="001C6558"/>
    <w:rsid w:val="001C6648"/>
    <w:rsid w:val="001C6849"/>
    <w:rsid w:val="001C6877"/>
    <w:rsid w:val="001C6909"/>
    <w:rsid w:val="001C694F"/>
    <w:rsid w:val="001C6959"/>
    <w:rsid w:val="001C6AA1"/>
    <w:rsid w:val="001C6AD5"/>
    <w:rsid w:val="001C6B54"/>
    <w:rsid w:val="001C6BFE"/>
    <w:rsid w:val="001C6C28"/>
    <w:rsid w:val="001C6C2B"/>
    <w:rsid w:val="001C6C47"/>
    <w:rsid w:val="001C6C4F"/>
    <w:rsid w:val="001C6CFC"/>
    <w:rsid w:val="001C6E0C"/>
    <w:rsid w:val="001C6EBE"/>
    <w:rsid w:val="001C6EC5"/>
    <w:rsid w:val="001C70E3"/>
    <w:rsid w:val="001C71AE"/>
    <w:rsid w:val="001C71DF"/>
    <w:rsid w:val="001C7344"/>
    <w:rsid w:val="001C7346"/>
    <w:rsid w:val="001C7361"/>
    <w:rsid w:val="001C73D6"/>
    <w:rsid w:val="001C7425"/>
    <w:rsid w:val="001C744C"/>
    <w:rsid w:val="001C74F6"/>
    <w:rsid w:val="001C7709"/>
    <w:rsid w:val="001C774F"/>
    <w:rsid w:val="001C7817"/>
    <w:rsid w:val="001C787D"/>
    <w:rsid w:val="001C79CC"/>
    <w:rsid w:val="001C7AA1"/>
    <w:rsid w:val="001C7C4E"/>
    <w:rsid w:val="001C7C6F"/>
    <w:rsid w:val="001C7F99"/>
    <w:rsid w:val="001C7FBF"/>
    <w:rsid w:val="001C7FD0"/>
    <w:rsid w:val="001D0030"/>
    <w:rsid w:val="001D00B6"/>
    <w:rsid w:val="001D00C9"/>
    <w:rsid w:val="001D0121"/>
    <w:rsid w:val="001D01F1"/>
    <w:rsid w:val="001D0283"/>
    <w:rsid w:val="001D0306"/>
    <w:rsid w:val="001D03CA"/>
    <w:rsid w:val="001D03E0"/>
    <w:rsid w:val="001D041B"/>
    <w:rsid w:val="001D077B"/>
    <w:rsid w:val="001D097D"/>
    <w:rsid w:val="001D0AA8"/>
    <w:rsid w:val="001D0BA9"/>
    <w:rsid w:val="001D0CCD"/>
    <w:rsid w:val="001D0E39"/>
    <w:rsid w:val="001D0F6F"/>
    <w:rsid w:val="001D0F75"/>
    <w:rsid w:val="001D107B"/>
    <w:rsid w:val="001D120D"/>
    <w:rsid w:val="001D1319"/>
    <w:rsid w:val="001D13BD"/>
    <w:rsid w:val="001D153C"/>
    <w:rsid w:val="001D1688"/>
    <w:rsid w:val="001D1713"/>
    <w:rsid w:val="001D176F"/>
    <w:rsid w:val="001D18DE"/>
    <w:rsid w:val="001D18EA"/>
    <w:rsid w:val="001D193D"/>
    <w:rsid w:val="001D19B5"/>
    <w:rsid w:val="001D1A24"/>
    <w:rsid w:val="001D1A46"/>
    <w:rsid w:val="001D1CCB"/>
    <w:rsid w:val="001D1D8B"/>
    <w:rsid w:val="001D1E4B"/>
    <w:rsid w:val="001D1EF8"/>
    <w:rsid w:val="001D1F18"/>
    <w:rsid w:val="001D2283"/>
    <w:rsid w:val="001D23FB"/>
    <w:rsid w:val="001D2442"/>
    <w:rsid w:val="001D2461"/>
    <w:rsid w:val="001D24A0"/>
    <w:rsid w:val="001D2581"/>
    <w:rsid w:val="001D2702"/>
    <w:rsid w:val="001D2779"/>
    <w:rsid w:val="001D27BF"/>
    <w:rsid w:val="001D2CBC"/>
    <w:rsid w:val="001D2DD3"/>
    <w:rsid w:val="001D2E92"/>
    <w:rsid w:val="001D2F40"/>
    <w:rsid w:val="001D300C"/>
    <w:rsid w:val="001D313F"/>
    <w:rsid w:val="001D32CD"/>
    <w:rsid w:val="001D3432"/>
    <w:rsid w:val="001D3436"/>
    <w:rsid w:val="001D3510"/>
    <w:rsid w:val="001D3557"/>
    <w:rsid w:val="001D3653"/>
    <w:rsid w:val="001D365B"/>
    <w:rsid w:val="001D3804"/>
    <w:rsid w:val="001D3A7B"/>
    <w:rsid w:val="001D3B91"/>
    <w:rsid w:val="001D3C15"/>
    <w:rsid w:val="001D3D15"/>
    <w:rsid w:val="001D3DB3"/>
    <w:rsid w:val="001D3F7E"/>
    <w:rsid w:val="001D3FED"/>
    <w:rsid w:val="001D40A1"/>
    <w:rsid w:val="001D4127"/>
    <w:rsid w:val="001D427D"/>
    <w:rsid w:val="001D4387"/>
    <w:rsid w:val="001D4515"/>
    <w:rsid w:val="001D4599"/>
    <w:rsid w:val="001D4633"/>
    <w:rsid w:val="001D464A"/>
    <w:rsid w:val="001D4710"/>
    <w:rsid w:val="001D483B"/>
    <w:rsid w:val="001D49A9"/>
    <w:rsid w:val="001D49CE"/>
    <w:rsid w:val="001D49F5"/>
    <w:rsid w:val="001D49F7"/>
    <w:rsid w:val="001D4B48"/>
    <w:rsid w:val="001D4C9A"/>
    <w:rsid w:val="001D4CEB"/>
    <w:rsid w:val="001D4F81"/>
    <w:rsid w:val="001D4F99"/>
    <w:rsid w:val="001D5083"/>
    <w:rsid w:val="001D50C2"/>
    <w:rsid w:val="001D5120"/>
    <w:rsid w:val="001D5169"/>
    <w:rsid w:val="001D5477"/>
    <w:rsid w:val="001D564F"/>
    <w:rsid w:val="001D57EB"/>
    <w:rsid w:val="001D5809"/>
    <w:rsid w:val="001D5880"/>
    <w:rsid w:val="001D58C9"/>
    <w:rsid w:val="001D5AFB"/>
    <w:rsid w:val="001D5B44"/>
    <w:rsid w:val="001D5C85"/>
    <w:rsid w:val="001D5E12"/>
    <w:rsid w:val="001D5F00"/>
    <w:rsid w:val="001D5F15"/>
    <w:rsid w:val="001D6083"/>
    <w:rsid w:val="001D6133"/>
    <w:rsid w:val="001D6336"/>
    <w:rsid w:val="001D64CC"/>
    <w:rsid w:val="001D65C6"/>
    <w:rsid w:val="001D66A7"/>
    <w:rsid w:val="001D66C5"/>
    <w:rsid w:val="001D67D7"/>
    <w:rsid w:val="001D68F3"/>
    <w:rsid w:val="001D6A1B"/>
    <w:rsid w:val="001D6AB1"/>
    <w:rsid w:val="001D6C2F"/>
    <w:rsid w:val="001D6C4F"/>
    <w:rsid w:val="001D6C7E"/>
    <w:rsid w:val="001D6D60"/>
    <w:rsid w:val="001D6D73"/>
    <w:rsid w:val="001D6E10"/>
    <w:rsid w:val="001D72A3"/>
    <w:rsid w:val="001D7308"/>
    <w:rsid w:val="001D7436"/>
    <w:rsid w:val="001D7535"/>
    <w:rsid w:val="001D75BE"/>
    <w:rsid w:val="001D75CF"/>
    <w:rsid w:val="001D762E"/>
    <w:rsid w:val="001D7995"/>
    <w:rsid w:val="001D7B2B"/>
    <w:rsid w:val="001D7B35"/>
    <w:rsid w:val="001D7BBD"/>
    <w:rsid w:val="001D7BD3"/>
    <w:rsid w:val="001D7CAC"/>
    <w:rsid w:val="001D7CC7"/>
    <w:rsid w:val="001D7E6E"/>
    <w:rsid w:val="001E005B"/>
    <w:rsid w:val="001E0064"/>
    <w:rsid w:val="001E00AC"/>
    <w:rsid w:val="001E02AE"/>
    <w:rsid w:val="001E0316"/>
    <w:rsid w:val="001E0334"/>
    <w:rsid w:val="001E03D5"/>
    <w:rsid w:val="001E0680"/>
    <w:rsid w:val="001E0727"/>
    <w:rsid w:val="001E075C"/>
    <w:rsid w:val="001E085D"/>
    <w:rsid w:val="001E0886"/>
    <w:rsid w:val="001E0920"/>
    <w:rsid w:val="001E0938"/>
    <w:rsid w:val="001E0A0D"/>
    <w:rsid w:val="001E0AF2"/>
    <w:rsid w:val="001E0C3A"/>
    <w:rsid w:val="001E0C74"/>
    <w:rsid w:val="001E0CFB"/>
    <w:rsid w:val="001E0DB1"/>
    <w:rsid w:val="001E0EA9"/>
    <w:rsid w:val="001E0EE6"/>
    <w:rsid w:val="001E0F69"/>
    <w:rsid w:val="001E1231"/>
    <w:rsid w:val="001E12BF"/>
    <w:rsid w:val="001E12C5"/>
    <w:rsid w:val="001E1421"/>
    <w:rsid w:val="001E1426"/>
    <w:rsid w:val="001E1474"/>
    <w:rsid w:val="001E1499"/>
    <w:rsid w:val="001E15AD"/>
    <w:rsid w:val="001E17AD"/>
    <w:rsid w:val="001E1955"/>
    <w:rsid w:val="001E1987"/>
    <w:rsid w:val="001E1A67"/>
    <w:rsid w:val="001E1C69"/>
    <w:rsid w:val="001E1CA8"/>
    <w:rsid w:val="001E1D08"/>
    <w:rsid w:val="001E1DD6"/>
    <w:rsid w:val="001E2067"/>
    <w:rsid w:val="001E20F9"/>
    <w:rsid w:val="001E2184"/>
    <w:rsid w:val="001E21B5"/>
    <w:rsid w:val="001E21E6"/>
    <w:rsid w:val="001E2288"/>
    <w:rsid w:val="001E22C9"/>
    <w:rsid w:val="001E2352"/>
    <w:rsid w:val="001E239D"/>
    <w:rsid w:val="001E245F"/>
    <w:rsid w:val="001E2870"/>
    <w:rsid w:val="001E2A07"/>
    <w:rsid w:val="001E2A6D"/>
    <w:rsid w:val="001E2AC7"/>
    <w:rsid w:val="001E2BA7"/>
    <w:rsid w:val="001E3000"/>
    <w:rsid w:val="001E302E"/>
    <w:rsid w:val="001E303B"/>
    <w:rsid w:val="001E3125"/>
    <w:rsid w:val="001E312B"/>
    <w:rsid w:val="001E31D6"/>
    <w:rsid w:val="001E320A"/>
    <w:rsid w:val="001E323A"/>
    <w:rsid w:val="001E3293"/>
    <w:rsid w:val="001E32BE"/>
    <w:rsid w:val="001E335F"/>
    <w:rsid w:val="001E359A"/>
    <w:rsid w:val="001E3618"/>
    <w:rsid w:val="001E3652"/>
    <w:rsid w:val="001E3657"/>
    <w:rsid w:val="001E366B"/>
    <w:rsid w:val="001E36B5"/>
    <w:rsid w:val="001E36F7"/>
    <w:rsid w:val="001E383C"/>
    <w:rsid w:val="001E38E1"/>
    <w:rsid w:val="001E38EF"/>
    <w:rsid w:val="001E3A09"/>
    <w:rsid w:val="001E3A7D"/>
    <w:rsid w:val="001E3AAD"/>
    <w:rsid w:val="001E3B02"/>
    <w:rsid w:val="001E3B8D"/>
    <w:rsid w:val="001E3DF3"/>
    <w:rsid w:val="001E3E15"/>
    <w:rsid w:val="001E3E89"/>
    <w:rsid w:val="001E3FC6"/>
    <w:rsid w:val="001E401D"/>
    <w:rsid w:val="001E40BC"/>
    <w:rsid w:val="001E4266"/>
    <w:rsid w:val="001E44DA"/>
    <w:rsid w:val="001E4549"/>
    <w:rsid w:val="001E455C"/>
    <w:rsid w:val="001E4639"/>
    <w:rsid w:val="001E47A1"/>
    <w:rsid w:val="001E4854"/>
    <w:rsid w:val="001E4894"/>
    <w:rsid w:val="001E48AE"/>
    <w:rsid w:val="001E48CD"/>
    <w:rsid w:val="001E4A0E"/>
    <w:rsid w:val="001E4A90"/>
    <w:rsid w:val="001E4AB0"/>
    <w:rsid w:val="001E4B00"/>
    <w:rsid w:val="001E4B24"/>
    <w:rsid w:val="001E4D6A"/>
    <w:rsid w:val="001E4EB4"/>
    <w:rsid w:val="001E4F93"/>
    <w:rsid w:val="001E5101"/>
    <w:rsid w:val="001E516B"/>
    <w:rsid w:val="001E52CF"/>
    <w:rsid w:val="001E536D"/>
    <w:rsid w:val="001E538F"/>
    <w:rsid w:val="001E556A"/>
    <w:rsid w:val="001E55D2"/>
    <w:rsid w:val="001E569B"/>
    <w:rsid w:val="001E5754"/>
    <w:rsid w:val="001E57F1"/>
    <w:rsid w:val="001E58B3"/>
    <w:rsid w:val="001E590B"/>
    <w:rsid w:val="001E59D8"/>
    <w:rsid w:val="001E5C6D"/>
    <w:rsid w:val="001E5D2E"/>
    <w:rsid w:val="001E5DC9"/>
    <w:rsid w:val="001E5F1E"/>
    <w:rsid w:val="001E5FB3"/>
    <w:rsid w:val="001E61A9"/>
    <w:rsid w:val="001E6209"/>
    <w:rsid w:val="001E630F"/>
    <w:rsid w:val="001E6380"/>
    <w:rsid w:val="001E63E2"/>
    <w:rsid w:val="001E641C"/>
    <w:rsid w:val="001E6496"/>
    <w:rsid w:val="001E666E"/>
    <w:rsid w:val="001E66E4"/>
    <w:rsid w:val="001E68BD"/>
    <w:rsid w:val="001E6A38"/>
    <w:rsid w:val="001E6F32"/>
    <w:rsid w:val="001E7355"/>
    <w:rsid w:val="001E73C2"/>
    <w:rsid w:val="001E7405"/>
    <w:rsid w:val="001E743E"/>
    <w:rsid w:val="001E74B5"/>
    <w:rsid w:val="001E74DE"/>
    <w:rsid w:val="001E7597"/>
    <w:rsid w:val="001E7619"/>
    <w:rsid w:val="001E76A6"/>
    <w:rsid w:val="001E773F"/>
    <w:rsid w:val="001E7756"/>
    <w:rsid w:val="001E77BD"/>
    <w:rsid w:val="001E7870"/>
    <w:rsid w:val="001E79F8"/>
    <w:rsid w:val="001E7A34"/>
    <w:rsid w:val="001E7A47"/>
    <w:rsid w:val="001E7B04"/>
    <w:rsid w:val="001E7C32"/>
    <w:rsid w:val="001E7DE9"/>
    <w:rsid w:val="001F007C"/>
    <w:rsid w:val="001F00D6"/>
    <w:rsid w:val="001F02A2"/>
    <w:rsid w:val="001F03DD"/>
    <w:rsid w:val="001F059F"/>
    <w:rsid w:val="001F0650"/>
    <w:rsid w:val="001F078E"/>
    <w:rsid w:val="001F0B2E"/>
    <w:rsid w:val="001F0CBB"/>
    <w:rsid w:val="001F0D09"/>
    <w:rsid w:val="001F0D62"/>
    <w:rsid w:val="001F0DDF"/>
    <w:rsid w:val="001F0EC6"/>
    <w:rsid w:val="001F0F83"/>
    <w:rsid w:val="001F1005"/>
    <w:rsid w:val="001F1135"/>
    <w:rsid w:val="001F1189"/>
    <w:rsid w:val="001F11EB"/>
    <w:rsid w:val="001F1227"/>
    <w:rsid w:val="001F1486"/>
    <w:rsid w:val="001F156F"/>
    <w:rsid w:val="001F161B"/>
    <w:rsid w:val="001F1660"/>
    <w:rsid w:val="001F1803"/>
    <w:rsid w:val="001F1830"/>
    <w:rsid w:val="001F19E2"/>
    <w:rsid w:val="001F1D8F"/>
    <w:rsid w:val="001F1E34"/>
    <w:rsid w:val="001F2042"/>
    <w:rsid w:val="001F2098"/>
    <w:rsid w:val="001F2235"/>
    <w:rsid w:val="001F223E"/>
    <w:rsid w:val="001F2AB4"/>
    <w:rsid w:val="001F2DFE"/>
    <w:rsid w:val="001F2F7E"/>
    <w:rsid w:val="001F2F82"/>
    <w:rsid w:val="001F2F97"/>
    <w:rsid w:val="001F33C2"/>
    <w:rsid w:val="001F35B9"/>
    <w:rsid w:val="001F36DB"/>
    <w:rsid w:val="001F3902"/>
    <w:rsid w:val="001F394B"/>
    <w:rsid w:val="001F395E"/>
    <w:rsid w:val="001F39CF"/>
    <w:rsid w:val="001F3AAF"/>
    <w:rsid w:val="001F3AFF"/>
    <w:rsid w:val="001F3C3A"/>
    <w:rsid w:val="001F3D2B"/>
    <w:rsid w:val="001F3E33"/>
    <w:rsid w:val="001F403E"/>
    <w:rsid w:val="001F40F1"/>
    <w:rsid w:val="001F4461"/>
    <w:rsid w:val="001F45C0"/>
    <w:rsid w:val="001F491A"/>
    <w:rsid w:val="001F4A34"/>
    <w:rsid w:val="001F4E96"/>
    <w:rsid w:val="001F4ED0"/>
    <w:rsid w:val="001F503A"/>
    <w:rsid w:val="001F50FF"/>
    <w:rsid w:val="001F521B"/>
    <w:rsid w:val="001F566D"/>
    <w:rsid w:val="001F56C9"/>
    <w:rsid w:val="001F5823"/>
    <w:rsid w:val="001F591F"/>
    <w:rsid w:val="001F596D"/>
    <w:rsid w:val="001F5A01"/>
    <w:rsid w:val="001F5B31"/>
    <w:rsid w:val="001F5C86"/>
    <w:rsid w:val="001F5D2A"/>
    <w:rsid w:val="001F5DDD"/>
    <w:rsid w:val="001F5F4A"/>
    <w:rsid w:val="001F5FB9"/>
    <w:rsid w:val="001F612D"/>
    <w:rsid w:val="001F61A1"/>
    <w:rsid w:val="001F61D0"/>
    <w:rsid w:val="001F6493"/>
    <w:rsid w:val="001F65DA"/>
    <w:rsid w:val="001F684F"/>
    <w:rsid w:val="001F6A32"/>
    <w:rsid w:val="001F6B1E"/>
    <w:rsid w:val="001F6B2B"/>
    <w:rsid w:val="001F6B3D"/>
    <w:rsid w:val="001F6BAE"/>
    <w:rsid w:val="001F6E7F"/>
    <w:rsid w:val="001F6F35"/>
    <w:rsid w:val="001F6F69"/>
    <w:rsid w:val="001F6FA5"/>
    <w:rsid w:val="001F70A5"/>
    <w:rsid w:val="001F71D7"/>
    <w:rsid w:val="001F728A"/>
    <w:rsid w:val="001F73ED"/>
    <w:rsid w:val="001F7724"/>
    <w:rsid w:val="001F77A4"/>
    <w:rsid w:val="001F79C9"/>
    <w:rsid w:val="001F7A11"/>
    <w:rsid w:val="001F7D26"/>
    <w:rsid w:val="001F7FA2"/>
    <w:rsid w:val="0020001D"/>
    <w:rsid w:val="00200090"/>
    <w:rsid w:val="002000B6"/>
    <w:rsid w:val="002000F4"/>
    <w:rsid w:val="002000FB"/>
    <w:rsid w:val="0020018F"/>
    <w:rsid w:val="00200230"/>
    <w:rsid w:val="0020027E"/>
    <w:rsid w:val="002002C6"/>
    <w:rsid w:val="002003C7"/>
    <w:rsid w:val="00200407"/>
    <w:rsid w:val="00200593"/>
    <w:rsid w:val="002006F6"/>
    <w:rsid w:val="00200836"/>
    <w:rsid w:val="00200907"/>
    <w:rsid w:val="0020092A"/>
    <w:rsid w:val="00200A5D"/>
    <w:rsid w:val="00200BAB"/>
    <w:rsid w:val="00200C8E"/>
    <w:rsid w:val="00200CFC"/>
    <w:rsid w:val="00200FB0"/>
    <w:rsid w:val="002010EB"/>
    <w:rsid w:val="00201245"/>
    <w:rsid w:val="00201392"/>
    <w:rsid w:val="002014B2"/>
    <w:rsid w:val="002014BC"/>
    <w:rsid w:val="00201504"/>
    <w:rsid w:val="002015C2"/>
    <w:rsid w:val="002016D7"/>
    <w:rsid w:val="00201795"/>
    <w:rsid w:val="00201865"/>
    <w:rsid w:val="002018C5"/>
    <w:rsid w:val="00201B05"/>
    <w:rsid w:val="00201B3B"/>
    <w:rsid w:val="00202023"/>
    <w:rsid w:val="00202207"/>
    <w:rsid w:val="0020220E"/>
    <w:rsid w:val="00202269"/>
    <w:rsid w:val="002024A7"/>
    <w:rsid w:val="00202626"/>
    <w:rsid w:val="002026DA"/>
    <w:rsid w:val="00202936"/>
    <w:rsid w:val="00202B02"/>
    <w:rsid w:val="00202C94"/>
    <w:rsid w:val="00202C9E"/>
    <w:rsid w:val="00202CA5"/>
    <w:rsid w:val="00202D85"/>
    <w:rsid w:val="00202F7B"/>
    <w:rsid w:val="00203068"/>
    <w:rsid w:val="002031B6"/>
    <w:rsid w:val="002031C8"/>
    <w:rsid w:val="002031DF"/>
    <w:rsid w:val="00203264"/>
    <w:rsid w:val="002032D9"/>
    <w:rsid w:val="002034BF"/>
    <w:rsid w:val="00203662"/>
    <w:rsid w:val="0020368A"/>
    <w:rsid w:val="0020370E"/>
    <w:rsid w:val="00203743"/>
    <w:rsid w:val="00203B7B"/>
    <w:rsid w:val="00203B9E"/>
    <w:rsid w:val="00203D72"/>
    <w:rsid w:val="00203E0F"/>
    <w:rsid w:val="00203F30"/>
    <w:rsid w:val="002041B6"/>
    <w:rsid w:val="002042F0"/>
    <w:rsid w:val="00204379"/>
    <w:rsid w:val="00204531"/>
    <w:rsid w:val="00204731"/>
    <w:rsid w:val="002047C2"/>
    <w:rsid w:val="002047EC"/>
    <w:rsid w:val="002049B7"/>
    <w:rsid w:val="00204BA1"/>
    <w:rsid w:val="00204BE1"/>
    <w:rsid w:val="00204D1F"/>
    <w:rsid w:val="00204DBE"/>
    <w:rsid w:val="00204DF1"/>
    <w:rsid w:val="002050E9"/>
    <w:rsid w:val="0020520C"/>
    <w:rsid w:val="00205473"/>
    <w:rsid w:val="002054FB"/>
    <w:rsid w:val="00205597"/>
    <w:rsid w:val="00205616"/>
    <w:rsid w:val="0020562A"/>
    <w:rsid w:val="00205657"/>
    <w:rsid w:val="0020566D"/>
    <w:rsid w:val="0020570D"/>
    <w:rsid w:val="002057CC"/>
    <w:rsid w:val="002057DA"/>
    <w:rsid w:val="0020588E"/>
    <w:rsid w:val="002058B6"/>
    <w:rsid w:val="00205919"/>
    <w:rsid w:val="00205A23"/>
    <w:rsid w:val="00205A5E"/>
    <w:rsid w:val="00205AD2"/>
    <w:rsid w:val="00205B30"/>
    <w:rsid w:val="00205C07"/>
    <w:rsid w:val="00205DAA"/>
    <w:rsid w:val="00205EF4"/>
    <w:rsid w:val="00205F1E"/>
    <w:rsid w:val="00205FB2"/>
    <w:rsid w:val="002060A0"/>
    <w:rsid w:val="002060F8"/>
    <w:rsid w:val="00206140"/>
    <w:rsid w:val="0020636B"/>
    <w:rsid w:val="0020636E"/>
    <w:rsid w:val="00206429"/>
    <w:rsid w:val="00206463"/>
    <w:rsid w:val="00206682"/>
    <w:rsid w:val="00206686"/>
    <w:rsid w:val="002067D6"/>
    <w:rsid w:val="00206ACC"/>
    <w:rsid w:val="00206B7E"/>
    <w:rsid w:val="00206BB7"/>
    <w:rsid w:val="00206BE9"/>
    <w:rsid w:val="00206C78"/>
    <w:rsid w:val="00206E09"/>
    <w:rsid w:val="002072F2"/>
    <w:rsid w:val="00207314"/>
    <w:rsid w:val="002073DB"/>
    <w:rsid w:val="0020740D"/>
    <w:rsid w:val="0020748A"/>
    <w:rsid w:val="00207594"/>
    <w:rsid w:val="002075E5"/>
    <w:rsid w:val="002078D7"/>
    <w:rsid w:val="0020797F"/>
    <w:rsid w:val="00207A51"/>
    <w:rsid w:val="00207BA5"/>
    <w:rsid w:val="00207D76"/>
    <w:rsid w:val="00210055"/>
    <w:rsid w:val="002101EE"/>
    <w:rsid w:val="002103E2"/>
    <w:rsid w:val="00210724"/>
    <w:rsid w:val="002107FE"/>
    <w:rsid w:val="00210B16"/>
    <w:rsid w:val="00210B1E"/>
    <w:rsid w:val="00210B2F"/>
    <w:rsid w:val="00210BA0"/>
    <w:rsid w:val="00210C1A"/>
    <w:rsid w:val="00210D24"/>
    <w:rsid w:val="00210DC4"/>
    <w:rsid w:val="00210DF0"/>
    <w:rsid w:val="00210E25"/>
    <w:rsid w:val="00210F0A"/>
    <w:rsid w:val="00211024"/>
    <w:rsid w:val="00211079"/>
    <w:rsid w:val="002110B0"/>
    <w:rsid w:val="0021112B"/>
    <w:rsid w:val="0021125F"/>
    <w:rsid w:val="002113A4"/>
    <w:rsid w:val="002113DF"/>
    <w:rsid w:val="00211448"/>
    <w:rsid w:val="0021148B"/>
    <w:rsid w:val="002114C2"/>
    <w:rsid w:val="002115B1"/>
    <w:rsid w:val="0021162E"/>
    <w:rsid w:val="00211701"/>
    <w:rsid w:val="00211760"/>
    <w:rsid w:val="002117A5"/>
    <w:rsid w:val="002118E9"/>
    <w:rsid w:val="0021194A"/>
    <w:rsid w:val="0021194F"/>
    <w:rsid w:val="00211CD4"/>
    <w:rsid w:val="00211D58"/>
    <w:rsid w:val="00211DD9"/>
    <w:rsid w:val="00211E46"/>
    <w:rsid w:val="00212232"/>
    <w:rsid w:val="002122FB"/>
    <w:rsid w:val="002123B0"/>
    <w:rsid w:val="0021273E"/>
    <w:rsid w:val="00212752"/>
    <w:rsid w:val="002127F2"/>
    <w:rsid w:val="0021283B"/>
    <w:rsid w:val="002128B1"/>
    <w:rsid w:val="00212B28"/>
    <w:rsid w:val="00212B86"/>
    <w:rsid w:val="00212BB0"/>
    <w:rsid w:val="00212BED"/>
    <w:rsid w:val="00212C67"/>
    <w:rsid w:val="00212D52"/>
    <w:rsid w:val="00212D6E"/>
    <w:rsid w:val="00212F8D"/>
    <w:rsid w:val="00213090"/>
    <w:rsid w:val="002130A7"/>
    <w:rsid w:val="00213177"/>
    <w:rsid w:val="00213514"/>
    <w:rsid w:val="00213556"/>
    <w:rsid w:val="0021359E"/>
    <w:rsid w:val="00213D0B"/>
    <w:rsid w:val="00213D4B"/>
    <w:rsid w:val="00213F60"/>
    <w:rsid w:val="00213FF9"/>
    <w:rsid w:val="00214142"/>
    <w:rsid w:val="0021428E"/>
    <w:rsid w:val="00214340"/>
    <w:rsid w:val="0021434E"/>
    <w:rsid w:val="002143AF"/>
    <w:rsid w:val="002146A0"/>
    <w:rsid w:val="0021482A"/>
    <w:rsid w:val="0021485E"/>
    <w:rsid w:val="00214AC4"/>
    <w:rsid w:val="00214B71"/>
    <w:rsid w:val="00214BE2"/>
    <w:rsid w:val="00214E5F"/>
    <w:rsid w:val="00214EF3"/>
    <w:rsid w:val="00214F89"/>
    <w:rsid w:val="0021525A"/>
    <w:rsid w:val="0021543A"/>
    <w:rsid w:val="002154BC"/>
    <w:rsid w:val="002154DE"/>
    <w:rsid w:val="00215588"/>
    <w:rsid w:val="00215770"/>
    <w:rsid w:val="0021579E"/>
    <w:rsid w:val="0021583C"/>
    <w:rsid w:val="002158B4"/>
    <w:rsid w:val="00215A6E"/>
    <w:rsid w:val="00215A70"/>
    <w:rsid w:val="00215AA9"/>
    <w:rsid w:val="00215ADE"/>
    <w:rsid w:val="00215C39"/>
    <w:rsid w:val="00215C8A"/>
    <w:rsid w:val="00215CF6"/>
    <w:rsid w:val="00215EF7"/>
    <w:rsid w:val="00215F32"/>
    <w:rsid w:val="00216100"/>
    <w:rsid w:val="002161E1"/>
    <w:rsid w:val="0021623F"/>
    <w:rsid w:val="002162CE"/>
    <w:rsid w:val="0021631B"/>
    <w:rsid w:val="002165F0"/>
    <w:rsid w:val="002166A8"/>
    <w:rsid w:val="0021684A"/>
    <w:rsid w:val="00216909"/>
    <w:rsid w:val="00216960"/>
    <w:rsid w:val="00216ACE"/>
    <w:rsid w:val="00216C11"/>
    <w:rsid w:val="00217089"/>
    <w:rsid w:val="002171BA"/>
    <w:rsid w:val="002171EA"/>
    <w:rsid w:val="002171EE"/>
    <w:rsid w:val="00217480"/>
    <w:rsid w:val="002174F9"/>
    <w:rsid w:val="002175A9"/>
    <w:rsid w:val="002177C8"/>
    <w:rsid w:val="0021786B"/>
    <w:rsid w:val="00217A6F"/>
    <w:rsid w:val="00217AF0"/>
    <w:rsid w:val="00217AFF"/>
    <w:rsid w:val="00217DD2"/>
    <w:rsid w:val="00217E11"/>
    <w:rsid w:val="00217EBD"/>
    <w:rsid w:val="002200C6"/>
    <w:rsid w:val="002201B1"/>
    <w:rsid w:val="002202A5"/>
    <w:rsid w:val="002202C4"/>
    <w:rsid w:val="002202EF"/>
    <w:rsid w:val="00220431"/>
    <w:rsid w:val="002205D8"/>
    <w:rsid w:val="002206E4"/>
    <w:rsid w:val="0022072B"/>
    <w:rsid w:val="00220B31"/>
    <w:rsid w:val="00220BB3"/>
    <w:rsid w:val="00220FC9"/>
    <w:rsid w:val="00221106"/>
    <w:rsid w:val="0022114A"/>
    <w:rsid w:val="002211F0"/>
    <w:rsid w:val="00221235"/>
    <w:rsid w:val="00221355"/>
    <w:rsid w:val="002213DB"/>
    <w:rsid w:val="00221496"/>
    <w:rsid w:val="0022160E"/>
    <w:rsid w:val="00221718"/>
    <w:rsid w:val="0022177E"/>
    <w:rsid w:val="00221900"/>
    <w:rsid w:val="00221931"/>
    <w:rsid w:val="00221A88"/>
    <w:rsid w:val="00221B4C"/>
    <w:rsid w:val="00221DDC"/>
    <w:rsid w:val="00221E40"/>
    <w:rsid w:val="00221F22"/>
    <w:rsid w:val="0022245D"/>
    <w:rsid w:val="002226E4"/>
    <w:rsid w:val="00222752"/>
    <w:rsid w:val="002229A8"/>
    <w:rsid w:val="002229CA"/>
    <w:rsid w:val="00222A41"/>
    <w:rsid w:val="00222BEF"/>
    <w:rsid w:val="00222CC0"/>
    <w:rsid w:val="00222D41"/>
    <w:rsid w:val="00222E13"/>
    <w:rsid w:val="00222F06"/>
    <w:rsid w:val="00223141"/>
    <w:rsid w:val="0022319E"/>
    <w:rsid w:val="0022326C"/>
    <w:rsid w:val="002232AF"/>
    <w:rsid w:val="002232F1"/>
    <w:rsid w:val="002236FE"/>
    <w:rsid w:val="002237B2"/>
    <w:rsid w:val="00223A41"/>
    <w:rsid w:val="00223A76"/>
    <w:rsid w:val="00223B71"/>
    <w:rsid w:val="00223CFF"/>
    <w:rsid w:val="002240AE"/>
    <w:rsid w:val="002240B6"/>
    <w:rsid w:val="002240C2"/>
    <w:rsid w:val="00224181"/>
    <w:rsid w:val="002244BF"/>
    <w:rsid w:val="0022452E"/>
    <w:rsid w:val="00224573"/>
    <w:rsid w:val="00224828"/>
    <w:rsid w:val="00224859"/>
    <w:rsid w:val="00224B73"/>
    <w:rsid w:val="00224BEA"/>
    <w:rsid w:val="00224DA8"/>
    <w:rsid w:val="00224E4A"/>
    <w:rsid w:val="00224FE3"/>
    <w:rsid w:val="00225005"/>
    <w:rsid w:val="002251C2"/>
    <w:rsid w:val="0022530E"/>
    <w:rsid w:val="00225336"/>
    <w:rsid w:val="0022535D"/>
    <w:rsid w:val="00225369"/>
    <w:rsid w:val="002253D4"/>
    <w:rsid w:val="00225422"/>
    <w:rsid w:val="00225762"/>
    <w:rsid w:val="0022588F"/>
    <w:rsid w:val="002258A0"/>
    <w:rsid w:val="002258DD"/>
    <w:rsid w:val="002259CC"/>
    <w:rsid w:val="002259EE"/>
    <w:rsid w:val="00225ADE"/>
    <w:rsid w:val="00225AEE"/>
    <w:rsid w:val="00225C3F"/>
    <w:rsid w:val="002262A6"/>
    <w:rsid w:val="002262DD"/>
    <w:rsid w:val="00226370"/>
    <w:rsid w:val="002263B5"/>
    <w:rsid w:val="002264AC"/>
    <w:rsid w:val="002268AA"/>
    <w:rsid w:val="00226A44"/>
    <w:rsid w:val="00226A49"/>
    <w:rsid w:val="00226AA9"/>
    <w:rsid w:val="00226B13"/>
    <w:rsid w:val="00226B99"/>
    <w:rsid w:val="00226BCF"/>
    <w:rsid w:val="00226CFD"/>
    <w:rsid w:val="00226D98"/>
    <w:rsid w:val="00226E0F"/>
    <w:rsid w:val="00226F33"/>
    <w:rsid w:val="00227080"/>
    <w:rsid w:val="002272F4"/>
    <w:rsid w:val="00227455"/>
    <w:rsid w:val="00227484"/>
    <w:rsid w:val="00227569"/>
    <w:rsid w:val="002276D2"/>
    <w:rsid w:val="002278B3"/>
    <w:rsid w:val="00227980"/>
    <w:rsid w:val="002279A9"/>
    <w:rsid w:val="00227AAB"/>
    <w:rsid w:val="00227B32"/>
    <w:rsid w:val="00227C02"/>
    <w:rsid w:val="00227D15"/>
    <w:rsid w:val="00227D9C"/>
    <w:rsid w:val="00227E94"/>
    <w:rsid w:val="00230383"/>
    <w:rsid w:val="00230528"/>
    <w:rsid w:val="0023053A"/>
    <w:rsid w:val="0023054F"/>
    <w:rsid w:val="0023056D"/>
    <w:rsid w:val="002308E4"/>
    <w:rsid w:val="00230903"/>
    <w:rsid w:val="0023094F"/>
    <w:rsid w:val="00230A12"/>
    <w:rsid w:val="00230C0E"/>
    <w:rsid w:val="00230D43"/>
    <w:rsid w:val="00230E1F"/>
    <w:rsid w:val="00230E23"/>
    <w:rsid w:val="00230FFE"/>
    <w:rsid w:val="00231208"/>
    <w:rsid w:val="00231266"/>
    <w:rsid w:val="002312B9"/>
    <w:rsid w:val="00231345"/>
    <w:rsid w:val="002313C8"/>
    <w:rsid w:val="0023140A"/>
    <w:rsid w:val="0023144F"/>
    <w:rsid w:val="0023158B"/>
    <w:rsid w:val="002315DF"/>
    <w:rsid w:val="0023161B"/>
    <w:rsid w:val="0023165D"/>
    <w:rsid w:val="00231711"/>
    <w:rsid w:val="002318A3"/>
    <w:rsid w:val="00231A85"/>
    <w:rsid w:val="00231B3A"/>
    <w:rsid w:val="00231C32"/>
    <w:rsid w:val="00231CA1"/>
    <w:rsid w:val="00232406"/>
    <w:rsid w:val="0023251B"/>
    <w:rsid w:val="0023253E"/>
    <w:rsid w:val="002326AD"/>
    <w:rsid w:val="00232794"/>
    <w:rsid w:val="002327A6"/>
    <w:rsid w:val="002328C9"/>
    <w:rsid w:val="002328D8"/>
    <w:rsid w:val="002328DC"/>
    <w:rsid w:val="002328E0"/>
    <w:rsid w:val="0023298E"/>
    <w:rsid w:val="00232ACE"/>
    <w:rsid w:val="00232D40"/>
    <w:rsid w:val="00232FA6"/>
    <w:rsid w:val="002330D3"/>
    <w:rsid w:val="002330E5"/>
    <w:rsid w:val="00233138"/>
    <w:rsid w:val="00233172"/>
    <w:rsid w:val="00233330"/>
    <w:rsid w:val="002333BC"/>
    <w:rsid w:val="002333BF"/>
    <w:rsid w:val="002336C3"/>
    <w:rsid w:val="002336C7"/>
    <w:rsid w:val="002336D2"/>
    <w:rsid w:val="002336F9"/>
    <w:rsid w:val="00233714"/>
    <w:rsid w:val="00233722"/>
    <w:rsid w:val="002337C8"/>
    <w:rsid w:val="00233965"/>
    <w:rsid w:val="00233985"/>
    <w:rsid w:val="00233A0F"/>
    <w:rsid w:val="00233AC7"/>
    <w:rsid w:val="00233C16"/>
    <w:rsid w:val="00233DCB"/>
    <w:rsid w:val="00233FE8"/>
    <w:rsid w:val="00233FEE"/>
    <w:rsid w:val="00234197"/>
    <w:rsid w:val="002341E1"/>
    <w:rsid w:val="0023430A"/>
    <w:rsid w:val="0023462C"/>
    <w:rsid w:val="0023462D"/>
    <w:rsid w:val="002346B9"/>
    <w:rsid w:val="00234786"/>
    <w:rsid w:val="00234929"/>
    <w:rsid w:val="00234930"/>
    <w:rsid w:val="00234ABB"/>
    <w:rsid w:val="00234C7C"/>
    <w:rsid w:val="00234D64"/>
    <w:rsid w:val="00234F31"/>
    <w:rsid w:val="0023542A"/>
    <w:rsid w:val="002356DE"/>
    <w:rsid w:val="00235895"/>
    <w:rsid w:val="0023597B"/>
    <w:rsid w:val="002359C3"/>
    <w:rsid w:val="00235C27"/>
    <w:rsid w:val="00235D88"/>
    <w:rsid w:val="00235DAE"/>
    <w:rsid w:val="00235E1F"/>
    <w:rsid w:val="00235EC6"/>
    <w:rsid w:val="00235EF4"/>
    <w:rsid w:val="002360F6"/>
    <w:rsid w:val="0023610C"/>
    <w:rsid w:val="0023640C"/>
    <w:rsid w:val="00236593"/>
    <w:rsid w:val="002365BC"/>
    <w:rsid w:val="002365E2"/>
    <w:rsid w:val="0023670B"/>
    <w:rsid w:val="00236715"/>
    <w:rsid w:val="00236836"/>
    <w:rsid w:val="0023695F"/>
    <w:rsid w:val="0023699D"/>
    <w:rsid w:val="00236AD5"/>
    <w:rsid w:val="00236B2C"/>
    <w:rsid w:val="00236CF4"/>
    <w:rsid w:val="00236D02"/>
    <w:rsid w:val="0023704C"/>
    <w:rsid w:val="00237118"/>
    <w:rsid w:val="0023738E"/>
    <w:rsid w:val="00237545"/>
    <w:rsid w:val="00237553"/>
    <w:rsid w:val="002375F2"/>
    <w:rsid w:val="0023764E"/>
    <w:rsid w:val="00237671"/>
    <w:rsid w:val="002376A7"/>
    <w:rsid w:val="00237859"/>
    <w:rsid w:val="002379D2"/>
    <w:rsid w:val="00237AC5"/>
    <w:rsid w:val="00237B5D"/>
    <w:rsid w:val="00237D39"/>
    <w:rsid w:val="00237DCA"/>
    <w:rsid w:val="002402A6"/>
    <w:rsid w:val="002404D5"/>
    <w:rsid w:val="0024069C"/>
    <w:rsid w:val="002406D1"/>
    <w:rsid w:val="002407AF"/>
    <w:rsid w:val="002407D2"/>
    <w:rsid w:val="002409D6"/>
    <w:rsid w:val="00240AC0"/>
    <w:rsid w:val="00240AEB"/>
    <w:rsid w:val="00240AF4"/>
    <w:rsid w:val="00240E90"/>
    <w:rsid w:val="002410F1"/>
    <w:rsid w:val="0024114B"/>
    <w:rsid w:val="002412A9"/>
    <w:rsid w:val="002412CE"/>
    <w:rsid w:val="00241377"/>
    <w:rsid w:val="00241433"/>
    <w:rsid w:val="002414A2"/>
    <w:rsid w:val="002415F3"/>
    <w:rsid w:val="00241686"/>
    <w:rsid w:val="002417DB"/>
    <w:rsid w:val="0024181B"/>
    <w:rsid w:val="002419FF"/>
    <w:rsid w:val="00241B6B"/>
    <w:rsid w:val="00241BB9"/>
    <w:rsid w:val="00241DE5"/>
    <w:rsid w:val="00241ED2"/>
    <w:rsid w:val="00241FB2"/>
    <w:rsid w:val="0024232C"/>
    <w:rsid w:val="002423D8"/>
    <w:rsid w:val="002426C6"/>
    <w:rsid w:val="002427D3"/>
    <w:rsid w:val="0024288D"/>
    <w:rsid w:val="00242993"/>
    <w:rsid w:val="002429F8"/>
    <w:rsid w:val="00242D33"/>
    <w:rsid w:val="00242D6D"/>
    <w:rsid w:val="00242E4B"/>
    <w:rsid w:val="00242F2E"/>
    <w:rsid w:val="0024309D"/>
    <w:rsid w:val="002430F9"/>
    <w:rsid w:val="00243266"/>
    <w:rsid w:val="0024339B"/>
    <w:rsid w:val="002436EA"/>
    <w:rsid w:val="002437AD"/>
    <w:rsid w:val="002438DA"/>
    <w:rsid w:val="00243A21"/>
    <w:rsid w:val="00243A75"/>
    <w:rsid w:val="00243D50"/>
    <w:rsid w:val="00243E15"/>
    <w:rsid w:val="00243E20"/>
    <w:rsid w:val="00243E6F"/>
    <w:rsid w:val="00243E7B"/>
    <w:rsid w:val="00243F65"/>
    <w:rsid w:val="00243F69"/>
    <w:rsid w:val="00244090"/>
    <w:rsid w:val="0024416D"/>
    <w:rsid w:val="0024435B"/>
    <w:rsid w:val="0024461A"/>
    <w:rsid w:val="002446B8"/>
    <w:rsid w:val="0024475C"/>
    <w:rsid w:val="00244778"/>
    <w:rsid w:val="002447A5"/>
    <w:rsid w:val="00244885"/>
    <w:rsid w:val="002449A4"/>
    <w:rsid w:val="00244A16"/>
    <w:rsid w:val="00244B13"/>
    <w:rsid w:val="00244C20"/>
    <w:rsid w:val="00244D09"/>
    <w:rsid w:val="00244E0A"/>
    <w:rsid w:val="00244E6B"/>
    <w:rsid w:val="00244E75"/>
    <w:rsid w:val="00244ED8"/>
    <w:rsid w:val="00245019"/>
    <w:rsid w:val="002450F1"/>
    <w:rsid w:val="00245133"/>
    <w:rsid w:val="00245151"/>
    <w:rsid w:val="002451D5"/>
    <w:rsid w:val="002452AE"/>
    <w:rsid w:val="00245372"/>
    <w:rsid w:val="002454C0"/>
    <w:rsid w:val="0024555A"/>
    <w:rsid w:val="00245626"/>
    <w:rsid w:val="002456DE"/>
    <w:rsid w:val="00245710"/>
    <w:rsid w:val="00245771"/>
    <w:rsid w:val="002457E6"/>
    <w:rsid w:val="00245874"/>
    <w:rsid w:val="002458C7"/>
    <w:rsid w:val="0024596B"/>
    <w:rsid w:val="002459D9"/>
    <w:rsid w:val="00245BCD"/>
    <w:rsid w:val="00245C93"/>
    <w:rsid w:val="00245D6B"/>
    <w:rsid w:val="00245D73"/>
    <w:rsid w:val="00245E2B"/>
    <w:rsid w:val="00245F4B"/>
    <w:rsid w:val="00245FCA"/>
    <w:rsid w:val="00246002"/>
    <w:rsid w:val="0024619D"/>
    <w:rsid w:val="002461B5"/>
    <w:rsid w:val="0024625C"/>
    <w:rsid w:val="00246324"/>
    <w:rsid w:val="00246580"/>
    <w:rsid w:val="002466AE"/>
    <w:rsid w:val="00246754"/>
    <w:rsid w:val="00246825"/>
    <w:rsid w:val="0024687D"/>
    <w:rsid w:val="00246908"/>
    <w:rsid w:val="00246A68"/>
    <w:rsid w:val="00246AEF"/>
    <w:rsid w:val="00246B27"/>
    <w:rsid w:val="00246CA0"/>
    <w:rsid w:val="00246D42"/>
    <w:rsid w:val="00246D61"/>
    <w:rsid w:val="00246D6C"/>
    <w:rsid w:val="00246E5B"/>
    <w:rsid w:val="00246E99"/>
    <w:rsid w:val="00246E9E"/>
    <w:rsid w:val="00246EBD"/>
    <w:rsid w:val="00246FDF"/>
    <w:rsid w:val="00247007"/>
    <w:rsid w:val="00247078"/>
    <w:rsid w:val="00247192"/>
    <w:rsid w:val="0024719A"/>
    <w:rsid w:val="0024720E"/>
    <w:rsid w:val="002472B2"/>
    <w:rsid w:val="002473C5"/>
    <w:rsid w:val="002474BB"/>
    <w:rsid w:val="00247668"/>
    <w:rsid w:val="002477E1"/>
    <w:rsid w:val="002478D2"/>
    <w:rsid w:val="002478E4"/>
    <w:rsid w:val="00247C69"/>
    <w:rsid w:val="00247F5B"/>
    <w:rsid w:val="00247FF5"/>
    <w:rsid w:val="00250197"/>
    <w:rsid w:val="002501FB"/>
    <w:rsid w:val="002503EC"/>
    <w:rsid w:val="002503ED"/>
    <w:rsid w:val="00250560"/>
    <w:rsid w:val="002505C0"/>
    <w:rsid w:val="002505D8"/>
    <w:rsid w:val="002505F8"/>
    <w:rsid w:val="0025062D"/>
    <w:rsid w:val="00250639"/>
    <w:rsid w:val="0025064F"/>
    <w:rsid w:val="002507AC"/>
    <w:rsid w:val="002507F3"/>
    <w:rsid w:val="002509B3"/>
    <w:rsid w:val="00250A2D"/>
    <w:rsid w:val="00250A7D"/>
    <w:rsid w:val="00250A89"/>
    <w:rsid w:val="00250AB6"/>
    <w:rsid w:val="00250B2A"/>
    <w:rsid w:val="00250BB5"/>
    <w:rsid w:val="00250EF9"/>
    <w:rsid w:val="00250F21"/>
    <w:rsid w:val="00250FCA"/>
    <w:rsid w:val="00251274"/>
    <w:rsid w:val="0025129B"/>
    <w:rsid w:val="002514AC"/>
    <w:rsid w:val="002514D1"/>
    <w:rsid w:val="002515CE"/>
    <w:rsid w:val="0025174C"/>
    <w:rsid w:val="002518D2"/>
    <w:rsid w:val="00251933"/>
    <w:rsid w:val="00251943"/>
    <w:rsid w:val="002519BC"/>
    <w:rsid w:val="00251A83"/>
    <w:rsid w:val="00251B1A"/>
    <w:rsid w:val="00251C8A"/>
    <w:rsid w:val="00251D40"/>
    <w:rsid w:val="00251DF5"/>
    <w:rsid w:val="00251EC0"/>
    <w:rsid w:val="00251EF4"/>
    <w:rsid w:val="00251F52"/>
    <w:rsid w:val="00251FEC"/>
    <w:rsid w:val="0025202C"/>
    <w:rsid w:val="00252120"/>
    <w:rsid w:val="00252150"/>
    <w:rsid w:val="00252293"/>
    <w:rsid w:val="00252337"/>
    <w:rsid w:val="00252441"/>
    <w:rsid w:val="0025247E"/>
    <w:rsid w:val="00252911"/>
    <w:rsid w:val="00252A82"/>
    <w:rsid w:val="00252CF8"/>
    <w:rsid w:val="00252DFC"/>
    <w:rsid w:val="00252EA7"/>
    <w:rsid w:val="00253284"/>
    <w:rsid w:val="0025332C"/>
    <w:rsid w:val="00253379"/>
    <w:rsid w:val="00253453"/>
    <w:rsid w:val="00253522"/>
    <w:rsid w:val="0025359F"/>
    <w:rsid w:val="00253607"/>
    <w:rsid w:val="00253699"/>
    <w:rsid w:val="00253808"/>
    <w:rsid w:val="00253814"/>
    <w:rsid w:val="00253854"/>
    <w:rsid w:val="00253862"/>
    <w:rsid w:val="00253888"/>
    <w:rsid w:val="00253A5B"/>
    <w:rsid w:val="00253AE8"/>
    <w:rsid w:val="00253D50"/>
    <w:rsid w:val="00253D52"/>
    <w:rsid w:val="00253FA1"/>
    <w:rsid w:val="00253FAE"/>
    <w:rsid w:val="002540B9"/>
    <w:rsid w:val="002540C1"/>
    <w:rsid w:val="002540EA"/>
    <w:rsid w:val="002540FB"/>
    <w:rsid w:val="002541A6"/>
    <w:rsid w:val="00254343"/>
    <w:rsid w:val="00254344"/>
    <w:rsid w:val="00254353"/>
    <w:rsid w:val="00254766"/>
    <w:rsid w:val="00254A44"/>
    <w:rsid w:val="00254BC3"/>
    <w:rsid w:val="00254E09"/>
    <w:rsid w:val="00254EEC"/>
    <w:rsid w:val="00255264"/>
    <w:rsid w:val="00255296"/>
    <w:rsid w:val="002552C5"/>
    <w:rsid w:val="002552DD"/>
    <w:rsid w:val="0025531E"/>
    <w:rsid w:val="00255434"/>
    <w:rsid w:val="00255463"/>
    <w:rsid w:val="002554F2"/>
    <w:rsid w:val="00255578"/>
    <w:rsid w:val="00255656"/>
    <w:rsid w:val="00255BCB"/>
    <w:rsid w:val="00255C87"/>
    <w:rsid w:val="00255D8A"/>
    <w:rsid w:val="00255DB4"/>
    <w:rsid w:val="00255EAF"/>
    <w:rsid w:val="002562E5"/>
    <w:rsid w:val="002563EA"/>
    <w:rsid w:val="002564D4"/>
    <w:rsid w:val="002564EE"/>
    <w:rsid w:val="002564F0"/>
    <w:rsid w:val="00256514"/>
    <w:rsid w:val="002565D4"/>
    <w:rsid w:val="00256702"/>
    <w:rsid w:val="00256809"/>
    <w:rsid w:val="00256A8C"/>
    <w:rsid w:val="00256CB7"/>
    <w:rsid w:val="00256CF4"/>
    <w:rsid w:val="00256D65"/>
    <w:rsid w:val="00256F62"/>
    <w:rsid w:val="00256F72"/>
    <w:rsid w:val="00256FC5"/>
    <w:rsid w:val="00256FCD"/>
    <w:rsid w:val="0025707A"/>
    <w:rsid w:val="002573CD"/>
    <w:rsid w:val="0025743F"/>
    <w:rsid w:val="00257703"/>
    <w:rsid w:val="00257821"/>
    <w:rsid w:val="0025785A"/>
    <w:rsid w:val="00257A43"/>
    <w:rsid w:val="00257C43"/>
    <w:rsid w:val="00257CA4"/>
    <w:rsid w:val="00257DCF"/>
    <w:rsid w:val="00257DE0"/>
    <w:rsid w:val="00257E5B"/>
    <w:rsid w:val="00257E71"/>
    <w:rsid w:val="00257EC7"/>
    <w:rsid w:val="00257F62"/>
    <w:rsid w:val="00257F7A"/>
    <w:rsid w:val="00257FB2"/>
    <w:rsid w:val="00260362"/>
    <w:rsid w:val="002604A1"/>
    <w:rsid w:val="002606B8"/>
    <w:rsid w:val="002607CA"/>
    <w:rsid w:val="00260804"/>
    <w:rsid w:val="00260821"/>
    <w:rsid w:val="0026082D"/>
    <w:rsid w:val="002608EC"/>
    <w:rsid w:val="00260972"/>
    <w:rsid w:val="00260ABF"/>
    <w:rsid w:val="00260B6B"/>
    <w:rsid w:val="00260DBB"/>
    <w:rsid w:val="00260DD6"/>
    <w:rsid w:val="00260E67"/>
    <w:rsid w:val="00261183"/>
    <w:rsid w:val="00261253"/>
    <w:rsid w:val="00261369"/>
    <w:rsid w:val="0026151F"/>
    <w:rsid w:val="00261536"/>
    <w:rsid w:val="00261641"/>
    <w:rsid w:val="00261690"/>
    <w:rsid w:val="00261769"/>
    <w:rsid w:val="002617B8"/>
    <w:rsid w:val="002617EE"/>
    <w:rsid w:val="00261896"/>
    <w:rsid w:val="00261AE5"/>
    <w:rsid w:val="00261B1D"/>
    <w:rsid w:val="00261CF4"/>
    <w:rsid w:val="00261E7E"/>
    <w:rsid w:val="00262318"/>
    <w:rsid w:val="00262595"/>
    <w:rsid w:val="0026268C"/>
    <w:rsid w:val="002626B1"/>
    <w:rsid w:val="00262861"/>
    <w:rsid w:val="00262A13"/>
    <w:rsid w:val="00262C35"/>
    <w:rsid w:val="00262C8A"/>
    <w:rsid w:val="00262E33"/>
    <w:rsid w:val="00262E35"/>
    <w:rsid w:val="00262E8C"/>
    <w:rsid w:val="00263019"/>
    <w:rsid w:val="00263078"/>
    <w:rsid w:val="0026337D"/>
    <w:rsid w:val="002633A1"/>
    <w:rsid w:val="0026353C"/>
    <w:rsid w:val="00263557"/>
    <w:rsid w:val="002635B5"/>
    <w:rsid w:val="002636DF"/>
    <w:rsid w:val="00263701"/>
    <w:rsid w:val="002637DA"/>
    <w:rsid w:val="002639B5"/>
    <w:rsid w:val="00263BBD"/>
    <w:rsid w:val="00263BD4"/>
    <w:rsid w:val="00263E0D"/>
    <w:rsid w:val="00263E88"/>
    <w:rsid w:val="00263E96"/>
    <w:rsid w:val="00263FCC"/>
    <w:rsid w:val="0026411A"/>
    <w:rsid w:val="0026411C"/>
    <w:rsid w:val="0026424A"/>
    <w:rsid w:val="00264316"/>
    <w:rsid w:val="0026448A"/>
    <w:rsid w:val="0026473B"/>
    <w:rsid w:val="002647CF"/>
    <w:rsid w:val="002647ED"/>
    <w:rsid w:val="0026495D"/>
    <w:rsid w:val="00264AA5"/>
    <w:rsid w:val="00264B7B"/>
    <w:rsid w:val="0026503E"/>
    <w:rsid w:val="0026504D"/>
    <w:rsid w:val="0026510C"/>
    <w:rsid w:val="002654F4"/>
    <w:rsid w:val="0026561B"/>
    <w:rsid w:val="0026578B"/>
    <w:rsid w:val="0026591B"/>
    <w:rsid w:val="00265A09"/>
    <w:rsid w:val="00265A0C"/>
    <w:rsid w:val="00265B9D"/>
    <w:rsid w:val="00265CB3"/>
    <w:rsid w:val="00265CC0"/>
    <w:rsid w:val="00265CCC"/>
    <w:rsid w:val="00265E43"/>
    <w:rsid w:val="00265E8C"/>
    <w:rsid w:val="00266134"/>
    <w:rsid w:val="002661B0"/>
    <w:rsid w:val="00266398"/>
    <w:rsid w:val="002663DC"/>
    <w:rsid w:val="00266512"/>
    <w:rsid w:val="00266569"/>
    <w:rsid w:val="00266733"/>
    <w:rsid w:val="00266ADB"/>
    <w:rsid w:val="00266AF5"/>
    <w:rsid w:val="00266DB6"/>
    <w:rsid w:val="00266E95"/>
    <w:rsid w:val="00266F64"/>
    <w:rsid w:val="00267117"/>
    <w:rsid w:val="002671C3"/>
    <w:rsid w:val="002672F8"/>
    <w:rsid w:val="00267334"/>
    <w:rsid w:val="0026737B"/>
    <w:rsid w:val="002673C3"/>
    <w:rsid w:val="00267495"/>
    <w:rsid w:val="002674EC"/>
    <w:rsid w:val="0026750F"/>
    <w:rsid w:val="0026776B"/>
    <w:rsid w:val="0026785A"/>
    <w:rsid w:val="002678D8"/>
    <w:rsid w:val="00267CBC"/>
    <w:rsid w:val="00267D20"/>
    <w:rsid w:val="00267E58"/>
    <w:rsid w:val="00270137"/>
    <w:rsid w:val="002701C4"/>
    <w:rsid w:val="002702F1"/>
    <w:rsid w:val="00270318"/>
    <w:rsid w:val="0027031B"/>
    <w:rsid w:val="00270369"/>
    <w:rsid w:val="00270417"/>
    <w:rsid w:val="0027054A"/>
    <w:rsid w:val="00270664"/>
    <w:rsid w:val="00270763"/>
    <w:rsid w:val="00270776"/>
    <w:rsid w:val="002709F1"/>
    <w:rsid w:val="00270C38"/>
    <w:rsid w:val="00270DF3"/>
    <w:rsid w:val="00270E0A"/>
    <w:rsid w:val="00270E6A"/>
    <w:rsid w:val="002710D0"/>
    <w:rsid w:val="002710FF"/>
    <w:rsid w:val="0027112E"/>
    <w:rsid w:val="0027175A"/>
    <w:rsid w:val="00271A86"/>
    <w:rsid w:val="00271AC4"/>
    <w:rsid w:val="00271B04"/>
    <w:rsid w:val="00271DAB"/>
    <w:rsid w:val="00271DC3"/>
    <w:rsid w:val="0027221C"/>
    <w:rsid w:val="00272339"/>
    <w:rsid w:val="0027239E"/>
    <w:rsid w:val="0027243B"/>
    <w:rsid w:val="00272737"/>
    <w:rsid w:val="002728A1"/>
    <w:rsid w:val="00272A9A"/>
    <w:rsid w:val="00272C49"/>
    <w:rsid w:val="00272D17"/>
    <w:rsid w:val="00272D63"/>
    <w:rsid w:val="00272D86"/>
    <w:rsid w:val="00272DE6"/>
    <w:rsid w:val="00272FD3"/>
    <w:rsid w:val="002730AC"/>
    <w:rsid w:val="00273490"/>
    <w:rsid w:val="00273493"/>
    <w:rsid w:val="002736BD"/>
    <w:rsid w:val="002736CE"/>
    <w:rsid w:val="00273838"/>
    <w:rsid w:val="0027388D"/>
    <w:rsid w:val="00273948"/>
    <w:rsid w:val="00273A39"/>
    <w:rsid w:val="00273A5B"/>
    <w:rsid w:val="00273A8C"/>
    <w:rsid w:val="00273B7A"/>
    <w:rsid w:val="00273BF3"/>
    <w:rsid w:val="00273F13"/>
    <w:rsid w:val="0027403D"/>
    <w:rsid w:val="002743CC"/>
    <w:rsid w:val="0027442F"/>
    <w:rsid w:val="002744D9"/>
    <w:rsid w:val="00274597"/>
    <w:rsid w:val="002745C5"/>
    <w:rsid w:val="00274616"/>
    <w:rsid w:val="00274765"/>
    <w:rsid w:val="00274800"/>
    <w:rsid w:val="00274874"/>
    <w:rsid w:val="00274A9D"/>
    <w:rsid w:val="00274F02"/>
    <w:rsid w:val="00274F5B"/>
    <w:rsid w:val="00275130"/>
    <w:rsid w:val="00275169"/>
    <w:rsid w:val="002751E1"/>
    <w:rsid w:val="002751E3"/>
    <w:rsid w:val="002751E5"/>
    <w:rsid w:val="00275379"/>
    <w:rsid w:val="00275508"/>
    <w:rsid w:val="00275584"/>
    <w:rsid w:val="0027559A"/>
    <w:rsid w:val="00275667"/>
    <w:rsid w:val="002757ED"/>
    <w:rsid w:val="00275820"/>
    <w:rsid w:val="00275893"/>
    <w:rsid w:val="00275911"/>
    <w:rsid w:val="002759F2"/>
    <w:rsid w:val="002759F8"/>
    <w:rsid w:val="00275A2B"/>
    <w:rsid w:val="00275A4E"/>
    <w:rsid w:val="00275AC2"/>
    <w:rsid w:val="00275C6C"/>
    <w:rsid w:val="00275D21"/>
    <w:rsid w:val="00275F42"/>
    <w:rsid w:val="0027607A"/>
    <w:rsid w:val="0027621B"/>
    <w:rsid w:val="0027627B"/>
    <w:rsid w:val="002762FF"/>
    <w:rsid w:val="0027643B"/>
    <w:rsid w:val="00276445"/>
    <w:rsid w:val="00276676"/>
    <w:rsid w:val="0027686D"/>
    <w:rsid w:val="002768CE"/>
    <w:rsid w:val="00276A0F"/>
    <w:rsid w:val="00276A31"/>
    <w:rsid w:val="00276A94"/>
    <w:rsid w:val="00276BE7"/>
    <w:rsid w:val="00276BF3"/>
    <w:rsid w:val="00276C19"/>
    <w:rsid w:val="00276C63"/>
    <w:rsid w:val="00276CE3"/>
    <w:rsid w:val="00276F1E"/>
    <w:rsid w:val="00276F86"/>
    <w:rsid w:val="00276FC5"/>
    <w:rsid w:val="00277070"/>
    <w:rsid w:val="002771F7"/>
    <w:rsid w:val="00277292"/>
    <w:rsid w:val="0027729C"/>
    <w:rsid w:val="0027751E"/>
    <w:rsid w:val="00277532"/>
    <w:rsid w:val="002775AC"/>
    <w:rsid w:val="002777FE"/>
    <w:rsid w:val="00277ABC"/>
    <w:rsid w:val="00277AE6"/>
    <w:rsid w:val="00277B0C"/>
    <w:rsid w:val="00277B82"/>
    <w:rsid w:val="00277DD2"/>
    <w:rsid w:val="00277EC4"/>
    <w:rsid w:val="00277FF1"/>
    <w:rsid w:val="002801B1"/>
    <w:rsid w:val="002805D2"/>
    <w:rsid w:val="00280695"/>
    <w:rsid w:val="002807A0"/>
    <w:rsid w:val="00280998"/>
    <w:rsid w:val="00280A17"/>
    <w:rsid w:val="00280B28"/>
    <w:rsid w:val="00280B37"/>
    <w:rsid w:val="00280C73"/>
    <w:rsid w:val="00280D09"/>
    <w:rsid w:val="00280E0F"/>
    <w:rsid w:val="00280EF7"/>
    <w:rsid w:val="00280F89"/>
    <w:rsid w:val="00280FD8"/>
    <w:rsid w:val="00281089"/>
    <w:rsid w:val="0028108C"/>
    <w:rsid w:val="002810FA"/>
    <w:rsid w:val="00281202"/>
    <w:rsid w:val="00281243"/>
    <w:rsid w:val="0028126D"/>
    <w:rsid w:val="00281336"/>
    <w:rsid w:val="002813B3"/>
    <w:rsid w:val="0028192C"/>
    <w:rsid w:val="00281A1A"/>
    <w:rsid w:val="00281A38"/>
    <w:rsid w:val="00281AAB"/>
    <w:rsid w:val="00281B47"/>
    <w:rsid w:val="00281BF2"/>
    <w:rsid w:val="00281E28"/>
    <w:rsid w:val="00281F39"/>
    <w:rsid w:val="00281F58"/>
    <w:rsid w:val="00282092"/>
    <w:rsid w:val="002820B4"/>
    <w:rsid w:val="0028211F"/>
    <w:rsid w:val="00282138"/>
    <w:rsid w:val="00282211"/>
    <w:rsid w:val="00282298"/>
    <w:rsid w:val="00282463"/>
    <w:rsid w:val="00282629"/>
    <w:rsid w:val="00282660"/>
    <w:rsid w:val="00282705"/>
    <w:rsid w:val="00282990"/>
    <w:rsid w:val="00282A5B"/>
    <w:rsid w:val="00282A72"/>
    <w:rsid w:val="00282D3F"/>
    <w:rsid w:val="00282DC5"/>
    <w:rsid w:val="00283035"/>
    <w:rsid w:val="00283066"/>
    <w:rsid w:val="002831DA"/>
    <w:rsid w:val="002831EB"/>
    <w:rsid w:val="002832B5"/>
    <w:rsid w:val="0028331F"/>
    <w:rsid w:val="0028357F"/>
    <w:rsid w:val="0028361D"/>
    <w:rsid w:val="00283A7A"/>
    <w:rsid w:val="00283B0C"/>
    <w:rsid w:val="00283C93"/>
    <w:rsid w:val="00283ECD"/>
    <w:rsid w:val="00283FE1"/>
    <w:rsid w:val="002840CF"/>
    <w:rsid w:val="0028427B"/>
    <w:rsid w:val="00284540"/>
    <w:rsid w:val="002845C0"/>
    <w:rsid w:val="0028460E"/>
    <w:rsid w:val="0028470E"/>
    <w:rsid w:val="002847A2"/>
    <w:rsid w:val="002847AC"/>
    <w:rsid w:val="00284874"/>
    <w:rsid w:val="002848E6"/>
    <w:rsid w:val="00284AD2"/>
    <w:rsid w:val="00284B12"/>
    <w:rsid w:val="00284B5B"/>
    <w:rsid w:val="00284B72"/>
    <w:rsid w:val="00284E2D"/>
    <w:rsid w:val="00285005"/>
    <w:rsid w:val="00285148"/>
    <w:rsid w:val="00285239"/>
    <w:rsid w:val="002852D5"/>
    <w:rsid w:val="002852DF"/>
    <w:rsid w:val="00285350"/>
    <w:rsid w:val="002853C2"/>
    <w:rsid w:val="0028590A"/>
    <w:rsid w:val="00285959"/>
    <w:rsid w:val="00285999"/>
    <w:rsid w:val="00285C17"/>
    <w:rsid w:val="00285C4C"/>
    <w:rsid w:val="00286062"/>
    <w:rsid w:val="0028626C"/>
    <w:rsid w:val="002862AD"/>
    <w:rsid w:val="00286454"/>
    <w:rsid w:val="002866F8"/>
    <w:rsid w:val="002866FB"/>
    <w:rsid w:val="0028675F"/>
    <w:rsid w:val="00286974"/>
    <w:rsid w:val="00286985"/>
    <w:rsid w:val="00286A1F"/>
    <w:rsid w:val="00286AF4"/>
    <w:rsid w:val="00286D75"/>
    <w:rsid w:val="00286DA0"/>
    <w:rsid w:val="00286E41"/>
    <w:rsid w:val="00286FE0"/>
    <w:rsid w:val="002870BE"/>
    <w:rsid w:val="002870F4"/>
    <w:rsid w:val="0028716E"/>
    <w:rsid w:val="0028720C"/>
    <w:rsid w:val="00287280"/>
    <w:rsid w:val="002872CD"/>
    <w:rsid w:val="00287494"/>
    <w:rsid w:val="00287655"/>
    <w:rsid w:val="002879E3"/>
    <w:rsid w:val="002879EF"/>
    <w:rsid w:val="00287B89"/>
    <w:rsid w:val="00287B96"/>
    <w:rsid w:val="00290255"/>
    <w:rsid w:val="00290256"/>
    <w:rsid w:val="002905BF"/>
    <w:rsid w:val="002908A9"/>
    <w:rsid w:val="00290A8A"/>
    <w:rsid w:val="00290BB8"/>
    <w:rsid w:val="00290BBD"/>
    <w:rsid w:val="00290BDA"/>
    <w:rsid w:val="00290BF3"/>
    <w:rsid w:val="00290C0A"/>
    <w:rsid w:val="00290D4A"/>
    <w:rsid w:val="00290DFD"/>
    <w:rsid w:val="00290E6E"/>
    <w:rsid w:val="002910BB"/>
    <w:rsid w:val="002911BC"/>
    <w:rsid w:val="002914C1"/>
    <w:rsid w:val="002916EE"/>
    <w:rsid w:val="00291827"/>
    <w:rsid w:val="002919CD"/>
    <w:rsid w:val="00291D1D"/>
    <w:rsid w:val="00291DB6"/>
    <w:rsid w:val="00291DF4"/>
    <w:rsid w:val="00291EC3"/>
    <w:rsid w:val="00291F0E"/>
    <w:rsid w:val="00292057"/>
    <w:rsid w:val="002921A8"/>
    <w:rsid w:val="0029226A"/>
    <w:rsid w:val="0029238A"/>
    <w:rsid w:val="002923B4"/>
    <w:rsid w:val="0029240D"/>
    <w:rsid w:val="002924AA"/>
    <w:rsid w:val="002927BE"/>
    <w:rsid w:val="00292B58"/>
    <w:rsid w:val="00292CA7"/>
    <w:rsid w:val="00292E0A"/>
    <w:rsid w:val="00293582"/>
    <w:rsid w:val="00293957"/>
    <w:rsid w:val="002939B9"/>
    <w:rsid w:val="00293B11"/>
    <w:rsid w:val="00293B77"/>
    <w:rsid w:val="00293C56"/>
    <w:rsid w:val="00293D17"/>
    <w:rsid w:val="00293E41"/>
    <w:rsid w:val="00293F24"/>
    <w:rsid w:val="0029400D"/>
    <w:rsid w:val="0029406B"/>
    <w:rsid w:val="002942D8"/>
    <w:rsid w:val="0029481E"/>
    <w:rsid w:val="002948B0"/>
    <w:rsid w:val="002949CA"/>
    <w:rsid w:val="00294AAF"/>
    <w:rsid w:val="00294C4F"/>
    <w:rsid w:val="00294CEE"/>
    <w:rsid w:val="00295097"/>
    <w:rsid w:val="0029548C"/>
    <w:rsid w:val="002954D1"/>
    <w:rsid w:val="002955B6"/>
    <w:rsid w:val="0029567D"/>
    <w:rsid w:val="00295785"/>
    <w:rsid w:val="002957FC"/>
    <w:rsid w:val="0029582F"/>
    <w:rsid w:val="00295834"/>
    <w:rsid w:val="00295BF8"/>
    <w:rsid w:val="00295C63"/>
    <w:rsid w:val="00295DAA"/>
    <w:rsid w:val="00295DBB"/>
    <w:rsid w:val="00295DC8"/>
    <w:rsid w:val="00295F78"/>
    <w:rsid w:val="00295FFA"/>
    <w:rsid w:val="00296080"/>
    <w:rsid w:val="0029608D"/>
    <w:rsid w:val="002960DF"/>
    <w:rsid w:val="002960F9"/>
    <w:rsid w:val="0029611F"/>
    <w:rsid w:val="0029620F"/>
    <w:rsid w:val="002963A9"/>
    <w:rsid w:val="002963F1"/>
    <w:rsid w:val="0029642B"/>
    <w:rsid w:val="0029642E"/>
    <w:rsid w:val="00296447"/>
    <w:rsid w:val="00296451"/>
    <w:rsid w:val="00296462"/>
    <w:rsid w:val="00296501"/>
    <w:rsid w:val="00296743"/>
    <w:rsid w:val="0029675A"/>
    <w:rsid w:val="002967B6"/>
    <w:rsid w:val="002967D9"/>
    <w:rsid w:val="002968C7"/>
    <w:rsid w:val="00296B8C"/>
    <w:rsid w:val="00296C56"/>
    <w:rsid w:val="00296DBA"/>
    <w:rsid w:val="00296F79"/>
    <w:rsid w:val="0029700A"/>
    <w:rsid w:val="002970D7"/>
    <w:rsid w:val="002970F0"/>
    <w:rsid w:val="0029728E"/>
    <w:rsid w:val="002972AB"/>
    <w:rsid w:val="0029731B"/>
    <w:rsid w:val="00297409"/>
    <w:rsid w:val="002975ED"/>
    <w:rsid w:val="002976ED"/>
    <w:rsid w:val="00297924"/>
    <w:rsid w:val="0029795A"/>
    <w:rsid w:val="00297A2E"/>
    <w:rsid w:val="00297A5B"/>
    <w:rsid w:val="00297D53"/>
    <w:rsid w:val="00297E51"/>
    <w:rsid w:val="00297FCB"/>
    <w:rsid w:val="00297FD3"/>
    <w:rsid w:val="002A017A"/>
    <w:rsid w:val="002A036B"/>
    <w:rsid w:val="002A0477"/>
    <w:rsid w:val="002A050A"/>
    <w:rsid w:val="002A0654"/>
    <w:rsid w:val="002A074D"/>
    <w:rsid w:val="002A07CA"/>
    <w:rsid w:val="002A08AD"/>
    <w:rsid w:val="002A0991"/>
    <w:rsid w:val="002A0AEF"/>
    <w:rsid w:val="002A0BFB"/>
    <w:rsid w:val="002A0C24"/>
    <w:rsid w:val="002A0D39"/>
    <w:rsid w:val="002A0EAB"/>
    <w:rsid w:val="002A1303"/>
    <w:rsid w:val="002A1593"/>
    <w:rsid w:val="002A16DE"/>
    <w:rsid w:val="002A1722"/>
    <w:rsid w:val="002A17DB"/>
    <w:rsid w:val="002A197E"/>
    <w:rsid w:val="002A1997"/>
    <w:rsid w:val="002A19A8"/>
    <w:rsid w:val="002A1AA9"/>
    <w:rsid w:val="002A1AD2"/>
    <w:rsid w:val="002A1B70"/>
    <w:rsid w:val="002A1F20"/>
    <w:rsid w:val="002A1F3C"/>
    <w:rsid w:val="002A20FC"/>
    <w:rsid w:val="002A21CB"/>
    <w:rsid w:val="002A223C"/>
    <w:rsid w:val="002A245A"/>
    <w:rsid w:val="002A24E3"/>
    <w:rsid w:val="002A2806"/>
    <w:rsid w:val="002A28B8"/>
    <w:rsid w:val="002A2A32"/>
    <w:rsid w:val="002A2B50"/>
    <w:rsid w:val="002A2F81"/>
    <w:rsid w:val="002A3002"/>
    <w:rsid w:val="002A31A5"/>
    <w:rsid w:val="002A31F0"/>
    <w:rsid w:val="002A35A2"/>
    <w:rsid w:val="002A376A"/>
    <w:rsid w:val="002A3A3C"/>
    <w:rsid w:val="002A3B52"/>
    <w:rsid w:val="002A411C"/>
    <w:rsid w:val="002A4175"/>
    <w:rsid w:val="002A4207"/>
    <w:rsid w:val="002A429B"/>
    <w:rsid w:val="002A42C6"/>
    <w:rsid w:val="002A43AC"/>
    <w:rsid w:val="002A4541"/>
    <w:rsid w:val="002A4572"/>
    <w:rsid w:val="002A46F5"/>
    <w:rsid w:val="002A474F"/>
    <w:rsid w:val="002A48B1"/>
    <w:rsid w:val="002A492D"/>
    <w:rsid w:val="002A4A33"/>
    <w:rsid w:val="002A4B59"/>
    <w:rsid w:val="002A4B8F"/>
    <w:rsid w:val="002A4BFB"/>
    <w:rsid w:val="002A4DE2"/>
    <w:rsid w:val="002A4EB1"/>
    <w:rsid w:val="002A4EE8"/>
    <w:rsid w:val="002A4EEE"/>
    <w:rsid w:val="002A5019"/>
    <w:rsid w:val="002A50C0"/>
    <w:rsid w:val="002A50D8"/>
    <w:rsid w:val="002A5133"/>
    <w:rsid w:val="002A5142"/>
    <w:rsid w:val="002A5325"/>
    <w:rsid w:val="002A5435"/>
    <w:rsid w:val="002A54BE"/>
    <w:rsid w:val="002A558D"/>
    <w:rsid w:val="002A5662"/>
    <w:rsid w:val="002A56F6"/>
    <w:rsid w:val="002A5714"/>
    <w:rsid w:val="002A571C"/>
    <w:rsid w:val="002A5838"/>
    <w:rsid w:val="002A59F5"/>
    <w:rsid w:val="002A5A73"/>
    <w:rsid w:val="002A5B2E"/>
    <w:rsid w:val="002A604F"/>
    <w:rsid w:val="002A6055"/>
    <w:rsid w:val="002A610A"/>
    <w:rsid w:val="002A6110"/>
    <w:rsid w:val="002A622F"/>
    <w:rsid w:val="002A6268"/>
    <w:rsid w:val="002A6309"/>
    <w:rsid w:val="002A6314"/>
    <w:rsid w:val="002A6399"/>
    <w:rsid w:val="002A64CD"/>
    <w:rsid w:val="002A670B"/>
    <w:rsid w:val="002A68B5"/>
    <w:rsid w:val="002A6C6C"/>
    <w:rsid w:val="002A6D18"/>
    <w:rsid w:val="002A6D7C"/>
    <w:rsid w:val="002A6DED"/>
    <w:rsid w:val="002A6F9B"/>
    <w:rsid w:val="002A7226"/>
    <w:rsid w:val="002A727A"/>
    <w:rsid w:val="002A73B4"/>
    <w:rsid w:val="002A7405"/>
    <w:rsid w:val="002A74CD"/>
    <w:rsid w:val="002A753C"/>
    <w:rsid w:val="002A755A"/>
    <w:rsid w:val="002A763B"/>
    <w:rsid w:val="002A7720"/>
    <w:rsid w:val="002A7851"/>
    <w:rsid w:val="002A787C"/>
    <w:rsid w:val="002A7940"/>
    <w:rsid w:val="002A7A89"/>
    <w:rsid w:val="002A7AE4"/>
    <w:rsid w:val="002A7BE8"/>
    <w:rsid w:val="002A7E8D"/>
    <w:rsid w:val="002B006C"/>
    <w:rsid w:val="002B014C"/>
    <w:rsid w:val="002B02C3"/>
    <w:rsid w:val="002B02DC"/>
    <w:rsid w:val="002B0372"/>
    <w:rsid w:val="002B0388"/>
    <w:rsid w:val="002B0557"/>
    <w:rsid w:val="002B0633"/>
    <w:rsid w:val="002B0688"/>
    <w:rsid w:val="002B06A9"/>
    <w:rsid w:val="002B0747"/>
    <w:rsid w:val="002B0797"/>
    <w:rsid w:val="002B09D1"/>
    <w:rsid w:val="002B0B02"/>
    <w:rsid w:val="002B0B0A"/>
    <w:rsid w:val="002B0B63"/>
    <w:rsid w:val="002B0BD5"/>
    <w:rsid w:val="002B0C49"/>
    <w:rsid w:val="002B1050"/>
    <w:rsid w:val="002B1305"/>
    <w:rsid w:val="002B1340"/>
    <w:rsid w:val="002B17B4"/>
    <w:rsid w:val="002B182A"/>
    <w:rsid w:val="002B1916"/>
    <w:rsid w:val="002B192F"/>
    <w:rsid w:val="002B19F1"/>
    <w:rsid w:val="002B1A60"/>
    <w:rsid w:val="002B1AC4"/>
    <w:rsid w:val="002B1B7F"/>
    <w:rsid w:val="002B1C0F"/>
    <w:rsid w:val="002B1C19"/>
    <w:rsid w:val="002B1CF9"/>
    <w:rsid w:val="002B1D87"/>
    <w:rsid w:val="002B21D7"/>
    <w:rsid w:val="002B2216"/>
    <w:rsid w:val="002B2379"/>
    <w:rsid w:val="002B2493"/>
    <w:rsid w:val="002B25B4"/>
    <w:rsid w:val="002B26EF"/>
    <w:rsid w:val="002B27B2"/>
    <w:rsid w:val="002B28FB"/>
    <w:rsid w:val="002B2AC5"/>
    <w:rsid w:val="002B2B29"/>
    <w:rsid w:val="002B2BA2"/>
    <w:rsid w:val="002B2C2C"/>
    <w:rsid w:val="002B2D0A"/>
    <w:rsid w:val="002B2DCD"/>
    <w:rsid w:val="002B2F3A"/>
    <w:rsid w:val="002B3017"/>
    <w:rsid w:val="002B303E"/>
    <w:rsid w:val="002B315D"/>
    <w:rsid w:val="002B31F8"/>
    <w:rsid w:val="002B3376"/>
    <w:rsid w:val="002B33B9"/>
    <w:rsid w:val="002B33DE"/>
    <w:rsid w:val="002B34E1"/>
    <w:rsid w:val="002B35E5"/>
    <w:rsid w:val="002B39ED"/>
    <w:rsid w:val="002B3B6F"/>
    <w:rsid w:val="002B3F07"/>
    <w:rsid w:val="002B3F2D"/>
    <w:rsid w:val="002B4242"/>
    <w:rsid w:val="002B4473"/>
    <w:rsid w:val="002B45D1"/>
    <w:rsid w:val="002B469D"/>
    <w:rsid w:val="002B4702"/>
    <w:rsid w:val="002B4706"/>
    <w:rsid w:val="002B4742"/>
    <w:rsid w:val="002B4892"/>
    <w:rsid w:val="002B4936"/>
    <w:rsid w:val="002B4A59"/>
    <w:rsid w:val="002B4C14"/>
    <w:rsid w:val="002B4C40"/>
    <w:rsid w:val="002B4CD1"/>
    <w:rsid w:val="002B4E12"/>
    <w:rsid w:val="002B4EA4"/>
    <w:rsid w:val="002B4F14"/>
    <w:rsid w:val="002B4F76"/>
    <w:rsid w:val="002B511C"/>
    <w:rsid w:val="002B5124"/>
    <w:rsid w:val="002B53BB"/>
    <w:rsid w:val="002B5482"/>
    <w:rsid w:val="002B5693"/>
    <w:rsid w:val="002B573C"/>
    <w:rsid w:val="002B5818"/>
    <w:rsid w:val="002B5961"/>
    <w:rsid w:val="002B59AE"/>
    <w:rsid w:val="002B5AA9"/>
    <w:rsid w:val="002B5B9E"/>
    <w:rsid w:val="002B5DDA"/>
    <w:rsid w:val="002B5E5A"/>
    <w:rsid w:val="002B6037"/>
    <w:rsid w:val="002B6164"/>
    <w:rsid w:val="002B6337"/>
    <w:rsid w:val="002B641C"/>
    <w:rsid w:val="002B6624"/>
    <w:rsid w:val="002B6765"/>
    <w:rsid w:val="002B6918"/>
    <w:rsid w:val="002B6962"/>
    <w:rsid w:val="002B6991"/>
    <w:rsid w:val="002B6B94"/>
    <w:rsid w:val="002B6BE7"/>
    <w:rsid w:val="002B6D15"/>
    <w:rsid w:val="002B6DF9"/>
    <w:rsid w:val="002B6F67"/>
    <w:rsid w:val="002B70DB"/>
    <w:rsid w:val="002B7176"/>
    <w:rsid w:val="002B7183"/>
    <w:rsid w:val="002B7283"/>
    <w:rsid w:val="002B731B"/>
    <w:rsid w:val="002B736B"/>
    <w:rsid w:val="002B7402"/>
    <w:rsid w:val="002B741A"/>
    <w:rsid w:val="002B7443"/>
    <w:rsid w:val="002B7460"/>
    <w:rsid w:val="002B75CF"/>
    <w:rsid w:val="002B7A44"/>
    <w:rsid w:val="002B7A55"/>
    <w:rsid w:val="002B7A8E"/>
    <w:rsid w:val="002B7D88"/>
    <w:rsid w:val="002B7D90"/>
    <w:rsid w:val="002B7DB0"/>
    <w:rsid w:val="002C0151"/>
    <w:rsid w:val="002C01E3"/>
    <w:rsid w:val="002C0257"/>
    <w:rsid w:val="002C02F1"/>
    <w:rsid w:val="002C04A1"/>
    <w:rsid w:val="002C0511"/>
    <w:rsid w:val="002C0567"/>
    <w:rsid w:val="002C0669"/>
    <w:rsid w:val="002C06B1"/>
    <w:rsid w:val="002C0746"/>
    <w:rsid w:val="002C0812"/>
    <w:rsid w:val="002C082C"/>
    <w:rsid w:val="002C098B"/>
    <w:rsid w:val="002C09C9"/>
    <w:rsid w:val="002C0A2F"/>
    <w:rsid w:val="002C0A73"/>
    <w:rsid w:val="002C0BB9"/>
    <w:rsid w:val="002C0C4A"/>
    <w:rsid w:val="002C0DF8"/>
    <w:rsid w:val="002C0E61"/>
    <w:rsid w:val="002C0E6F"/>
    <w:rsid w:val="002C0EE3"/>
    <w:rsid w:val="002C0F84"/>
    <w:rsid w:val="002C0FDD"/>
    <w:rsid w:val="002C0FE3"/>
    <w:rsid w:val="002C102E"/>
    <w:rsid w:val="002C11A0"/>
    <w:rsid w:val="002C124C"/>
    <w:rsid w:val="002C126B"/>
    <w:rsid w:val="002C13BC"/>
    <w:rsid w:val="002C13C0"/>
    <w:rsid w:val="002C13E7"/>
    <w:rsid w:val="002C15E1"/>
    <w:rsid w:val="002C1665"/>
    <w:rsid w:val="002C179A"/>
    <w:rsid w:val="002C1826"/>
    <w:rsid w:val="002C1943"/>
    <w:rsid w:val="002C1947"/>
    <w:rsid w:val="002C1978"/>
    <w:rsid w:val="002C1A14"/>
    <w:rsid w:val="002C1A4C"/>
    <w:rsid w:val="002C1C19"/>
    <w:rsid w:val="002C1C43"/>
    <w:rsid w:val="002C1CC3"/>
    <w:rsid w:val="002C1E2D"/>
    <w:rsid w:val="002C204E"/>
    <w:rsid w:val="002C208E"/>
    <w:rsid w:val="002C20AD"/>
    <w:rsid w:val="002C20FB"/>
    <w:rsid w:val="002C2182"/>
    <w:rsid w:val="002C2235"/>
    <w:rsid w:val="002C2274"/>
    <w:rsid w:val="002C23AE"/>
    <w:rsid w:val="002C2402"/>
    <w:rsid w:val="002C2516"/>
    <w:rsid w:val="002C259F"/>
    <w:rsid w:val="002C265B"/>
    <w:rsid w:val="002C27B2"/>
    <w:rsid w:val="002C2953"/>
    <w:rsid w:val="002C2A2D"/>
    <w:rsid w:val="002C2B29"/>
    <w:rsid w:val="002C2B7F"/>
    <w:rsid w:val="002C2DFE"/>
    <w:rsid w:val="002C2F07"/>
    <w:rsid w:val="002C302D"/>
    <w:rsid w:val="002C311C"/>
    <w:rsid w:val="002C3282"/>
    <w:rsid w:val="002C328F"/>
    <w:rsid w:val="002C3331"/>
    <w:rsid w:val="002C33F8"/>
    <w:rsid w:val="002C34BF"/>
    <w:rsid w:val="002C358A"/>
    <w:rsid w:val="002C37AE"/>
    <w:rsid w:val="002C38D4"/>
    <w:rsid w:val="002C3981"/>
    <w:rsid w:val="002C39BE"/>
    <w:rsid w:val="002C3B8B"/>
    <w:rsid w:val="002C3B90"/>
    <w:rsid w:val="002C3BB0"/>
    <w:rsid w:val="002C3BC5"/>
    <w:rsid w:val="002C3C03"/>
    <w:rsid w:val="002C3C46"/>
    <w:rsid w:val="002C40B5"/>
    <w:rsid w:val="002C4180"/>
    <w:rsid w:val="002C423E"/>
    <w:rsid w:val="002C43BA"/>
    <w:rsid w:val="002C456D"/>
    <w:rsid w:val="002C4576"/>
    <w:rsid w:val="002C469E"/>
    <w:rsid w:val="002C46C0"/>
    <w:rsid w:val="002C46DC"/>
    <w:rsid w:val="002C4845"/>
    <w:rsid w:val="002C4940"/>
    <w:rsid w:val="002C4A48"/>
    <w:rsid w:val="002C4AD1"/>
    <w:rsid w:val="002C4C57"/>
    <w:rsid w:val="002C4C72"/>
    <w:rsid w:val="002C4F09"/>
    <w:rsid w:val="002C4FCB"/>
    <w:rsid w:val="002C5207"/>
    <w:rsid w:val="002C54DB"/>
    <w:rsid w:val="002C553E"/>
    <w:rsid w:val="002C553F"/>
    <w:rsid w:val="002C55BF"/>
    <w:rsid w:val="002C55F1"/>
    <w:rsid w:val="002C56E7"/>
    <w:rsid w:val="002C5890"/>
    <w:rsid w:val="002C5929"/>
    <w:rsid w:val="002C5D5A"/>
    <w:rsid w:val="002C5F75"/>
    <w:rsid w:val="002C6071"/>
    <w:rsid w:val="002C6116"/>
    <w:rsid w:val="002C6178"/>
    <w:rsid w:val="002C62DB"/>
    <w:rsid w:val="002C6342"/>
    <w:rsid w:val="002C667D"/>
    <w:rsid w:val="002C6895"/>
    <w:rsid w:val="002C6BAD"/>
    <w:rsid w:val="002C6BC2"/>
    <w:rsid w:val="002C6BE5"/>
    <w:rsid w:val="002C6C32"/>
    <w:rsid w:val="002C6C80"/>
    <w:rsid w:val="002C6D1D"/>
    <w:rsid w:val="002C6F0C"/>
    <w:rsid w:val="002C6FEC"/>
    <w:rsid w:val="002C705D"/>
    <w:rsid w:val="002C71C8"/>
    <w:rsid w:val="002C736F"/>
    <w:rsid w:val="002C741E"/>
    <w:rsid w:val="002C7526"/>
    <w:rsid w:val="002C769A"/>
    <w:rsid w:val="002C7718"/>
    <w:rsid w:val="002C78FE"/>
    <w:rsid w:val="002C794C"/>
    <w:rsid w:val="002C7BCF"/>
    <w:rsid w:val="002C7D8F"/>
    <w:rsid w:val="002C7E61"/>
    <w:rsid w:val="002C7F9F"/>
    <w:rsid w:val="002D00C9"/>
    <w:rsid w:val="002D0154"/>
    <w:rsid w:val="002D0200"/>
    <w:rsid w:val="002D034C"/>
    <w:rsid w:val="002D037E"/>
    <w:rsid w:val="002D042D"/>
    <w:rsid w:val="002D042E"/>
    <w:rsid w:val="002D0434"/>
    <w:rsid w:val="002D067C"/>
    <w:rsid w:val="002D0686"/>
    <w:rsid w:val="002D084D"/>
    <w:rsid w:val="002D08E7"/>
    <w:rsid w:val="002D08EE"/>
    <w:rsid w:val="002D091D"/>
    <w:rsid w:val="002D0AE0"/>
    <w:rsid w:val="002D0B7E"/>
    <w:rsid w:val="002D0C3B"/>
    <w:rsid w:val="002D0D9F"/>
    <w:rsid w:val="002D0E01"/>
    <w:rsid w:val="002D10AD"/>
    <w:rsid w:val="002D10FD"/>
    <w:rsid w:val="002D1122"/>
    <w:rsid w:val="002D140D"/>
    <w:rsid w:val="002D1569"/>
    <w:rsid w:val="002D17D8"/>
    <w:rsid w:val="002D181C"/>
    <w:rsid w:val="002D18C2"/>
    <w:rsid w:val="002D1904"/>
    <w:rsid w:val="002D1944"/>
    <w:rsid w:val="002D1A2E"/>
    <w:rsid w:val="002D1A7A"/>
    <w:rsid w:val="002D1BFE"/>
    <w:rsid w:val="002D1C02"/>
    <w:rsid w:val="002D1D24"/>
    <w:rsid w:val="002D1F71"/>
    <w:rsid w:val="002D2058"/>
    <w:rsid w:val="002D232E"/>
    <w:rsid w:val="002D2674"/>
    <w:rsid w:val="002D287D"/>
    <w:rsid w:val="002D293A"/>
    <w:rsid w:val="002D2991"/>
    <w:rsid w:val="002D2C83"/>
    <w:rsid w:val="002D2CF2"/>
    <w:rsid w:val="002D3165"/>
    <w:rsid w:val="002D31D1"/>
    <w:rsid w:val="002D32C4"/>
    <w:rsid w:val="002D336D"/>
    <w:rsid w:val="002D33E9"/>
    <w:rsid w:val="002D34F0"/>
    <w:rsid w:val="002D3517"/>
    <w:rsid w:val="002D36D2"/>
    <w:rsid w:val="002D36EC"/>
    <w:rsid w:val="002D374F"/>
    <w:rsid w:val="002D3AD0"/>
    <w:rsid w:val="002D3B47"/>
    <w:rsid w:val="002D3C4B"/>
    <w:rsid w:val="002D3C7C"/>
    <w:rsid w:val="002D3CB7"/>
    <w:rsid w:val="002D3DD0"/>
    <w:rsid w:val="002D3F8D"/>
    <w:rsid w:val="002D4106"/>
    <w:rsid w:val="002D4193"/>
    <w:rsid w:val="002D421F"/>
    <w:rsid w:val="002D4234"/>
    <w:rsid w:val="002D429C"/>
    <w:rsid w:val="002D430F"/>
    <w:rsid w:val="002D4454"/>
    <w:rsid w:val="002D4534"/>
    <w:rsid w:val="002D4749"/>
    <w:rsid w:val="002D4779"/>
    <w:rsid w:val="002D486C"/>
    <w:rsid w:val="002D4B0B"/>
    <w:rsid w:val="002D4D1A"/>
    <w:rsid w:val="002D4D67"/>
    <w:rsid w:val="002D4D6F"/>
    <w:rsid w:val="002D4EBB"/>
    <w:rsid w:val="002D4F28"/>
    <w:rsid w:val="002D4F9A"/>
    <w:rsid w:val="002D51C1"/>
    <w:rsid w:val="002D51C8"/>
    <w:rsid w:val="002D52F5"/>
    <w:rsid w:val="002D5636"/>
    <w:rsid w:val="002D57BF"/>
    <w:rsid w:val="002D57E5"/>
    <w:rsid w:val="002D5993"/>
    <w:rsid w:val="002D5BCA"/>
    <w:rsid w:val="002D5BE7"/>
    <w:rsid w:val="002D5C6C"/>
    <w:rsid w:val="002D5D58"/>
    <w:rsid w:val="002D5E29"/>
    <w:rsid w:val="002D5F51"/>
    <w:rsid w:val="002D619B"/>
    <w:rsid w:val="002D63FC"/>
    <w:rsid w:val="002D66DC"/>
    <w:rsid w:val="002D685A"/>
    <w:rsid w:val="002D6979"/>
    <w:rsid w:val="002D69EC"/>
    <w:rsid w:val="002D6A2A"/>
    <w:rsid w:val="002D6B7E"/>
    <w:rsid w:val="002D6D72"/>
    <w:rsid w:val="002D6DAF"/>
    <w:rsid w:val="002D6E3C"/>
    <w:rsid w:val="002D6E91"/>
    <w:rsid w:val="002D6F29"/>
    <w:rsid w:val="002D72BA"/>
    <w:rsid w:val="002D76CD"/>
    <w:rsid w:val="002D77D8"/>
    <w:rsid w:val="002D7825"/>
    <w:rsid w:val="002D782C"/>
    <w:rsid w:val="002D78C0"/>
    <w:rsid w:val="002D78C5"/>
    <w:rsid w:val="002D7CB8"/>
    <w:rsid w:val="002D7E3E"/>
    <w:rsid w:val="002D7FE6"/>
    <w:rsid w:val="002E011A"/>
    <w:rsid w:val="002E01B0"/>
    <w:rsid w:val="002E0213"/>
    <w:rsid w:val="002E038C"/>
    <w:rsid w:val="002E0448"/>
    <w:rsid w:val="002E0524"/>
    <w:rsid w:val="002E0697"/>
    <w:rsid w:val="002E08E1"/>
    <w:rsid w:val="002E09C6"/>
    <w:rsid w:val="002E0B83"/>
    <w:rsid w:val="002E13F0"/>
    <w:rsid w:val="002E14DF"/>
    <w:rsid w:val="002E15ED"/>
    <w:rsid w:val="002E1672"/>
    <w:rsid w:val="002E17DD"/>
    <w:rsid w:val="002E1806"/>
    <w:rsid w:val="002E1876"/>
    <w:rsid w:val="002E18E6"/>
    <w:rsid w:val="002E1AEC"/>
    <w:rsid w:val="002E1B98"/>
    <w:rsid w:val="002E1BF0"/>
    <w:rsid w:val="002E1CDD"/>
    <w:rsid w:val="002E1ECA"/>
    <w:rsid w:val="002E1FE4"/>
    <w:rsid w:val="002E2045"/>
    <w:rsid w:val="002E24AC"/>
    <w:rsid w:val="002E25FD"/>
    <w:rsid w:val="002E2E8A"/>
    <w:rsid w:val="002E2F31"/>
    <w:rsid w:val="002E304D"/>
    <w:rsid w:val="002E312D"/>
    <w:rsid w:val="002E31EA"/>
    <w:rsid w:val="002E336F"/>
    <w:rsid w:val="002E347B"/>
    <w:rsid w:val="002E3664"/>
    <w:rsid w:val="002E3748"/>
    <w:rsid w:val="002E37BB"/>
    <w:rsid w:val="002E3820"/>
    <w:rsid w:val="002E3891"/>
    <w:rsid w:val="002E39A8"/>
    <w:rsid w:val="002E39B1"/>
    <w:rsid w:val="002E3BE8"/>
    <w:rsid w:val="002E3C55"/>
    <w:rsid w:val="002E3C74"/>
    <w:rsid w:val="002E3D94"/>
    <w:rsid w:val="002E3E24"/>
    <w:rsid w:val="002E3EC3"/>
    <w:rsid w:val="002E3F7F"/>
    <w:rsid w:val="002E41F4"/>
    <w:rsid w:val="002E429A"/>
    <w:rsid w:val="002E44BA"/>
    <w:rsid w:val="002E451E"/>
    <w:rsid w:val="002E47A8"/>
    <w:rsid w:val="002E47DF"/>
    <w:rsid w:val="002E48D9"/>
    <w:rsid w:val="002E4BC1"/>
    <w:rsid w:val="002E4BD0"/>
    <w:rsid w:val="002E4D72"/>
    <w:rsid w:val="002E4DF8"/>
    <w:rsid w:val="002E5000"/>
    <w:rsid w:val="002E5012"/>
    <w:rsid w:val="002E50C8"/>
    <w:rsid w:val="002E517D"/>
    <w:rsid w:val="002E52C7"/>
    <w:rsid w:val="002E52EF"/>
    <w:rsid w:val="002E544C"/>
    <w:rsid w:val="002E5515"/>
    <w:rsid w:val="002E5549"/>
    <w:rsid w:val="002E58B0"/>
    <w:rsid w:val="002E58DA"/>
    <w:rsid w:val="002E5996"/>
    <w:rsid w:val="002E5A9C"/>
    <w:rsid w:val="002E5B29"/>
    <w:rsid w:val="002E5B6C"/>
    <w:rsid w:val="002E5C44"/>
    <w:rsid w:val="002E5CF4"/>
    <w:rsid w:val="002E5D09"/>
    <w:rsid w:val="002E5E4B"/>
    <w:rsid w:val="002E5F5A"/>
    <w:rsid w:val="002E5F83"/>
    <w:rsid w:val="002E5FDC"/>
    <w:rsid w:val="002E6021"/>
    <w:rsid w:val="002E604A"/>
    <w:rsid w:val="002E607E"/>
    <w:rsid w:val="002E6140"/>
    <w:rsid w:val="002E6335"/>
    <w:rsid w:val="002E6481"/>
    <w:rsid w:val="002E65D5"/>
    <w:rsid w:val="002E66DF"/>
    <w:rsid w:val="002E6848"/>
    <w:rsid w:val="002E6A7A"/>
    <w:rsid w:val="002E6AAF"/>
    <w:rsid w:val="002E6BEE"/>
    <w:rsid w:val="002E6CF0"/>
    <w:rsid w:val="002E6E04"/>
    <w:rsid w:val="002E6E4E"/>
    <w:rsid w:val="002E7035"/>
    <w:rsid w:val="002E71DA"/>
    <w:rsid w:val="002E7268"/>
    <w:rsid w:val="002E731E"/>
    <w:rsid w:val="002E7371"/>
    <w:rsid w:val="002E74B4"/>
    <w:rsid w:val="002E7564"/>
    <w:rsid w:val="002E75F7"/>
    <w:rsid w:val="002E7773"/>
    <w:rsid w:val="002E7858"/>
    <w:rsid w:val="002E78E1"/>
    <w:rsid w:val="002E7955"/>
    <w:rsid w:val="002E7A49"/>
    <w:rsid w:val="002E7A94"/>
    <w:rsid w:val="002E7C12"/>
    <w:rsid w:val="002E7D3D"/>
    <w:rsid w:val="002E7E21"/>
    <w:rsid w:val="002E7E69"/>
    <w:rsid w:val="002F0079"/>
    <w:rsid w:val="002F031D"/>
    <w:rsid w:val="002F0335"/>
    <w:rsid w:val="002F03C0"/>
    <w:rsid w:val="002F057B"/>
    <w:rsid w:val="002F0697"/>
    <w:rsid w:val="002F0772"/>
    <w:rsid w:val="002F08B1"/>
    <w:rsid w:val="002F098C"/>
    <w:rsid w:val="002F09D0"/>
    <w:rsid w:val="002F0B9B"/>
    <w:rsid w:val="002F0C02"/>
    <w:rsid w:val="002F0D2C"/>
    <w:rsid w:val="002F0E6D"/>
    <w:rsid w:val="002F0FE1"/>
    <w:rsid w:val="002F12D3"/>
    <w:rsid w:val="002F13AC"/>
    <w:rsid w:val="002F16A1"/>
    <w:rsid w:val="002F1857"/>
    <w:rsid w:val="002F1911"/>
    <w:rsid w:val="002F19B8"/>
    <w:rsid w:val="002F1A22"/>
    <w:rsid w:val="002F1A6A"/>
    <w:rsid w:val="002F1C9E"/>
    <w:rsid w:val="002F1D13"/>
    <w:rsid w:val="002F1FA9"/>
    <w:rsid w:val="002F20F0"/>
    <w:rsid w:val="002F216A"/>
    <w:rsid w:val="002F216E"/>
    <w:rsid w:val="002F218F"/>
    <w:rsid w:val="002F23FD"/>
    <w:rsid w:val="002F25B4"/>
    <w:rsid w:val="002F276A"/>
    <w:rsid w:val="002F2852"/>
    <w:rsid w:val="002F2875"/>
    <w:rsid w:val="002F28CB"/>
    <w:rsid w:val="002F2AE3"/>
    <w:rsid w:val="002F2B3E"/>
    <w:rsid w:val="002F2B60"/>
    <w:rsid w:val="002F2B6F"/>
    <w:rsid w:val="002F2C34"/>
    <w:rsid w:val="002F2C91"/>
    <w:rsid w:val="002F2E6F"/>
    <w:rsid w:val="002F2E84"/>
    <w:rsid w:val="002F30AD"/>
    <w:rsid w:val="002F310E"/>
    <w:rsid w:val="002F31CD"/>
    <w:rsid w:val="002F3574"/>
    <w:rsid w:val="002F35A2"/>
    <w:rsid w:val="002F3896"/>
    <w:rsid w:val="002F399B"/>
    <w:rsid w:val="002F39F7"/>
    <w:rsid w:val="002F3DB7"/>
    <w:rsid w:val="002F3F79"/>
    <w:rsid w:val="002F401F"/>
    <w:rsid w:val="002F4094"/>
    <w:rsid w:val="002F40DB"/>
    <w:rsid w:val="002F41CC"/>
    <w:rsid w:val="002F42C6"/>
    <w:rsid w:val="002F4738"/>
    <w:rsid w:val="002F4770"/>
    <w:rsid w:val="002F47C3"/>
    <w:rsid w:val="002F48BE"/>
    <w:rsid w:val="002F4C97"/>
    <w:rsid w:val="002F4DB7"/>
    <w:rsid w:val="002F4EE0"/>
    <w:rsid w:val="002F5083"/>
    <w:rsid w:val="002F54BA"/>
    <w:rsid w:val="002F550B"/>
    <w:rsid w:val="002F5557"/>
    <w:rsid w:val="002F567D"/>
    <w:rsid w:val="002F5994"/>
    <w:rsid w:val="002F5B15"/>
    <w:rsid w:val="002F5C29"/>
    <w:rsid w:val="002F5C5B"/>
    <w:rsid w:val="002F5D48"/>
    <w:rsid w:val="002F5E50"/>
    <w:rsid w:val="002F5EF4"/>
    <w:rsid w:val="002F5F9A"/>
    <w:rsid w:val="002F600E"/>
    <w:rsid w:val="002F6040"/>
    <w:rsid w:val="002F618C"/>
    <w:rsid w:val="002F6467"/>
    <w:rsid w:val="002F6507"/>
    <w:rsid w:val="002F65BC"/>
    <w:rsid w:val="002F6616"/>
    <w:rsid w:val="002F6682"/>
    <w:rsid w:val="002F6731"/>
    <w:rsid w:val="002F68A0"/>
    <w:rsid w:val="002F68DA"/>
    <w:rsid w:val="002F6DCA"/>
    <w:rsid w:val="002F6E36"/>
    <w:rsid w:val="002F6E38"/>
    <w:rsid w:val="002F6EC1"/>
    <w:rsid w:val="002F6F88"/>
    <w:rsid w:val="002F6FCB"/>
    <w:rsid w:val="002F7058"/>
    <w:rsid w:val="002F7154"/>
    <w:rsid w:val="002F72C5"/>
    <w:rsid w:val="002F731E"/>
    <w:rsid w:val="002F73F3"/>
    <w:rsid w:val="002F756B"/>
    <w:rsid w:val="002F75B0"/>
    <w:rsid w:val="002F774A"/>
    <w:rsid w:val="002F785D"/>
    <w:rsid w:val="002F794C"/>
    <w:rsid w:val="002F79B0"/>
    <w:rsid w:val="002F7B80"/>
    <w:rsid w:val="002F7B9F"/>
    <w:rsid w:val="002F7C03"/>
    <w:rsid w:val="002F7C28"/>
    <w:rsid w:val="002F7CA1"/>
    <w:rsid w:val="003000A0"/>
    <w:rsid w:val="00300191"/>
    <w:rsid w:val="00300449"/>
    <w:rsid w:val="003004A5"/>
    <w:rsid w:val="003004C3"/>
    <w:rsid w:val="0030053F"/>
    <w:rsid w:val="003005FD"/>
    <w:rsid w:val="00300657"/>
    <w:rsid w:val="003006DD"/>
    <w:rsid w:val="0030082A"/>
    <w:rsid w:val="003009B5"/>
    <w:rsid w:val="00300A38"/>
    <w:rsid w:val="00300A76"/>
    <w:rsid w:val="00300B2D"/>
    <w:rsid w:val="00300B3D"/>
    <w:rsid w:val="00300C38"/>
    <w:rsid w:val="00300C63"/>
    <w:rsid w:val="00300E02"/>
    <w:rsid w:val="00300FD0"/>
    <w:rsid w:val="00301028"/>
    <w:rsid w:val="0030107C"/>
    <w:rsid w:val="00301180"/>
    <w:rsid w:val="0030118C"/>
    <w:rsid w:val="003011CB"/>
    <w:rsid w:val="003011E9"/>
    <w:rsid w:val="0030142E"/>
    <w:rsid w:val="00301650"/>
    <w:rsid w:val="003016CB"/>
    <w:rsid w:val="00301844"/>
    <w:rsid w:val="00301A13"/>
    <w:rsid w:val="00301A19"/>
    <w:rsid w:val="00301AB6"/>
    <w:rsid w:val="00301C87"/>
    <w:rsid w:val="00301FB1"/>
    <w:rsid w:val="00301FDB"/>
    <w:rsid w:val="00302015"/>
    <w:rsid w:val="00302116"/>
    <w:rsid w:val="003022B1"/>
    <w:rsid w:val="00302326"/>
    <w:rsid w:val="003024FF"/>
    <w:rsid w:val="00302560"/>
    <w:rsid w:val="0030256B"/>
    <w:rsid w:val="003027EC"/>
    <w:rsid w:val="0030280F"/>
    <w:rsid w:val="0030284F"/>
    <w:rsid w:val="003028B3"/>
    <w:rsid w:val="00302954"/>
    <w:rsid w:val="00302AE4"/>
    <w:rsid w:val="00302CCC"/>
    <w:rsid w:val="00302D81"/>
    <w:rsid w:val="00302FDA"/>
    <w:rsid w:val="00303004"/>
    <w:rsid w:val="00303077"/>
    <w:rsid w:val="00303153"/>
    <w:rsid w:val="00303165"/>
    <w:rsid w:val="00303184"/>
    <w:rsid w:val="00303190"/>
    <w:rsid w:val="003036F3"/>
    <w:rsid w:val="003037C5"/>
    <w:rsid w:val="003039D6"/>
    <w:rsid w:val="00303A86"/>
    <w:rsid w:val="00303ADF"/>
    <w:rsid w:val="00303B6D"/>
    <w:rsid w:val="00303C98"/>
    <w:rsid w:val="00303CA0"/>
    <w:rsid w:val="00303FA8"/>
    <w:rsid w:val="00303FF3"/>
    <w:rsid w:val="003040BF"/>
    <w:rsid w:val="00304135"/>
    <w:rsid w:val="0030415C"/>
    <w:rsid w:val="003041AF"/>
    <w:rsid w:val="003041FB"/>
    <w:rsid w:val="00304285"/>
    <w:rsid w:val="003042B7"/>
    <w:rsid w:val="003042C0"/>
    <w:rsid w:val="003044BF"/>
    <w:rsid w:val="00304593"/>
    <w:rsid w:val="003046DF"/>
    <w:rsid w:val="00304714"/>
    <w:rsid w:val="00304765"/>
    <w:rsid w:val="00304845"/>
    <w:rsid w:val="003048D4"/>
    <w:rsid w:val="003048F7"/>
    <w:rsid w:val="00304BAD"/>
    <w:rsid w:val="00304E41"/>
    <w:rsid w:val="00304F69"/>
    <w:rsid w:val="00304FF2"/>
    <w:rsid w:val="003051A5"/>
    <w:rsid w:val="00305545"/>
    <w:rsid w:val="00305581"/>
    <w:rsid w:val="00305728"/>
    <w:rsid w:val="0030594A"/>
    <w:rsid w:val="003059D3"/>
    <w:rsid w:val="00305A01"/>
    <w:rsid w:val="00305A50"/>
    <w:rsid w:val="00305B18"/>
    <w:rsid w:val="00305EB9"/>
    <w:rsid w:val="00306109"/>
    <w:rsid w:val="003061A0"/>
    <w:rsid w:val="003061DC"/>
    <w:rsid w:val="003061F4"/>
    <w:rsid w:val="0030641F"/>
    <w:rsid w:val="0030647E"/>
    <w:rsid w:val="00306723"/>
    <w:rsid w:val="003067DE"/>
    <w:rsid w:val="00306859"/>
    <w:rsid w:val="003068E7"/>
    <w:rsid w:val="00306B44"/>
    <w:rsid w:val="00306E0B"/>
    <w:rsid w:val="00306EC5"/>
    <w:rsid w:val="0030711C"/>
    <w:rsid w:val="00307295"/>
    <w:rsid w:val="003074FC"/>
    <w:rsid w:val="00307590"/>
    <w:rsid w:val="003075C6"/>
    <w:rsid w:val="00307B00"/>
    <w:rsid w:val="00307EB8"/>
    <w:rsid w:val="00307EE2"/>
    <w:rsid w:val="00307F0F"/>
    <w:rsid w:val="00307FC0"/>
    <w:rsid w:val="00307FC5"/>
    <w:rsid w:val="00310135"/>
    <w:rsid w:val="00310225"/>
    <w:rsid w:val="003103E7"/>
    <w:rsid w:val="003104C0"/>
    <w:rsid w:val="0031066D"/>
    <w:rsid w:val="003106BA"/>
    <w:rsid w:val="00310925"/>
    <w:rsid w:val="00310A33"/>
    <w:rsid w:val="00310A7F"/>
    <w:rsid w:val="00310AA0"/>
    <w:rsid w:val="00310AA5"/>
    <w:rsid w:val="00310BB1"/>
    <w:rsid w:val="00310CFC"/>
    <w:rsid w:val="00310E65"/>
    <w:rsid w:val="00310FC3"/>
    <w:rsid w:val="00311004"/>
    <w:rsid w:val="003110C7"/>
    <w:rsid w:val="003111A6"/>
    <w:rsid w:val="003112B9"/>
    <w:rsid w:val="003112DA"/>
    <w:rsid w:val="00311313"/>
    <w:rsid w:val="00311452"/>
    <w:rsid w:val="0031157E"/>
    <w:rsid w:val="003117D8"/>
    <w:rsid w:val="0031199B"/>
    <w:rsid w:val="0031199E"/>
    <w:rsid w:val="003119F8"/>
    <w:rsid w:val="00311A01"/>
    <w:rsid w:val="00311F57"/>
    <w:rsid w:val="00311FFB"/>
    <w:rsid w:val="0031213A"/>
    <w:rsid w:val="003121F0"/>
    <w:rsid w:val="003122C0"/>
    <w:rsid w:val="003122FE"/>
    <w:rsid w:val="0031231F"/>
    <w:rsid w:val="0031238E"/>
    <w:rsid w:val="0031248A"/>
    <w:rsid w:val="00312596"/>
    <w:rsid w:val="0031261E"/>
    <w:rsid w:val="00312A1D"/>
    <w:rsid w:val="00312B14"/>
    <w:rsid w:val="00312B35"/>
    <w:rsid w:val="00312DE7"/>
    <w:rsid w:val="0031306A"/>
    <w:rsid w:val="00313207"/>
    <w:rsid w:val="00313258"/>
    <w:rsid w:val="00313505"/>
    <w:rsid w:val="00313507"/>
    <w:rsid w:val="0031351C"/>
    <w:rsid w:val="0031356F"/>
    <w:rsid w:val="0031360B"/>
    <w:rsid w:val="00313629"/>
    <w:rsid w:val="00313697"/>
    <w:rsid w:val="003136B2"/>
    <w:rsid w:val="003137A9"/>
    <w:rsid w:val="003138EE"/>
    <w:rsid w:val="00313BE1"/>
    <w:rsid w:val="00314090"/>
    <w:rsid w:val="00314208"/>
    <w:rsid w:val="00314268"/>
    <w:rsid w:val="0031426F"/>
    <w:rsid w:val="0031430B"/>
    <w:rsid w:val="0031435D"/>
    <w:rsid w:val="003143A7"/>
    <w:rsid w:val="003143E1"/>
    <w:rsid w:val="003148EA"/>
    <w:rsid w:val="00314AD4"/>
    <w:rsid w:val="00314B21"/>
    <w:rsid w:val="00314BA0"/>
    <w:rsid w:val="00314E75"/>
    <w:rsid w:val="00314FDB"/>
    <w:rsid w:val="00315045"/>
    <w:rsid w:val="00315052"/>
    <w:rsid w:val="003150B0"/>
    <w:rsid w:val="00315257"/>
    <w:rsid w:val="00315316"/>
    <w:rsid w:val="00315353"/>
    <w:rsid w:val="00315462"/>
    <w:rsid w:val="003154A4"/>
    <w:rsid w:val="00315546"/>
    <w:rsid w:val="003155BF"/>
    <w:rsid w:val="0031564D"/>
    <w:rsid w:val="00315672"/>
    <w:rsid w:val="003157F3"/>
    <w:rsid w:val="00315875"/>
    <w:rsid w:val="0031597C"/>
    <w:rsid w:val="003159BF"/>
    <w:rsid w:val="003159D5"/>
    <w:rsid w:val="00315A27"/>
    <w:rsid w:val="00315AD2"/>
    <w:rsid w:val="00315D9B"/>
    <w:rsid w:val="00315DB7"/>
    <w:rsid w:val="00315E92"/>
    <w:rsid w:val="00315FB9"/>
    <w:rsid w:val="00315FC8"/>
    <w:rsid w:val="003160C3"/>
    <w:rsid w:val="003161AE"/>
    <w:rsid w:val="003161C8"/>
    <w:rsid w:val="00316386"/>
    <w:rsid w:val="003163B0"/>
    <w:rsid w:val="00316594"/>
    <w:rsid w:val="003165F7"/>
    <w:rsid w:val="0031663B"/>
    <w:rsid w:val="003166DA"/>
    <w:rsid w:val="00316741"/>
    <w:rsid w:val="00316AE5"/>
    <w:rsid w:val="00316B13"/>
    <w:rsid w:val="00316BDC"/>
    <w:rsid w:val="00316D2A"/>
    <w:rsid w:val="00316F01"/>
    <w:rsid w:val="00316F0A"/>
    <w:rsid w:val="003170DB"/>
    <w:rsid w:val="0031710C"/>
    <w:rsid w:val="0031721E"/>
    <w:rsid w:val="00317555"/>
    <w:rsid w:val="003175AA"/>
    <w:rsid w:val="003175D5"/>
    <w:rsid w:val="00317657"/>
    <w:rsid w:val="003176F4"/>
    <w:rsid w:val="0031775E"/>
    <w:rsid w:val="0031784C"/>
    <w:rsid w:val="00317908"/>
    <w:rsid w:val="003179CB"/>
    <w:rsid w:val="00317EA5"/>
    <w:rsid w:val="00317EBF"/>
    <w:rsid w:val="00317EFD"/>
    <w:rsid w:val="00317F78"/>
    <w:rsid w:val="00317FFD"/>
    <w:rsid w:val="00320093"/>
    <w:rsid w:val="003201EA"/>
    <w:rsid w:val="00320366"/>
    <w:rsid w:val="00320392"/>
    <w:rsid w:val="00320448"/>
    <w:rsid w:val="0032051C"/>
    <w:rsid w:val="00320838"/>
    <w:rsid w:val="003208B7"/>
    <w:rsid w:val="00320C95"/>
    <w:rsid w:val="00320D2A"/>
    <w:rsid w:val="003210B3"/>
    <w:rsid w:val="00321163"/>
    <w:rsid w:val="0032118B"/>
    <w:rsid w:val="0032122E"/>
    <w:rsid w:val="00321414"/>
    <w:rsid w:val="00321487"/>
    <w:rsid w:val="0032165A"/>
    <w:rsid w:val="00321676"/>
    <w:rsid w:val="0032173D"/>
    <w:rsid w:val="00321752"/>
    <w:rsid w:val="003217FA"/>
    <w:rsid w:val="00321866"/>
    <w:rsid w:val="0032188D"/>
    <w:rsid w:val="00322267"/>
    <w:rsid w:val="00322269"/>
    <w:rsid w:val="003222AB"/>
    <w:rsid w:val="00322572"/>
    <w:rsid w:val="003226A4"/>
    <w:rsid w:val="003227E8"/>
    <w:rsid w:val="00322865"/>
    <w:rsid w:val="003228F6"/>
    <w:rsid w:val="00322991"/>
    <w:rsid w:val="00322A5E"/>
    <w:rsid w:val="00322B9E"/>
    <w:rsid w:val="00322BBB"/>
    <w:rsid w:val="00322E72"/>
    <w:rsid w:val="00322E93"/>
    <w:rsid w:val="00322F4C"/>
    <w:rsid w:val="00322FD2"/>
    <w:rsid w:val="00322FF2"/>
    <w:rsid w:val="0032300A"/>
    <w:rsid w:val="00323079"/>
    <w:rsid w:val="003231C3"/>
    <w:rsid w:val="00323224"/>
    <w:rsid w:val="0032324B"/>
    <w:rsid w:val="00323347"/>
    <w:rsid w:val="0032338A"/>
    <w:rsid w:val="00323412"/>
    <w:rsid w:val="003234B0"/>
    <w:rsid w:val="00323535"/>
    <w:rsid w:val="00323657"/>
    <w:rsid w:val="00323A5F"/>
    <w:rsid w:val="00323AC3"/>
    <w:rsid w:val="00323B21"/>
    <w:rsid w:val="00323BC2"/>
    <w:rsid w:val="00323C34"/>
    <w:rsid w:val="00323C60"/>
    <w:rsid w:val="00323D75"/>
    <w:rsid w:val="00323DD1"/>
    <w:rsid w:val="00323E7C"/>
    <w:rsid w:val="003240D5"/>
    <w:rsid w:val="00324330"/>
    <w:rsid w:val="003244D3"/>
    <w:rsid w:val="0032464B"/>
    <w:rsid w:val="003247BE"/>
    <w:rsid w:val="00324936"/>
    <w:rsid w:val="003249A6"/>
    <w:rsid w:val="00324D75"/>
    <w:rsid w:val="00324FBC"/>
    <w:rsid w:val="00324FCC"/>
    <w:rsid w:val="00325153"/>
    <w:rsid w:val="00325299"/>
    <w:rsid w:val="0032542B"/>
    <w:rsid w:val="003254BF"/>
    <w:rsid w:val="00325510"/>
    <w:rsid w:val="00325519"/>
    <w:rsid w:val="00325911"/>
    <w:rsid w:val="00325946"/>
    <w:rsid w:val="003259DB"/>
    <w:rsid w:val="003259FA"/>
    <w:rsid w:val="00325A87"/>
    <w:rsid w:val="00325B18"/>
    <w:rsid w:val="00325C92"/>
    <w:rsid w:val="00325D2F"/>
    <w:rsid w:val="00325DE4"/>
    <w:rsid w:val="00325FAD"/>
    <w:rsid w:val="00325FCD"/>
    <w:rsid w:val="0032616C"/>
    <w:rsid w:val="00326184"/>
    <w:rsid w:val="0032626A"/>
    <w:rsid w:val="003265FA"/>
    <w:rsid w:val="003265FF"/>
    <w:rsid w:val="003266B6"/>
    <w:rsid w:val="00326739"/>
    <w:rsid w:val="00326806"/>
    <w:rsid w:val="0032695D"/>
    <w:rsid w:val="00326984"/>
    <w:rsid w:val="003269FD"/>
    <w:rsid w:val="00326A21"/>
    <w:rsid w:val="00326A85"/>
    <w:rsid w:val="00326BD0"/>
    <w:rsid w:val="00326DCB"/>
    <w:rsid w:val="00326EBE"/>
    <w:rsid w:val="00326FCB"/>
    <w:rsid w:val="00327121"/>
    <w:rsid w:val="00327154"/>
    <w:rsid w:val="00327170"/>
    <w:rsid w:val="003271A1"/>
    <w:rsid w:val="003271C3"/>
    <w:rsid w:val="00327475"/>
    <w:rsid w:val="003275C3"/>
    <w:rsid w:val="0032768D"/>
    <w:rsid w:val="0032780E"/>
    <w:rsid w:val="00327853"/>
    <w:rsid w:val="00327904"/>
    <w:rsid w:val="0032797A"/>
    <w:rsid w:val="00327AA1"/>
    <w:rsid w:val="00327AFE"/>
    <w:rsid w:val="00327C66"/>
    <w:rsid w:val="00327D3B"/>
    <w:rsid w:val="00327EDF"/>
    <w:rsid w:val="00327F87"/>
    <w:rsid w:val="00327F94"/>
    <w:rsid w:val="00330047"/>
    <w:rsid w:val="00330673"/>
    <w:rsid w:val="00330809"/>
    <w:rsid w:val="00330836"/>
    <w:rsid w:val="00330851"/>
    <w:rsid w:val="0033090D"/>
    <w:rsid w:val="00330A52"/>
    <w:rsid w:val="00330A5D"/>
    <w:rsid w:val="00330B0B"/>
    <w:rsid w:val="00330C49"/>
    <w:rsid w:val="00330C91"/>
    <w:rsid w:val="00330D6F"/>
    <w:rsid w:val="00330F65"/>
    <w:rsid w:val="00331030"/>
    <w:rsid w:val="00331107"/>
    <w:rsid w:val="00331132"/>
    <w:rsid w:val="0033139C"/>
    <w:rsid w:val="003313E1"/>
    <w:rsid w:val="003315DA"/>
    <w:rsid w:val="0033183D"/>
    <w:rsid w:val="00331851"/>
    <w:rsid w:val="00331854"/>
    <w:rsid w:val="0033185F"/>
    <w:rsid w:val="0033189C"/>
    <w:rsid w:val="00331915"/>
    <w:rsid w:val="00331A64"/>
    <w:rsid w:val="00331C86"/>
    <w:rsid w:val="00331ED8"/>
    <w:rsid w:val="00331EF0"/>
    <w:rsid w:val="00331F18"/>
    <w:rsid w:val="00331FBE"/>
    <w:rsid w:val="00332046"/>
    <w:rsid w:val="00332063"/>
    <w:rsid w:val="003320EF"/>
    <w:rsid w:val="00332304"/>
    <w:rsid w:val="003323B6"/>
    <w:rsid w:val="00332554"/>
    <w:rsid w:val="0033260B"/>
    <w:rsid w:val="003326BB"/>
    <w:rsid w:val="00332734"/>
    <w:rsid w:val="003328F2"/>
    <w:rsid w:val="0033291E"/>
    <w:rsid w:val="003329FE"/>
    <w:rsid w:val="00332AB3"/>
    <w:rsid w:val="00332B54"/>
    <w:rsid w:val="00332E15"/>
    <w:rsid w:val="00332F4E"/>
    <w:rsid w:val="0033309C"/>
    <w:rsid w:val="00333112"/>
    <w:rsid w:val="003331B5"/>
    <w:rsid w:val="003331EB"/>
    <w:rsid w:val="003332FB"/>
    <w:rsid w:val="00333438"/>
    <w:rsid w:val="0033347C"/>
    <w:rsid w:val="003334DC"/>
    <w:rsid w:val="003335EA"/>
    <w:rsid w:val="00333906"/>
    <w:rsid w:val="00333937"/>
    <w:rsid w:val="00333A84"/>
    <w:rsid w:val="00333ABE"/>
    <w:rsid w:val="00333C29"/>
    <w:rsid w:val="00333C6D"/>
    <w:rsid w:val="00333CB8"/>
    <w:rsid w:val="00333D28"/>
    <w:rsid w:val="00333D3F"/>
    <w:rsid w:val="00333D43"/>
    <w:rsid w:val="00333D45"/>
    <w:rsid w:val="00333D75"/>
    <w:rsid w:val="00333D8E"/>
    <w:rsid w:val="00333E58"/>
    <w:rsid w:val="003340AE"/>
    <w:rsid w:val="003340C0"/>
    <w:rsid w:val="00334338"/>
    <w:rsid w:val="003343AC"/>
    <w:rsid w:val="00334852"/>
    <w:rsid w:val="0033489D"/>
    <w:rsid w:val="003348C2"/>
    <w:rsid w:val="0033491A"/>
    <w:rsid w:val="00334A55"/>
    <w:rsid w:val="00334B20"/>
    <w:rsid w:val="00334B49"/>
    <w:rsid w:val="00334CEB"/>
    <w:rsid w:val="00334DAA"/>
    <w:rsid w:val="00334DB1"/>
    <w:rsid w:val="00334F16"/>
    <w:rsid w:val="0033504C"/>
    <w:rsid w:val="00335227"/>
    <w:rsid w:val="0033532F"/>
    <w:rsid w:val="003353CE"/>
    <w:rsid w:val="003354CE"/>
    <w:rsid w:val="00335673"/>
    <w:rsid w:val="0033569E"/>
    <w:rsid w:val="00335758"/>
    <w:rsid w:val="0033576C"/>
    <w:rsid w:val="00335778"/>
    <w:rsid w:val="00335870"/>
    <w:rsid w:val="00335A03"/>
    <w:rsid w:val="00335A5A"/>
    <w:rsid w:val="00335B8D"/>
    <w:rsid w:val="00335BE5"/>
    <w:rsid w:val="00335BFB"/>
    <w:rsid w:val="00335C3B"/>
    <w:rsid w:val="00335C5D"/>
    <w:rsid w:val="00335C68"/>
    <w:rsid w:val="00335D01"/>
    <w:rsid w:val="00335D18"/>
    <w:rsid w:val="00335D9E"/>
    <w:rsid w:val="00335EC4"/>
    <w:rsid w:val="00335FA9"/>
    <w:rsid w:val="00335FAB"/>
    <w:rsid w:val="0033612D"/>
    <w:rsid w:val="00336161"/>
    <w:rsid w:val="00336211"/>
    <w:rsid w:val="00336252"/>
    <w:rsid w:val="0033628A"/>
    <w:rsid w:val="003362EF"/>
    <w:rsid w:val="00336399"/>
    <w:rsid w:val="0033640F"/>
    <w:rsid w:val="003365E6"/>
    <w:rsid w:val="00336951"/>
    <w:rsid w:val="00336B47"/>
    <w:rsid w:val="00336D09"/>
    <w:rsid w:val="00336ED8"/>
    <w:rsid w:val="00336F0F"/>
    <w:rsid w:val="00336FD9"/>
    <w:rsid w:val="003370A1"/>
    <w:rsid w:val="00337148"/>
    <w:rsid w:val="00337177"/>
    <w:rsid w:val="003372AB"/>
    <w:rsid w:val="0033748E"/>
    <w:rsid w:val="00337494"/>
    <w:rsid w:val="0033761B"/>
    <w:rsid w:val="0033779B"/>
    <w:rsid w:val="00337A01"/>
    <w:rsid w:val="00337A33"/>
    <w:rsid w:val="00337ACD"/>
    <w:rsid w:val="00337CFA"/>
    <w:rsid w:val="00337EF7"/>
    <w:rsid w:val="00337F2F"/>
    <w:rsid w:val="00337F74"/>
    <w:rsid w:val="003401D9"/>
    <w:rsid w:val="0034035B"/>
    <w:rsid w:val="00340388"/>
    <w:rsid w:val="003403C7"/>
    <w:rsid w:val="0034058C"/>
    <w:rsid w:val="0034064D"/>
    <w:rsid w:val="00340680"/>
    <w:rsid w:val="0034070A"/>
    <w:rsid w:val="0034085E"/>
    <w:rsid w:val="00340B08"/>
    <w:rsid w:val="00340B79"/>
    <w:rsid w:val="00340C2B"/>
    <w:rsid w:val="00340DC6"/>
    <w:rsid w:val="00340FF8"/>
    <w:rsid w:val="0034125B"/>
    <w:rsid w:val="003418F5"/>
    <w:rsid w:val="00341937"/>
    <w:rsid w:val="00341AA1"/>
    <w:rsid w:val="00341C18"/>
    <w:rsid w:val="00341E4A"/>
    <w:rsid w:val="003421FC"/>
    <w:rsid w:val="00342691"/>
    <w:rsid w:val="0034298A"/>
    <w:rsid w:val="00342EB0"/>
    <w:rsid w:val="00342F47"/>
    <w:rsid w:val="00343020"/>
    <w:rsid w:val="003430C2"/>
    <w:rsid w:val="003430D7"/>
    <w:rsid w:val="003431E2"/>
    <w:rsid w:val="003432E0"/>
    <w:rsid w:val="00343398"/>
    <w:rsid w:val="00343423"/>
    <w:rsid w:val="0034342C"/>
    <w:rsid w:val="00343447"/>
    <w:rsid w:val="003434D4"/>
    <w:rsid w:val="00343651"/>
    <w:rsid w:val="00343686"/>
    <w:rsid w:val="003436CA"/>
    <w:rsid w:val="003439DE"/>
    <w:rsid w:val="00343AAA"/>
    <w:rsid w:val="00343B62"/>
    <w:rsid w:val="00343FA7"/>
    <w:rsid w:val="00344072"/>
    <w:rsid w:val="0034407E"/>
    <w:rsid w:val="00344213"/>
    <w:rsid w:val="003442C3"/>
    <w:rsid w:val="003442FD"/>
    <w:rsid w:val="0034455B"/>
    <w:rsid w:val="0034457B"/>
    <w:rsid w:val="00344AE6"/>
    <w:rsid w:val="00344BAE"/>
    <w:rsid w:val="00344E48"/>
    <w:rsid w:val="0034500C"/>
    <w:rsid w:val="00345094"/>
    <w:rsid w:val="00345155"/>
    <w:rsid w:val="00345242"/>
    <w:rsid w:val="00345891"/>
    <w:rsid w:val="003459FC"/>
    <w:rsid w:val="00345A52"/>
    <w:rsid w:val="00345B44"/>
    <w:rsid w:val="00345BFA"/>
    <w:rsid w:val="00345C16"/>
    <w:rsid w:val="00345D6D"/>
    <w:rsid w:val="00345DA5"/>
    <w:rsid w:val="00345DE4"/>
    <w:rsid w:val="00345FBE"/>
    <w:rsid w:val="00346022"/>
    <w:rsid w:val="003460AF"/>
    <w:rsid w:val="00346237"/>
    <w:rsid w:val="00346324"/>
    <w:rsid w:val="0034635B"/>
    <w:rsid w:val="00346372"/>
    <w:rsid w:val="003465CC"/>
    <w:rsid w:val="00346631"/>
    <w:rsid w:val="00346739"/>
    <w:rsid w:val="0034675D"/>
    <w:rsid w:val="00346865"/>
    <w:rsid w:val="0034688E"/>
    <w:rsid w:val="0034694B"/>
    <w:rsid w:val="00346A7A"/>
    <w:rsid w:val="00346BC6"/>
    <w:rsid w:val="00346D2F"/>
    <w:rsid w:val="00346D7F"/>
    <w:rsid w:val="00346E04"/>
    <w:rsid w:val="00346EC9"/>
    <w:rsid w:val="00346FF6"/>
    <w:rsid w:val="003470BF"/>
    <w:rsid w:val="00347108"/>
    <w:rsid w:val="003473C4"/>
    <w:rsid w:val="003474C7"/>
    <w:rsid w:val="0034750C"/>
    <w:rsid w:val="0034753E"/>
    <w:rsid w:val="0034753F"/>
    <w:rsid w:val="003478C2"/>
    <w:rsid w:val="00347939"/>
    <w:rsid w:val="00347CB4"/>
    <w:rsid w:val="00347CF1"/>
    <w:rsid w:val="00347CF9"/>
    <w:rsid w:val="00347D37"/>
    <w:rsid w:val="00347F0A"/>
    <w:rsid w:val="00347F2A"/>
    <w:rsid w:val="00347FBA"/>
    <w:rsid w:val="00350198"/>
    <w:rsid w:val="003501D5"/>
    <w:rsid w:val="003502BF"/>
    <w:rsid w:val="00350315"/>
    <w:rsid w:val="00350361"/>
    <w:rsid w:val="003505D5"/>
    <w:rsid w:val="00350638"/>
    <w:rsid w:val="00350701"/>
    <w:rsid w:val="00350736"/>
    <w:rsid w:val="003508BA"/>
    <w:rsid w:val="00350BAB"/>
    <w:rsid w:val="00350C5F"/>
    <w:rsid w:val="00350C6B"/>
    <w:rsid w:val="00350C82"/>
    <w:rsid w:val="0035101A"/>
    <w:rsid w:val="00351026"/>
    <w:rsid w:val="00351120"/>
    <w:rsid w:val="003512DE"/>
    <w:rsid w:val="003513BA"/>
    <w:rsid w:val="0035141E"/>
    <w:rsid w:val="00351577"/>
    <w:rsid w:val="0035166D"/>
    <w:rsid w:val="003516B4"/>
    <w:rsid w:val="00351961"/>
    <w:rsid w:val="00351B4F"/>
    <w:rsid w:val="00351C7C"/>
    <w:rsid w:val="00351CBC"/>
    <w:rsid w:val="00351D4E"/>
    <w:rsid w:val="00351E35"/>
    <w:rsid w:val="00351ECD"/>
    <w:rsid w:val="00351EE2"/>
    <w:rsid w:val="00351F71"/>
    <w:rsid w:val="00351F84"/>
    <w:rsid w:val="00352084"/>
    <w:rsid w:val="003521EC"/>
    <w:rsid w:val="0035233C"/>
    <w:rsid w:val="00352378"/>
    <w:rsid w:val="003523FB"/>
    <w:rsid w:val="00352457"/>
    <w:rsid w:val="00352478"/>
    <w:rsid w:val="00352485"/>
    <w:rsid w:val="00352646"/>
    <w:rsid w:val="003526E7"/>
    <w:rsid w:val="00352711"/>
    <w:rsid w:val="00352775"/>
    <w:rsid w:val="00352791"/>
    <w:rsid w:val="00352887"/>
    <w:rsid w:val="00352905"/>
    <w:rsid w:val="00352A31"/>
    <w:rsid w:val="00352B4D"/>
    <w:rsid w:val="00352CEC"/>
    <w:rsid w:val="00352D24"/>
    <w:rsid w:val="00352DCF"/>
    <w:rsid w:val="00352E5F"/>
    <w:rsid w:val="00352EC1"/>
    <w:rsid w:val="00352EDE"/>
    <w:rsid w:val="00353032"/>
    <w:rsid w:val="003530A1"/>
    <w:rsid w:val="003532B1"/>
    <w:rsid w:val="0035331D"/>
    <w:rsid w:val="00353A17"/>
    <w:rsid w:val="00353A23"/>
    <w:rsid w:val="00353CD5"/>
    <w:rsid w:val="00353D1A"/>
    <w:rsid w:val="00353D91"/>
    <w:rsid w:val="00353E20"/>
    <w:rsid w:val="00353EA7"/>
    <w:rsid w:val="003541A4"/>
    <w:rsid w:val="003542BC"/>
    <w:rsid w:val="0035434D"/>
    <w:rsid w:val="0035437F"/>
    <w:rsid w:val="0035442C"/>
    <w:rsid w:val="00354463"/>
    <w:rsid w:val="003545E7"/>
    <w:rsid w:val="00354603"/>
    <w:rsid w:val="0035476C"/>
    <w:rsid w:val="00354870"/>
    <w:rsid w:val="00354A4C"/>
    <w:rsid w:val="00354CAF"/>
    <w:rsid w:val="00354EAD"/>
    <w:rsid w:val="00355073"/>
    <w:rsid w:val="003551FC"/>
    <w:rsid w:val="0035541E"/>
    <w:rsid w:val="003555E2"/>
    <w:rsid w:val="0035585D"/>
    <w:rsid w:val="00355A16"/>
    <w:rsid w:val="00355C73"/>
    <w:rsid w:val="00355E2C"/>
    <w:rsid w:val="00355E74"/>
    <w:rsid w:val="00356011"/>
    <w:rsid w:val="00356153"/>
    <w:rsid w:val="00356243"/>
    <w:rsid w:val="003562B8"/>
    <w:rsid w:val="003562BF"/>
    <w:rsid w:val="003565BF"/>
    <w:rsid w:val="00356933"/>
    <w:rsid w:val="00356968"/>
    <w:rsid w:val="00356B12"/>
    <w:rsid w:val="00356B4A"/>
    <w:rsid w:val="00356C89"/>
    <w:rsid w:val="00356CD3"/>
    <w:rsid w:val="00356D20"/>
    <w:rsid w:val="00356F32"/>
    <w:rsid w:val="00357147"/>
    <w:rsid w:val="0035733E"/>
    <w:rsid w:val="003573DA"/>
    <w:rsid w:val="003575C5"/>
    <w:rsid w:val="003575E0"/>
    <w:rsid w:val="0035780A"/>
    <w:rsid w:val="0035780B"/>
    <w:rsid w:val="003578DF"/>
    <w:rsid w:val="00357960"/>
    <w:rsid w:val="003579DC"/>
    <w:rsid w:val="003579E6"/>
    <w:rsid w:val="00357AC3"/>
    <w:rsid w:val="00357BFD"/>
    <w:rsid w:val="00357CC5"/>
    <w:rsid w:val="00357E8F"/>
    <w:rsid w:val="00357EC4"/>
    <w:rsid w:val="00357EF6"/>
    <w:rsid w:val="00360015"/>
    <w:rsid w:val="0036002F"/>
    <w:rsid w:val="003600DB"/>
    <w:rsid w:val="0036049C"/>
    <w:rsid w:val="0036055D"/>
    <w:rsid w:val="0036064E"/>
    <w:rsid w:val="003608D4"/>
    <w:rsid w:val="00360A55"/>
    <w:rsid w:val="00360ABE"/>
    <w:rsid w:val="00360B2C"/>
    <w:rsid w:val="00360B7E"/>
    <w:rsid w:val="00360E71"/>
    <w:rsid w:val="00360EDC"/>
    <w:rsid w:val="00361002"/>
    <w:rsid w:val="003611E8"/>
    <w:rsid w:val="00361278"/>
    <w:rsid w:val="003613A0"/>
    <w:rsid w:val="00361558"/>
    <w:rsid w:val="0036164E"/>
    <w:rsid w:val="003616C2"/>
    <w:rsid w:val="00361708"/>
    <w:rsid w:val="0036179E"/>
    <w:rsid w:val="00361844"/>
    <w:rsid w:val="00361900"/>
    <w:rsid w:val="00361A1E"/>
    <w:rsid w:val="00361AFE"/>
    <w:rsid w:val="00361E12"/>
    <w:rsid w:val="00361F9A"/>
    <w:rsid w:val="00362087"/>
    <w:rsid w:val="003621B9"/>
    <w:rsid w:val="003621D2"/>
    <w:rsid w:val="00362220"/>
    <w:rsid w:val="003623EE"/>
    <w:rsid w:val="003624FC"/>
    <w:rsid w:val="003625C3"/>
    <w:rsid w:val="003625F2"/>
    <w:rsid w:val="00362680"/>
    <w:rsid w:val="0036272A"/>
    <w:rsid w:val="0036286A"/>
    <w:rsid w:val="003629B2"/>
    <w:rsid w:val="00362C5B"/>
    <w:rsid w:val="00362DA1"/>
    <w:rsid w:val="00362E96"/>
    <w:rsid w:val="003630CB"/>
    <w:rsid w:val="00363200"/>
    <w:rsid w:val="00363205"/>
    <w:rsid w:val="00363480"/>
    <w:rsid w:val="00363569"/>
    <w:rsid w:val="0036357E"/>
    <w:rsid w:val="00363743"/>
    <w:rsid w:val="00363C63"/>
    <w:rsid w:val="00363D7C"/>
    <w:rsid w:val="00363EAD"/>
    <w:rsid w:val="00363F6C"/>
    <w:rsid w:val="003644FF"/>
    <w:rsid w:val="003645E1"/>
    <w:rsid w:val="0036463A"/>
    <w:rsid w:val="003647CB"/>
    <w:rsid w:val="003648F0"/>
    <w:rsid w:val="0036491F"/>
    <w:rsid w:val="00364932"/>
    <w:rsid w:val="00364C72"/>
    <w:rsid w:val="00364CF4"/>
    <w:rsid w:val="00364EFC"/>
    <w:rsid w:val="00364FF5"/>
    <w:rsid w:val="00365146"/>
    <w:rsid w:val="003652FA"/>
    <w:rsid w:val="003653CA"/>
    <w:rsid w:val="003653F0"/>
    <w:rsid w:val="0036548D"/>
    <w:rsid w:val="003654AE"/>
    <w:rsid w:val="00365940"/>
    <w:rsid w:val="00365BEA"/>
    <w:rsid w:val="00365D9B"/>
    <w:rsid w:val="00365DBB"/>
    <w:rsid w:val="00365E74"/>
    <w:rsid w:val="00365FDA"/>
    <w:rsid w:val="0036617A"/>
    <w:rsid w:val="00366375"/>
    <w:rsid w:val="00366414"/>
    <w:rsid w:val="0036649F"/>
    <w:rsid w:val="003665C1"/>
    <w:rsid w:val="003667B7"/>
    <w:rsid w:val="00366821"/>
    <w:rsid w:val="003669AE"/>
    <w:rsid w:val="003669F5"/>
    <w:rsid w:val="00366C38"/>
    <w:rsid w:val="00367038"/>
    <w:rsid w:val="003670A9"/>
    <w:rsid w:val="003672D7"/>
    <w:rsid w:val="00367499"/>
    <w:rsid w:val="003675F2"/>
    <w:rsid w:val="003677FE"/>
    <w:rsid w:val="00367FF3"/>
    <w:rsid w:val="00370300"/>
    <w:rsid w:val="0037069A"/>
    <w:rsid w:val="003706B4"/>
    <w:rsid w:val="00370737"/>
    <w:rsid w:val="003707DE"/>
    <w:rsid w:val="0037099C"/>
    <w:rsid w:val="00370A24"/>
    <w:rsid w:val="00370DE2"/>
    <w:rsid w:val="00370EC3"/>
    <w:rsid w:val="00370FEC"/>
    <w:rsid w:val="00371101"/>
    <w:rsid w:val="003711AC"/>
    <w:rsid w:val="0037125E"/>
    <w:rsid w:val="003713AA"/>
    <w:rsid w:val="003715CE"/>
    <w:rsid w:val="00371880"/>
    <w:rsid w:val="00371B4F"/>
    <w:rsid w:val="00371B6C"/>
    <w:rsid w:val="00371B76"/>
    <w:rsid w:val="00371C7D"/>
    <w:rsid w:val="00371D50"/>
    <w:rsid w:val="00371D6A"/>
    <w:rsid w:val="00371DC4"/>
    <w:rsid w:val="00371EB7"/>
    <w:rsid w:val="0037212D"/>
    <w:rsid w:val="0037218F"/>
    <w:rsid w:val="003721F5"/>
    <w:rsid w:val="00372214"/>
    <w:rsid w:val="0037227E"/>
    <w:rsid w:val="00372311"/>
    <w:rsid w:val="00372528"/>
    <w:rsid w:val="003726BB"/>
    <w:rsid w:val="0037291E"/>
    <w:rsid w:val="003729B9"/>
    <w:rsid w:val="00372A5A"/>
    <w:rsid w:val="00372AE6"/>
    <w:rsid w:val="00372B73"/>
    <w:rsid w:val="00372CBB"/>
    <w:rsid w:val="00372D0A"/>
    <w:rsid w:val="00372DAC"/>
    <w:rsid w:val="00372DB2"/>
    <w:rsid w:val="00372DCA"/>
    <w:rsid w:val="00372ECA"/>
    <w:rsid w:val="00372FA7"/>
    <w:rsid w:val="00373075"/>
    <w:rsid w:val="0037327F"/>
    <w:rsid w:val="003732D2"/>
    <w:rsid w:val="00373426"/>
    <w:rsid w:val="00373509"/>
    <w:rsid w:val="0037355F"/>
    <w:rsid w:val="003736B0"/>
    <w:rsid w:val="003736DB"/>
    <w:rsid w:val="00373877"/>
    <w:rsid w:val="00373921"/>
    <w:rsid w:val="00373A38"/>
    <w:rsid w:val="00373A61"/>
    <w:rsid w:val="00373AAA"/>
    <w:rsid w:val="00373AEB"/>
    <w:rsid w:val="00373B15"/>
    <w:rsid w:val="00373B2A"/>
    <w:rsid w:val="00373D7E"/>
    <w:rsid w:val="00373F68"/>
    <w:rsid w:val="003740E6"/>
    <w:rsid w:val="003743F8"/>
    <w:rsid w:val="00374444"/>
    <w:rsid w:val="00374485"/>
    <w:rsid w:val="00374832"/>
    <w:rsid w:val="00374859"/>
    <w:rsid w:val="00374884"/>
    <w:rsid w:val="00374A4E"/>
    <w:rsid w:val="00374CDF"/>
    <w:rsid w:val="00374D3C"/>
    <w:rsid w:val="00374E6D"/>
    <w:rsid w:val="0037503D"/>
    <w:rsid w:val="00375181"/>
    <w:rsid w:val="003751C9"/>
    <w:rsid w:val="003752F1"/>
    <w:rsid w:val="00375301"/>
    <w:rsid w:val="003754B3"/>
    <w:rsid w:val="003754D3"/>
    <w:rsid w:val="0037568F"/>
    <w:rsid w:val="003757FA"/>
    <w:rsid w:val="00375914"/>
    <w:rsid w:val="003759F7"/>
    <w:rsid w:val="00375AEA"/>
    <w:rsid w:val="00375C19"/>
    <w:rsid w:val="00375CEB"/>
    <w:rsid w:val="00375D05"/>
    <w:rsid w:val="00375D4E"/>
    <w:rsid w:val="00375FB5"/>
    <w:rsid w:val="00376112"/>
    <w:rsid w:val="0037624E"/>
    <w:rsid w:val="00376342"/>
    <w:rsid w:val="00376459"/>
    <w:rsid w:val="00376629"/>
    <w:rsid w:val="003766EE"/>
    <w:rsid w:val="003766F5"/>
    <w:rsid w:val="0037672A"/>
    <w:rsid w:val="0037685F"/>
    <w:rsid w:val="0037692B"/>
    <w:rsid w:val="00376ABA"/>
    <w:rsid w:val="00376B85"/>
    <w:rsid w:val="00376BA7"/>
    <w:rsid w:val="00376BC9"/>
    <w:rsid w:val="00376BFC"/>
    <w:rsid w:val="00376C25"/>
    <w:rsid w:val="00376E74"/>
    <w:rsid w:val="00376FE6"/>
    <w:rsid w:val="00376FED"/>
    <w:rsid w:val="003770BC"/>
    <w:rsid w:val="00377202"/>
    <w:rsid w:val="00377321"/>
    <w:rsid w:val="0037747B"/>
    <w:rsid w:val="003775D0"/>
    <w:rsid w:val="003775D7"/>
    <w:rsid w:val="003776E7"/>
    <w:rsid w:val="00377717"/>
    <w:rsid w:val="003777D9"/>
    <w:rsid w:val="003777F6"/>
    <w:rsid w:val="00377899"/>
    <w:rsid w:val="0037795E"/>
    <w:rsid w:val="00377A81"/>
    <w:rsid w:val="00377C20"/>
    <w:rsid w:val="0038005B"/>
    <w:rsid w:val="003803B5"/>
    <w:rsid w:val="0038057C"/>
    <w:rsid w:val="003805C3"/>
    <w:rsid w:val="003806BB"/>
    <w:rsid w:val="0038073E"/>
    <w:rsid w:val="00380984"/>
    <w:rsid w:val="00380AF2"/>
    <w:rsid w:val="00380B68"/>
    <w:rsid w:val="00380CE0"/>
    <w:rsid w:val="00380E0B"/>
    <w:rsid w:val="00380ECF"/>
    <w:rsid w:val="00381127"/>
    <w:rsid w:val="003811AB"/>
    <w:rsid w:val="003811C4"/>
    <w:rsid w:val="003811EC"/>
    <w:rsid w:val="003813DB"/>
    <w:rsid w:val="00381472"/>
    <w:rsid w:val="00381478"/>
    <w:rsid w:val="003814F7"/>
    <w:rsid w:val="0038156A"/>
    <w:rsid w:val="00381593"/>
    <w:rsid w:val="00381795"/>
    <w:rsid w:val="00381A32"/>
    <w:rsid w:val="00381BC1"/>
    <w:rsid w:val="00381CBC"/>
    <w:rsid w:val="00381D3D"/>
    <w:rsid w:val="00381DE1"/>
    <w:rsid w:val="00381E20"/>
    <w:rsid w:val="003820D2"/>
    <w:rsid w:val="003820EF"/>
    <w:rsid w:val="0038213E"/>
    <w:rsid w:val="00382150"/>
    <w:rsid w:val="0038228A"/>
    <w:rsid w:val="0038252E"/>
    <w:rsid w:val="0038256E"/>
    <w:rsid w:val="0038267F"/>
    <w:rsid w:val="00382707"/>
    <w:rsid w:val="003829FE"/>
    <w:rsid w:val="00382B69"/>
    <w:rsid w:val="00382C8C"/>
    <w:rsid w:val="00382E7B"/>
    <w:rsid w:val="00382E88"/>
    <w:rsid w:val="00382EAD"/>
    <w:rsid w:val="00382F93"/>
    <w:rsid w:val="00382FDF"/>
    <w:rsid w:val="00383159"/>
    <w:rsid w:val="003831D6"/>
    <w:rsid w:val="003831E9"/>
    <w:rsid w:val="00383469"/>
    <w:rsid w:val="00383511"/>
    <w:rsid w:val="003835A9"/>
    <w:rsid w:val="00383684"/>
    <w:rsid w:val="003836AF"/>
    <w:rsid w:val="003838A7"/>
    <w:rsid w:val="003838B9"/>
    <w:rsid w:val="003839DD"/>
    <w:rsid w:val="00383A2E"/>
    <w:rsid w:val="00383A4F"/>
    <w:rsid w:val="00383A64"/>
    <w:rsid w:val="00383A8C"/>
    <w:rsid w:val="00383AF4"/>
    <w:rsid w:val="00383B7C"/>
    <w:rsid w:val="00383BC0"/>
    <w:rsid w:val="00383C35"/>
    <w:rsid w:val="00383D58"/>
    <w:rsid w:val="00383F01"/>
    <w:rsid w:val="00383F2C"/>
    <w:rsid w:val="00383F6D"/>
    <w:rsid w:val="003843E8"/>
    <w:rsid w:val="003845D5"/>
    <w:rsid w:val="00384720"/>
    <w:rsid w:val="00384739"/>
    <w:rsid w:val="00384892"/>
    <w:rsid w:val="003848ED"/>
    <w:rsid w:val="00384B1A"/>
    <w:rsid w:val="00384D5E"/>
    <w:rsid w:val="003850B4"/>
    <w:rsid w:val="003850E6"/>
    <w:rsid w:val="00385179"/>
    <w:rsid w:val="0038527D"/>
    <w:rsid w:val="00385401"/>
    <w:rsid w:val="00385689"/>
    <w:rsid w:val="003858C2"/>
    <w:rsid w:val="003859F7"/>
    <w:rsid w:val="00385BC5"/>
    <w:rsid w:val="00385BF4"/>
    <w:rsid w:val="00385CDA"/>
    <w:rsid w:val="00385CDD"/>
    <w:rsid w:val="00385D1F"/>
    <w:rsid w:val="00385F21"/>
    <w:rsid w:val="00385F7E"/>
    <w:rsid w:val="00386202"/>
    <w:rsid w:val="00386336"/>
    <w:rsid w:val="00386412"/>
    <w:rsid w:val="0038647F"/>
    <w:rsid w:val="003865D1"/>
    <w:rsid w:val="00386703"/>
    <w:rsid w:val="0038674F"/>
    <w:rsid w:val="003868D4"/>
    <w:rsid w:val="00386910"/>
    <w:rsid w:val="0038694B"/>
    <w:rsid w:val="0038695D"/>
    <w:rsid w:val="00386A84"/>
    <w:rsid w:val="00386BA6"/>
    <w:rsid w:val="00386D2A"/>
    <w:rsid w:val="00386D3D"/>
    <w:rsid w:val="00386DE5"/>
    <w:rsid w:val="00386EAB"/>
    <w:rsid w:val="00386F8E"/>
    <w:rsid w:val="0038714A"/>
    <w:rsid w:val="00387151"/>
    <w:rsid w:val="0038715E"/>
    <w:rsid w:val="00387355"/>
    <w:rsid w:val="003873BA"/>
    <w:rsid w:val="0038740E"/>
    <w:rsid w:val="0038786D"/>
    <w:rsid w:val="00387BF9"/>
    <w:rsid w:val="00387C3F"/>
    <w:rsid w:val="00387D85"/>
    <w:rsid w:val="00387DE9"/>
    <w:rsid w:val="00387E42"/>
    <w:rsid w:val="00387E6C"/>
    <w:rsid w:val="003900BF"/>
    <w:rsid w:val="003901B1"/>
    <w:rsid w:val="0039021E"/>
    <w:rsid w:val="003902E5"/>
    <w:rsid w:val="00390385"/>
    <w:rsid w:val="0039046A"/>
    <w:rsid w:val="00390578"/>
    <w:rsid w:val="0039063C"/>
    <w:rsid w:val="00390765"/>
    <w:rsid w:val="003909F4"/>
    <w:rsid w:val="00390B1F"/>
    <w:rsid w:val="00390B58"/>
    <w:rsid w:val="00390CA8"/>
    <w:rsid w:val="00390D34"/>
    <w:rsid w:val="00390E9C"/>
    <w:rsid w:val="00390F80"/>
    <w:rsid w:val="0039116A"/>
    <w:rsid w:val="00391299"/>
    <w:rsid w:val="003914F3"/>
    <w:rsid w:val="003916B0"/>
    <w:rsid w:val="00391740"/>
    <w:rsid w:val="00391824"/>
    <w:rsid w:val="00391C73"/>
    <w:rsid w:val="00391D8B"/>
    <w:rsid w:val="00391F05"/>
    <w:rsid w:val="00391FA9"/>
    <w:rsid w:val="00392047"/>
    <w:rsid w:val="00392073"/>
    <w:rsid w:val="003920B3"/>
    <w:rsid w:val="003922B4"/>
    <w:rsid w:val="0039240F"/>
    <w:rsid w:val="003924A8"/>
    <w:rsid w:val="003925AF"/>
    <w:rsid w:val="0039275A"/>
    <w:rsid w:val="00392774"/>
    <w:rsid w:val="00392899"/>
    <w:rsid w:val="00392A8D"/>
    <w:rsid w:val="00392CEE"/>
    <w:rsid w:val="00392CF3"/>
    <w:rsid w:val="00392DC6"/>
    <w:rsid w:val="003930ED"/>
    <w:rsid w:val="003931BC"/>
    <w:rsid w:val="003931F2"/>
    <w:rsid w:val="003932BF"/>
    <w:rsid w:val="003933D0"/>
    <w:rsid w:val="003935BE"/>
    <w:rsid w:val="003937F4"/>
    <w:rsid w:val="00393814"/>
    <w:rsid w:val="003939ED"/>
    <w:rsid w:val="00393A3B"/>
    <w:rsid w:val="00393A48"/>
    <w:rsid w:val="00393A8D"/>
    <w:rsid w:val="00393AA8"/>
    <w:rsid w:val="00393AE5"/>
    <w:rsid w:val="00393AF9"/>
    <w:rsid w:val="00393C66"/>
    <w:rsid w:val="00393D22"/>
    <w:rsid w:val="00393DBB"/>
    <w:rsid w:val="00393DDF"/>
    <w:rsid w:val="00393DEB"/>
    <w:rsid w:val="00393ED0"/>
    <w:rsid w:val="00394035"/>
    <w:rsid w:val="00394089"/>
    <w:rsid w:val="00394330"/>
    <w:rsid w:val="003943CB"/>
    <w:rsid w:val="00394458"/>
    <w:rsid w:val="0039459A"/>
    <w:rsid w:val="003947F3"/>
    <w:rsid w:val="003948EC"/>
    <w:rsid w:val="0039493B"/>
    <w:rsid w:val="00394AE1"/>
    <w:rsid w:val="00394C3F"/>
    <w:rsid w:val="00394F34"/>
    <w:rsid w:val="0039510D"/>
    <w:rsid w:val="00395164"/>
    <w:rsid w:val="003952F6"/>
    <w:rsid w:val="00395338"/>
    <w:rsid w:val="00395758"/>
    <w:rsid w:val="003957D3"/>
    <w:rsid w:val="00395970"/>
    <w:rsid w:val="003959D7"/>
    <w:rsid w:val="00395AAD"/>
    <w:rsid w:val="00395BED"/>
    <w:rsid w:val="00395D7D"/>
    <w:rsid w:val="00395DD2"/>
    <w:rsid w:val="00395E71"/>
    <w:rsid w:val="00395E9A"/>
    <w:rsid w:val="00396025"/>
    <w:rsid w:val="003960DA"/>
    <w:rsid w:val="003961BE"/>
    <w:rsid w:val="00396212"/>
    <w:rsid w:val="00396221"/>
    <w:rsid w:val="00396280"/>
    <w:rsid w:val="0039632A"/>
    <w:rsid w:val="0039635D"/>
    <w:rsid w:val="003963C1"/>
    <w:rsid w:val="003965C7"/>
    <w:rsid w:val="003965E8"/>
    <w:rsid w:val="003965EA"/>
    <w:rsid w:val="0039670C"/>
    <w:rsid w:val="003967A3"/>
    <w:rsid w:val="003967F0"/>
    <w:rsid w:val="00396859"/>
    <w:rsid w:val="00396A28"/>
    <w:rsid w:val="00396A30"/>
    <w:rsid w:val="00396B3B"/>
    <w:rsid w:val="00396C5B"/>
    <w:rsid w:val="00396F6B"/>
    <w:rsid w:val="003970AB"/>
    <w:rsid w:val="0039710A"/>
    <w:rsid w:val="00397211"/>
    <w:rsid w:val="0039738B"/>
    <w:rsid w:val="003974E4"/>
    <w:rsid w:val="00397533"/>
    <w:rsid w:val="00397629"/>
    <w:rsid w:val="003976B4"/>
    <w:rsid w:val="00397757"/>
    <w:rsid w:val="00397855"/>
    <w:rsid w:val="003978C5"/>
    <w:rsid w:val="00397A62"/>
    <w:rsid w:val="00397B46"/>
    <w:rsid w:val="00397CA5"/>
    <w:rsid w:val="00397CA7"/>
    <w:rsid w:val="00397CFE"/>
    <w:rsid w:val="00397DA8"/>
    <w:rsid w:val="00397F84"/>
    <w:rsid w:val="003A00BB"/>
    <w:rsid w:val="003A00FD"/>
    <w:rsid w:val="003A021B"/>
    <w:rsid w:val="003A0292"/>
    <w:rsid w:val="003A02AF"/>
    <w:rsid w:val="003A02C4"/>
    <w:rsid w:val="003A0444"/>
    <w:rsid w:val="003A04BA"/>
    <w:rsid w:val="003A04E6"/>
    <w:rsid w:val="003A06C7"/>
    <w:rsid w:val="003A06C9"/>
    <w:rsid w:val="003A0998"/>
    <w:rsid w:val="003A0EB8"/>
    <w:rsid w:val="003A108D"/>
    <w:rsid w:val="003A1142"/>
    <w:rsid w:val="003A1263"/>
    <w:rsid w:val="003A130D"/>
    <w:rsid w:val="003A13BD"/>
    <w:rsid w:val="003A1467"/>
    <w:rsid w:val="003A1537"/>
    <w:rsid w:val="003A1568"/>
    <w:rsid w:val="003A1853"/>
    <w:rsid w:val="003A1903"/>
    <w:rsid w:val="003A1AFC"/>
    <w:rsid w:val="003A1C5B"/>
    <w:rsid w:val="003A1D59"/>
    <w:rsid w:val="003A1E48"/>
    <w:rsid w:val="003A2075"/>
    <w:rsid w:val="003A2313"/>
    <w:rsid w:val="003A2447"/>
    <w:rsid w:val="003A2450"/>
    <w:rsid w:val="003A2483"/>
    <w:rsid w:val="003A255A"/>
    <w:rsid w:val="003A26EE"/>
    <w:rsid w:val="003A28F6"/>
    <w:rsid w:val="003A29DB"/>
    <w:rsid w:val="003A2BAB"/>
    <w:rsid w:val="003A2BED"/>
    <w:rsid w:val="003A2D30"/>
    <w:rsid w:val="003A2E67"/>
    <w:rsid w:val="003A2EA0"/>
    <w:rsid w:val="003A2EB3"/>
    <w:rsid w:val="003A2F7E"/>
    <w:rsid w:val="003A2FE4"/>
    <w:rsid w:val="003A3010"/>
    <w:rsid w:val="003A3062"/>
    <w:rsid w:val="003A3120"/>
    <w:rsid w:val="003A3219"/>
    <w:rsid w:val="003A3285"/>
    <w:rsid w:val="003A3291"/>
    <w:rsid w:val="003A3374"/>
    <w:rsid w:val="003A345D"/>
    <w:rsid w:val="003A35A4"/>
    <w:rsid w:val="003A3698"/>
    <w:rsid w:val="003A36C5"/>
    <w:rsid w:val="003A37E1"/>
    <w:rsid w:val="003A39D7"/>
    <w:rsid w:val="003A3A76"/>
    <w:rsid w:val="003A3AE0"/>
    <w:rsid w:val="003A3B7F"/>
    <w:rsid w:val="003A3C85"/>
    <w:rsid w:val="003A3CAA"/>
    <w:rsid w:val="003A3D1B"/>
    <w:rsid w:val="003A3E01"/>
    <w:rsid w:val="003A4010"/>
    <w:rsid w:val="003A42F1"/>
    <w:rsid w:val="003A437A"/>
    <w:rsid w:val="003A438E"/>
    <w:rsid w:val="003A439A"/>
    <w:rsid w:val="003A43FA"/>
    <w:rsid w:val="003A443E"/>
    <w:rsid w:val="003A44C3"/>
    <w:rsid w:val="003A44F1"/>
    <w:rsid w:val="003A4506"/>
    <w:rsid w:val="003A457B"/>
    <w:rsid w:val="003A4739"/>
    <w:rsid w:val="003A47CD"/>
    <w:rsid w:val="003A47F5"/>
    <w:rsid w:val="003A49EF"/>
    <w:rsid w:val="003A4B93"/>
    <w:rsid w:val="003A4CC8"/>
    <w:rsid w:val="003A4F24"/>
    <w:rsid w:val="003A4FDC"/>
    <w:rsid w:val="003A4FE8"/>
    <w:rsid w:val="003A5085"/>
    <w:rsid w:val="003A522A"/>
    <w:rsid w:val="003A5476"/>
    <w:rsid w:val="003A557D"/>
    <w:rsid w:val="003A56D9"/>
    <w:rsid w:val="003A591E"/>
    <w:rsid w:val="003A5990"/>
    <w:rsid w:val="003A5997"/>
    <w:rsid w:val="003A5B41"/>
    <w:rsid w:val="003A5C94"/>
    <w:rsid w:val="003A5DB1"/>
    <w:rsid w:val="003A5DC7"/>
    <w:rsid w:val="003A5E24"/>
    <w:rsid w:val="003A5EC0"/>
    <w:rsid w:val="003A6030"/>
    <w:rsid w:val="003A6056"/>
    <w:rsid w:val="003A622B"/>
    <w:rsid w:val="003A6362"/>
    <w:rsid w:val="003A6529"/>
    <w:rsid w:val="003A69A7"/>
    <w:rsid w:val="003A6AEA"/>
    <w:rsid w:val="003A6C11"/>
    <w:rsid w:val="003A6C38"/>
    <w:rsid w:val="003A6CAC"/>
    <w:rsid w:val="003A6E98"/>
    <w:rsid w:val="003A7117"/>
    <w:rsid w:val="003A7153"/>
    <w:rsid w:val="003A71D0"/>
    <w:rsid w:val="003A7570"/>
    <w:rsid w:val="003A75D6"/>
    <w:rsid w:val="003A7600"/>
    <w:rsid w:val="003A78D8"/>
    <w:rsid w:val="003A798C"/>
    <w:rsid w:val="003A7BB3"/>
    <w:rsid w:val="003A7EB4"/>
    <w:rsid w:val="003A7EEB"/>
    <w:rsid w:val="003A7F48"/>
    <w:rsid w:val="003B0062"/>
    <w:rsid w:val="003B0173"/>
    <w:rsid w:val="003B01BD"/>
    <w:rsid w:val="003B043B"/>
    <w:rsid w:val="003B0493"/>
    <w:rsid w:val="003B04A8"/>
    <w:rsid w:val="003B052B"/>
    <w:rsid w:val="003B053B"/>
    <w:rsid w:val="003B06DD"/>
    <w:rsid w:val="003B0720"/>
    <w:rsid w:val="003B07B4"/>
    <w:rsid w:val="003B07B9"/>
    <w:rsid w:val="003B07BA"/>
    <w:rsid w:val="003B0B04"/>
    <w:rsid w:val="003B0B10"/>
    <w:rsid w:val="003B0B6C"/>
    <w:rsid w:val="003B0C33"/>
    <w:rsid w:val="003B0D43"/>
    <w:rsid w:val="003B0D8D"/>
    <w:rsid w:val="003B0DBD"/>
    <w:rsid w:val="003B0E65"/>
    <w:rsid w:val="003B0F1A"/>
    <w:rsid w:val="003B0FD6"/>
    <w:rsid w:val="003B106C"/>
    <w:rsid w:val="003B1166"/>
    <w:rsid w:val="003B1319"/>
    <w:rsid w:val="003B133C"/>
    <w:rsid w:val="003B1363"/>
    <w:rsid w:val="003B13C8"/>
    <w:rsid w:val="003B1434"/>
    <w:rsid w:val="003B1582"/>
    <w:rsid w:val="003B158B"/>
    <w:rsid w:val="003B161E"/>
    <w:rsid w:val="003B1798"/>
    <w:rsid w:val="003B17B1"/>
    <w:rsid w:val="003B1945"/>
    <w:rsid w:val="003B1B9A"/>
    <w:rsid w:val="003B1BC6"/>
    <w:rsid w:val="003B1C70"/>
    <w:rsid w:val="003B1CBC"/>
    <w:rsid w:val="003B1CC3"/>
    <w:rsid w:val="003B1DD0"/>
    <w:rsid w:val="003B1F6C"/>
    <w:rsid w:val="003B1F76"/>
    <w:rsid w:val="003B1FD4"/>
    <w:rsid w:val="003B1FE7"/>
    <w:rsid w:val="003B2002"/>
    <w:rsid w:val="003B20FA"/>
    <w:rsid w:val="003B21A0"/>
    <w:rsid w:val="003B21AB"/>
    <w:rsid w:val="003B22BD"/>
    <w:rsid w:val="003B2483"/>
    <w:rsid w:val="003B24A7"/>
    <w:rsid w:val="003B25D3"/>
    <w:rsid w:val="003B2646"/>
    <w:rsid w:val="003B2848"/>
    <w:rsid w:val="003B2AB7"/>
    <w:rsid w:val="003B2BBD"/>
    <w:rsid w:val="003B2DCB"/>
    <w:rsid w:val="003B2E2A"/>
    <w:rsid w:val="003B2EE3"/>
    <w:rsid w:val="003B2FA9"/>
    <w:rsid w:val="003B301F"/>
    <w:rsid w:val="003B30DD"/>
    <w:rsid w:val="003B3161"/>
    <w:rsid w:val="003B337C"/>
    <w:rsid w:val="003B33BD"/>
    <w:rsid w:val="003B3612"/>
    <w:rsid w:val="003B3783"/>
    <w:rsid w:val="003B3CA1"/>
    <w:rsid w:val="003B3CB3"/>
    <w:rsid w:val="003B3CE7"/>
    <w:rsid w:val="003B3FBB"/>
    <w:rsid w:val="003B41E4"/>
    <w:rsid w:val="003B4294"/>
    <w:rsid w:val="003B429D"/>
    <w:rsid w:val="003B4568"/>
    <w:rsid w:val="003B4636"/>
    <w:rsid w:val="003B465A"/>
    <w:rsid w:val="003B49E7"/>
    <w:rsid w:val="003B4AC7"/>
    <w:rsid w:val="003B4B2B"/>
    <w:rsid w:val="003B4BDC"/>
    <w:rsid w:val="003B4E38"/>
    <w:rsid w:val="003B4E47"/>
    <w:rsid w:val="003B4F4D"/>
    <w:rsid w:val="003B5092"/>
    <w:rsid w:val="003B50B3"/>
    <w:rsid w:val="003B51B8"/>
    <w:rsid w:val="003B52DD"/>
    <w:rsid w:val="003B52F8"/>
    <w:rsid w:val="003B5440"/>
    <w:rsid w:val="003B5586"/>
    <w:rsid w:val="003B58AF"/>
    <w:rsid w:val="003B590D"/>
    <w:rsid w:val="003B59CA"/>
    <w:rsid w:val="003B5AEE"/>
    <w:rsid w:val="003B5BB4"/>
    <w:rsid w:val="003B5C27"/>
    <w:rsid w:val="003B5D0B"/>
    <w:rsid w:val="003B5D44"/>
    <w:rsid w:val="003B5E6F"/>
    <w:rsid w:val="003B6003"/>
    <w:rsid w:val="003B6147"/>
    <w:rsid w:val="003B6417"/>
    <w:rsid w:val="003B6438"/>
    <w:rsid w:val="003B646C"/>
    <w:rsid w:val="003B6641"/>
    <w:rsid w:val="003B66CF"/>
    <w:rsid w:val="003B6729"/>
    <w:rsid w:val="003B673A"/>
    <w:rsid w:val="003B674B"/>
    <w:rsid w:val="003B69A5"/>
    <w:rsid w:val="003B6A11"/>
    <w:rsid w:val="003B6C52"/>
    <w:rsid w:val="003B6D5B"/>
    <w:rsid w:val="003B6DEE"/>
    <w:rsid w:val="003B6EDF"/>
    <w:rsid w:val="003B6F4D"/>
    <w:rsid w:val="003B6F9A"/>
    <w:rsid w:val="003B6FEA"/>
    <w:rsid w:val="003B702B"/>
    <w:rsid w:val="003B72BA"/>
    <w:rsid w:val="003B72DC"/>
    <w:rsid w:val="003B73A3"/>
    <w:rsid w:val="003B7528"/>
    <w:rsid w:val="003B7584"/>
    <w:rsid w:val="003B75C1"/>
    <w:rsid w:val="003B765B"/>
    <w:rsid w:val="003B76A4"/>
    <w:rsid w:val="003B7739"/>
    <w:rsid w:val="003B77E6"/>
    <w:rsid w:val="003B7857"/>
    <w:rsid w:val="003B78EE"/>
    <w:rsid w:val="003B7995"/>
    <w:rsid w:val="003B79A8"/>
    <w:rsid w:val="003B7A0E"/>
    <w:rsid w:val="003B7A84"/>
    <w:rsid w:val="003B7ACE"/>
    <w:rsid w:val="003B7E60"/>
    <w:rsid w:val="003B7F1C"/>
    <w:rsid w:val="003B7F32"/>
    <w:rsid w:val="003B7FF6"/>
    <w:rsid w:val="003C003A"/>
    <w:rsid w:val="003C0047"/>
    <w:rsid w:val="003C0280"/>
    <w:rsid w:val="003C0452"/>
    <w:rsid w:val="003C0A1C"/>
    <w:rsid w:val="003C0B23"/>
    <w:rsid w:val="003C0CA1"/>
    <w:rsid w:val="003C0E3D"/>
    <w:rsid w:val="003C0F31"/>
    <w:rsid w:val="003C101B"/>
    <w:rsid w:val="003C106A"/>
    <w:rsid w:val="003C11AF"/>
    <w:rsid w:val="003C128A"/>
    <w:rsid w:val="003C1321"/>
    <w:rsid w:val="003C1630"/>
    <w:rsid w:val="003C1824"/>
    <w:rsid w:val="003C1AD3"/>
    <w:rsid w:val="003C1BA0"/>
    <w:rsid w:val="003C1D7A"/>
    <w:rsid w:val="003C1DA9"/>
    <w:rsid w:val="003C1FD7"/>
    <w:rsid w:val="003C2079"/>
    <w:rsid w:val="003C20CC"/>
    <w:rsid w:val="003C2264"/>
    <w:rsid w:val="003C22F7"/>
    <w:rsid w:val="003C22FC"/>
    <w:rsid w:val="003C236B"/>
    <w:rsid w:val="003C2499"/>
    <w:rsid w:val="003C24CA"/>
    <w:rsid w:val="003C24DB"/>
    <w:rsid w:val="003C2682"/>
    <w:rsid w:val="003C26F8"/>
    <w:rsid w:val="003C2809"/>
    <w:rsid w:val="003C2839"/>
    <w:rsid w:val="003C29F2"/>
    <w:rsid w:val="003C2ADF"/>
    <w:rsid w:val="003C2D29"/>
    <w:rsid w:val="003C2D2D"/>
    <w:rsid w:val="003C2F2A"/>
    <w:rsid w:val="003C2F35"/>
    <w:rsid w:val="003C2FC9"/>
    <w:rsid w:val="003C3203"/>
    <w:rsid w:val="003C323D"/>
    <w:rsid w:val="003C323F"/>
    <w:rsid w:val="003C333D"/>
    <w:rsid w:val="003C350D"/>
    <w:rsid w:val="003C355C"/>
    <w:rsid w:val="003C384A"/>
    <w:rsid w:val="003C39A5"/>
    <w:rsid w:val="003C3A13"/>
    <w:rsid w:val="003C3A17"/>
    <w:rsid w:val="003C3AAB"/>
    <w:rsid w:val="003C3B66"/>
    <w:rsid w:val="003C3B99"/>
    <w:rsid w:val="003C3BC9"/>
    <w:rsid w:val="003C3C3C"/>
    <w:rsid w:val="003C3E3C"/>
    <w:rsid w:val="003C3E97"/>
    <w:rsid w:val="003C4098"/>
    <w:rsid w:val="003C41F4"/>
    <w:rsid w:val="003C4297"/>
    <w:rsid w:val="003C456A"/>
    <w:rsid w:val="003C45AF"/>
    <w:rsid w:val="003C46AE"/>
    <w:rsid w:val="003C47EB"/>
    <w:rsid w:val="003C48B9"/>
    <w:rsid w:val="003C4964"/>
    <w:rsid w:val="003C4A26"/>
    <w:rsid w:val="003C4A85"/>
    <w:rsid w:val="003C4A9C"/>
    <w:rsid w:val="003C4CF8"/>
    <w:rsid w:val="003C4D65"/>
    <w:rsid w:val="003C4DC5"/>
    <w:rsid w:val="003C4FA5"/>
    <w:rsid w:val="003C5055"/>
    <w:rsid w:val="003C50A2"/>
    <w:rsid w:val="003C5221"/>
    <w:rsid w:val="003C526C"/>
    <w:rsid w:val="003C52E0"/>
    <w:rsid w:val="003C5B5F"/>
    <w:rsid w:val="003C5C01"/>
    <w:rsid w:val="003C5D10"/>
    <w:rsid w:val="003C5D29"/>
    <w:rsid w:val="003C5D74"/>
    <w:rsid w:val="003C5D88"/>
    <w:rsid w:val="003C605B"/>
    <w:rsid w:val="003C6086"/>
    <w:rsid w:val="003C6155"/>
    <w:rsid w:val="003C6483"/>
    <w:rsid w:val="003C64B8"/>
    <w:rsid w:val="003C65A5"/>
    <w:rsid w:val="003C661B"/>
    <w:rsid w:val="003C66E5"/>
    <w:rsid w:val="003C670D"/>
    <w:rsid w:val="003C689C"/>
    <w:rsid w:val="003C68A9"/>
    <w:rsid w:val="003C69BE"/>
    <w:rsid w:val="003C6B60"/>
    <w:rsid w:val="003C6D8E"/>
    <w:rsid w:val="003C6DA9"/>
    <w:rsid w:val="003C6DB4"/>
    <w:rsid w:val="003C6DED"/>
    <w:rsid w:val="003C6E63"/>
    <w:rsid w:val="003C6F5A"/>
    <w:rsid w:val="003C6FCA"/>
    <w:rsid w:val="003C7049"/>
    <w:rsid w:val="003C705F"/>
    <w:rsid w:val="003C7140"/>
    <w:rsid w:val="003C71DB"/>
    <w:rsid w:val="003C736E"/>
    <w:rsid w:val="003C753E"/>
    <w:rsid w:val="003C75DB"/>
    <w:rsid w:val="003C77FD"/>
    <w:rsid w:val="003C7928"/>
    <w:rsid w:val="003C7973"/>
    <w:rsid w:val="003C7AE3"/>
    <w:rsid w:val="003C7B02"/>
    <w:rsid w:val="003C7BFF"/>
    <w:rsid w:val="003C7DE0"/>
    <w:rsid w:val="003C7EF5"/>
    <w:rsid w:val="003D0152"/>
    <w:rsid w:val="003D015A"/>
    <w:rsid w:val="003D0200"/>
    <w:rsid w:val="003D0215"/>
    <w:rsid w:val="003D024D"/>
    <w:rsid w:val="003D0270"/>
    <w:rsid w:val="003D044E"/>
    <w:rsid w:val="003D0596"/>
    <w:rsid w:val="003D07F8"/>
    <w:rsid w:val="003D08C4"/>
    <w:rsid w:val="003D0972"/>
    <w:rsid w:val="003D0A54"/>
    <w:rsid w:val="003D0B18"/>
    <w:rsid w:val="003D0B21"/>
    <w:rsid w:val="003D0CBB"/>
    <w:rsid w:val="003D0DC3"/>
    <w:rsid w:val="003D0F23"/>
    <w:rsid w:val="003D0F72"/>
    <w:rsid w:val="003D10AD"/>
    <w:rsid w:val="003D11DC"/>
    <w:rsid w:val="003D11F7"/>
    <w:rsid w:val="003D14EF"/>
    <w:rsid w:val="003D1566"/>
    <w:rsid w:val="003D15C3"/>
    <w:rsid w:val="003D1673"/>
    <w:rsid w:val="003D17FB"/>
    <w:rsid w:val="003D194C"/>
    <w:rsid w:val="003D1A9A"/>
    <w:rsid w:val="003D1B73"/>
    <w:rsid w:val="003D1B84"/>
    <w:rsid w:val="003D1B9A"/>
    <w:rsid w:val="003D1DEC"/>
    <w:rsid w:val="003D1E53"/>
    <w:rsid w:val="003D20F3"/>
    <w:rsid w:val="003D223D"/>
    <w:rsid w:val="003D2434"/>
    <w:rsid w:val="003D2438"/>
    <w:rsid w:val="003D265A"/>
    <w:rsid w:val="003D2678"/>
    <w:rsid w:val="003D26C5"/>
    <w:rsid w:val="003D271E"/>
    <w:rsid w:val="003D2816"/>
    <w:rsid w:val="003D2A0C"/>
    <w:rsid w:val="003D2C3D"/>
    <w:rsid w:val="003D2DB9"/>
    <w:rsid w:val="003D2DED"/>
    <w:rsid w:val="003D2EF6"/>
    <w:rsid w:val="003D2F5A"/>
    <w:rsid w:val="003D2FC0"/>
    <w:rsid w:val="003D308E"/>
    <w:rsid w:val="003D312B"/>
    <w:rsid w:val="003D316A"/>
    <w:rsid w:val="003D3192"/>
    <w:rsid w:val="003D31A4"/>
    <w:rsid w:val="003D31D1"/>
    <w:rsid w:val="003D325E"/>
    <w:rsid w:val="003D33A3"/>
    <w:rsid w:val="003D3511"/>
    <w:rsid w:val="003D353B"/>
    <w:rsid w:val="003D3596"/>
    <w:rsid w:val="003D374F"/>
    <w:rsid w:val="003D377C"/>
    <w:rsid w:val="003D38FA"/>
    <w:rsid w:val="003D3A93"/>
    <w:rsid w:val="003D3AC4"/>
    <w:rsid w:val="003D3BB8"/>
    <w:rsid w:val="003D3E01"/>
    <w:rsid w:val="003D40A8"/>
    <w:rsid w:val="003D4303"/>
    <w:rsid w:val="003D4309"/>
    <w:rsid w:val="003D431F"/>
    <w:rsid w:val="003D4324"/>
    <w:rsid w:val="003D4390"/>
    <w:rsid w:val="003D455D"/>
    <w:rsid w:val="003D4908"/>
    <w:rsid w:val="003D4974"/>
    <w:rsid w:val="003D49B7"/>
    <w:rsid w:val="003D4A8D"/>
    <w:rsid w:val="003D4CD9"/>
    <w:rsid w:val="003D4DD4"/>
    <w:rsid w:val="003D5033"/>
    <w:rsid w:val="003D515F"/>
    <w:rsid w:val="003D53AE"/>
    <w:rsid w:val="003D5437"/>
    <w:rsid w:val="003D5505"/>
    <w:rsid w:val="003D556E"/>
    <w:rsid w:val="003D5607"/>
    <w:rsid w:val="003D56B1"/>
    <w:rsid w:val="003D58B2"/>
    <w:rsid w:val="003D5C56"/>
    <w:rsid w:val="003D5C96"/>
    <w:rsid w:val="003D5E04"/>
    <w:rsid w:val="003D5E96"/>
    <w:rsid w:val="003D5EDF"/>
    <w:rsid w:val="003D5F2F"/>
    <w:rsid w:val="003D6193"/>
    <w:rsid w:val="003D6215"/>
    <w:rsid w:val="003D62D9"/>
    <w:rsid w:val="003D667C"/>
    <w:rsid w:val="003D66CE"/>
    <w:rsid w:val="003D6796"/>
    <w:rsid w:val="003D68E6"/>
    <w:rsid w:val="003D698D"/>
    <w:rsid w:val="003D69C1"/>
    <w:rsid w:val="003D6B38"/>
    <w:rsid w:val="003D6C89"/>
    <w:rsid w:val="003D6F25"/>
    <w:rsid w:val="003D7001"/>
    <w:rsid w:val="003D714D"/>
    <w:rsid w:val="003D71D4"/>
    <w:rsid w:val="003D7260"/>
    <w:rsid w:val="003D746B"/>
    <w:rsid w:val="003D75C4"/>
    <w:rsid w:val="003D7617"/>
    <w:rsid w:val="003D7635"/>
    <w:rsid w:val="003D787D"/>
    <w:rsid w:val="003D78A2"/>
    <w:rsid w:val="003D7A09"/>
    <w:rsid w:val="003D7B5D"/>
    <w:rsid w:val="003D7C00"/>
    <w:rsid w:val="003D7C0B"/>
    <w:rsid w:val="003D7DC9"/>
    <w:rsid w:val="003D7E23"/>
    <w:rsid w:val="003D7F00"/>
    <w:rsid w:val="003D7F17"/>
    <w:rsid w:val="003D7F6D"/>
    <w:rsid w:val="003E0116"/>
    <w:rsid w:val="003E0163"/>
    <w:rsid w:val="003E0356"/>
    <w:rsid w:val="003E03A0"/>
    <w:rsid w:val="003E03FF"/>
    <w:rsid w:val="003E0490"/>
    <w:rsid w:val="003E059B"/>
    <w:rsid w:val="003E06D7"/>
    <w:rsid w:val="003E0912"/>
    <w:rsid w:val="003E0927"/>
    <w:rsid w:val="003E0A2A"/>
    <w:rsid w:val="003E0AEB"/>
    <w:rsid w:val="003E0F19"/>
    <w:rsid w:val="003E1065"/>
    <w:rsid w:val="003E1077"/>
    <w:rsid w:val="003E11C8"/>
    <w:rsid w:val="003E11F5"/>
    <w:rsid w:val="003E136B"/>
    <w:rsid w:val="003E141D"/>
    <w:rsid w:val="003E15BB"/>
    <w:rsid w:val="003E1630"/>
    <w:rsid w:val="003E16D7"/>
    <w:rsid w:val="003E188B"/>
    <w:rsid w:val="003E1955"/>
    <w:rsid w:val="003E19D0"/>
    <w:rsid w:val="003E1CF5"/>
    <w:rsid w:val="003E1DC9"/>
    <w:rsid w:val="003E1ED8"/>
    <w:rsid w:val="003E20DA"/>
    <w:rsid w:val="003E21B4"/>
    <w:rsid w:val="003E21D8"/>
    <w:rsid w:val="003E220E"/>
    <w:rsid w:val="003E22B7"/>
    <w:rsid w:val="003E236D"/>
    <w:rsid w:val="003E23AD"/>
    <w:rsid w:val="003E24DF"/>
    <w:rsid w:val="003E2627"/>
    <w:rsid w:val="003E264F"/>
    <w:rsid w:val="003E27E8"/>
    <w:rsid w:val="003E28B1"/>
    <w:rsid w:val="003E28F8"/>
    <w:rsid w:val="003E29AE"/>
    <w:rsid w:val="003E2E74"/>
    <w:rsid w:val="003E2F0F"/>
    <w:rsid w:val="003E2F7B"/>
    <w:rsid w:val="003E321A"/>
    <w:rsid w:val="003E3251"/>
    <w:rsid w:val="003E32CF"/>
    <w:rsid w:val="003E3307"/>
    <w:rsid w:val="003E3308"/>
    <w:rsid w:val="003E348D"/>
    <w:rsid w:val="003E3572"/>
    <w:rsid w:val="003E35D1"/>
    <w:rsid w:val="003E3649"/>
    <w:rsid w:val="003E3734"/>
    <w:rsid w:val="003E3E1B"/>
    <w:rsid w:val="003E3F00"/>
    <w:rsid w:val="003E41F9"/>
    <w:rsid w:val="003E429F"/>
    <w:rsid w:val="003E4360"/>
    <w:rsid w:val="003E4554"/>
    <w:rsid w:val="003E4757"/>
    <w:rsid w:val="003E486E"/>
    <w:rsid w:val="003E498D"/>
    <w:rsid w:val="003E4AC7"/>
    <w:rsid w:val="003E4AE6"/>
    <w:rsid w:val="003E4B1A"/>
    <w:rsid w:val="003E4B7B"/>
    <w:rsid w:val="003E4CE2"/>
    <w:rsid w:val="003E4CF6"/>
    <w:rsid w:val="003E4D9D"/>
    <w:rsid w:val="003E4DC1"/>
    <w:rsid w:val="003E506D"/>
    <w:rsid w:val="003E5130"/>
    <w:rsid w:val="003E5180"/>
    <w:rsid w:val="003E519D"/>
    <w:rsid w:val="003E5257"/>
    <w:rsid w:val="003E54A2"/>
    <w:rsid w:val="003E55F8"/>
    <w:rsid w:val="003E55FB"/>
    <w:rsid w:val="003E5636"/>
    <w:rsid w:val="003E563F"/>
    <w:rsid w:val="003E5702"/>
    <w:rsid w:val="003E5897"/>
    <w:rsid w:val="003E593C"/>
    <w:rsid w:val="003E5D7F"/>
    <w:rsid w:val="003E5F7E"/>
    <w:rsid w:val="003E6015"/>
    <w:rsid w:val="003E61DA"/>
    <w:rsid w:val="003E631E"/>
    <w:rsid w:val="003E6509"/>
    <w:rsid w:val="003E6513"/>
    <w:rsid w:val="003E6534"/>
    <w:rsid w:val="003E6578"/>
    <w:rsid w:val="003E65F8"/>
    <w:rsid w:val="003E664A"/>
    <w:rsid w:val="003E6676"/>
    <w:rsid w:val="003E693B"/>
    <w:rsid w:val="003E69B0"/>
    <w:rsid w:val="003E69F8"/>
    <w:rsid w:val="003E6B01"/>
    <w:rsid w:val="003E6EA8"/>
    <w:rsid w:val="003E6EEB"/>
    <w:rsid w:val="003E72EA"/>
    <w:rsid w:val="003E7497"/>
    <w:rsid w:val="003E74EA"/>
    <w:rsid w:val="003E755E"/>
    <w:rsid w:val="003E7586"/>
    <w:rsid w:val="003E771D"/>
    <w:rsid w:val="003E7757"/>
    <w:rsid w:val="003E7A4B"/>
    <w:rsid w:val="003E7FD9"/>
    <w:rsid w:val="003F0289"/>
    <w:rsid w:val="003F029F"/>
    <w:rsid w:val="003F05E4"/>
    <w:rsid w:val="003F066F"/>
    <w:rsid w:val="003F075D"/>
    <w:rsid w:val="003F07AB"/>
    <w:rsid w:val="003F082C"/>
    <w:rsid w:val="003F0B00"/>
    <w:rsid w:val="003F0B9B"/>
    <w:rsid w:val="003F0D45"/>
    <w:rsid w:val="003F0DCC"/>
    <w:rsid w:val="003F0E32"/>
    <w:rsid w:val="003F0E5D"/>
    <w:rsid w:val="003F0F36"/>
    <w:rsid w:val="003F0FEC"/>
    <w:rsid w:val="003F11EE"/>
    <w:rsid w:val="003F139C"/>
    <w:rsid w:val="003F1411"/>
    <w:rsid w:val="003F1477"/>
    <w:rsid w:val="003F15A4"/>
    <w:rsid w:val="003F15DE"/>
    <w:rsid w:val="003F16D2"/>
    <w:rsid w:val="003F1799"/>
    <w:rsid w:val="003F17A9"/>
    <w:rsid w:val="003F19C4"/>
    <w:rsid w:val="003F1BAE"/>
    <w:rsid w:val="003F1C26"/>
    <w:rsid w:val="003F1E47"/>
    <w:rsid w:val="003F1ED1"/>
    <w:rsid w:val="003F20CF"/>
    <w:rsid w:val="003F223A"/>
    <w:rsid w:val="003F2254"/>
    <w:rsid w:val="003F22C5"/>
    <w:rsid w:val="003F237C"/>
    <w:rsid w:val="003F23B7"/>
    <w:rsid w:val="003F242F"/>
    <w:rsid w:val="003F266B"/>
    <w:rsid w:val="003F27D8"/>
    <w:rsid w:val="003F2829"/>
    <w:rsid w:val="003F2A49"/>
    <w:rsid w:val="003F2B29"/>
    <w:rsid w:val="003F2DDE"/>
    <w:rsid w:val="003F2ED0"/>
    <w:rsid w:val="003F2EF9"/>
    <w:rsid w:val="003F2F1F"/>
    <w:rsid w:val="003F2F3A"/>
    <w:rsid w:val="003F3085"/>
    <w:rsid w:val="003F3164"/>
    <w:rsid w:val="003F316D"/>
    <w:rsid w:val="003F3204"/>
    <w:rsid w:val="003F32EC"/>
    <w:rsid w:val="003F33B8"/>
    <w:rsid w:val="003F34D0"/>
    <w:rsid w:val="003F36DA"/>
    <w:rsid w:val="003F380E"/>
    <w:rsid w:val="003F39CB"/>
    <w:rsid w:val="003F3A4B"/>
    <w:rsid w:val="003F3B9A"/>
    <w:rsid w:val="003F3CE7"/>
    <w:rsid w:val="003F3E4D"/>
    <w:rsid w:val="003F3F61"/>
    <w:rsid w:val="003F3FE4"/>
    <w:rsid w:val="003F448E"/>
    <w:rsid w:val="003F457A"/>
    <w:rsid w:val="003F461D"/>
    <w:rsid w:val="003F48FE"/>
    <w:rsid w:val="003F4C08"/>
    <w:rsid w:val="003F4C43"/>
    <w:rsid w:val="003F4CF4"/>
    <w:rsid w:val="003F4E77"/>
    <w:rsid w:val="003F4E8B"/>
    <w:rsid w:val="003F4F13"/>
    <w:rsid w:val="003F4F98"/>
    <w:rsid w:val="003F5267"/>
    <w:rsid w:val="003F5290"/>
    <w:rsid w:val="003F55E3"/>
    <w:rsid w:val="003F565F"/>
    <w:rsid w:val="003F56E0"/>
    <w:rsid w:val="003F5764"/>
    <w:rsid w:val="003F5994"/>
    <w:rsid w:val="003F5A8D"/>
    <w:rsid w:val="003F5AB4"/>
    <w:rsid w:val="003F5F01"/>
    <w:rsid w:val="003F60E3"/>
    <w:rsid w:val="003F616E"/>
    <w:rsid w:val="003F61EA"/>
    <w:rsid w:val="003F650B"/>
    <w:rsid w:val="003F6524"/>
    <w:rsid w:val="003F6554"/>
    <w:rsid w:val="003F656F"/>
    <w:rsid w:val="003F65AF"/>
    <w:rsid w:val="003F65CA"/>
    <w:rsid w:val="003F67AA"/>
    <w:rsid w:val="003F67E8"/>
    <w:rsid w:val="003F67EE"/>
    <w:rsid w:val="003F67FA"/>
    <w:rsid w:val="003F68F1"/>
    <w:rsid w:val="003F693F"/>
    <w:rsid w:val="003F6995"/>
    <w:rsid w:val="003F6A21"/>
    <w:rsid w:val="003F6AE6"/>
    <w:rsid w:val="003F6DAD"/>
    <w:rsid w:val="003F6EC1"/>
    <w:rsid w:val="003F71F8"/>
    <w:rsid w:val="003F723D"/>
    <w:rsid w:val="003F725F"/>
    <w:rsid w:val="003F7279"/>
    <w:rsid w:val="003F7329"/>
    <w:rsid w:val="003F7348"/>
    <w:rsid w:val="003F736C"/>
    <w:rsid w:val="003F73C6"/>
    <w:rsid w:val="003F74B3"/>
    <w:rsid w:val="003F74C3"/>
    <w:rsid w:val="003F754F"/>
    <w:rsid w:val="003F79AE"/>
    <w:rsid w:val="003F79B1"/>
    <w:rsid w:val="003F79F1"/>
    <w:rsid w:val="003F7BAB"/>
    <w:rsid w:val="003F7C06"/>
    <w:rsid w:val="003F7CDA"/>
    <w:rsid w:val="0040007B"/>
    <w:rsid w:val="00400087"/>
    <w:rsid w:val="0040008F"/>
    <w:rsid w:val="004000AD"/>
    <w:rsid w:val="0040010B"/>
    <w:rsid w:val="00400177"/>
    <w:rsid w:val="0040024F"/>
    <w:rsid w:val="004002EF"/>
    <w:rsid w:val="0040087C"/>
    <w:rsid w:val="004008A7"/>
    <w:rsid w:val="004009CF"/>
    <w:rsid w:val="00400A57"/>
    <w:rsid w:val="00400B0F"/>
    <w:rsid w:val="00400B7A"/>
    <w:rsid w:val="00400C15"/>
    <w:rsid w:val="00400C16"/>
    <w:rsid w:val="00400CB5"/>
    <w:rsid w:val="00400E7E"/>
    <w:rsid w:val="0040107E"/>
    <w:rsid w:val="0040108A"/>
    <w:rsid w:val="004010F2"/>
    <w:rsid w:val="00401132"/>
    <w:rsid w:val="00401198"/>
    <w:rsid w:val="004011C7"/>
    <w:rsid w:val="004011F5"/>
    <w:rsid w:val="0040143A"/>
    <w:rsid w:val="00401478"/>
    <w:rsid w:val="004014FB"/>
    <w:rsid w:val="004017F6"/>
    <w:rsid w:val="00401894"/>
    <w:rsid w:val="004018FF"/>
    <w:rsid w:val="004019A3"/>
    <w:rsid w:val="00401C53"/>
    <w:rsid w:val="00401E85"/>
    <w:rsid w:val="00401FEC"/>
    <w:rsid w:val="00402040"/>
    <w:rsid w:val="00402112"/>
    <w:rsid w:val="0040221C"/>
    <w:rsid w:val="004022A3"/>
    <w:rsid w:val="0040240C"/>
    <w:rsid w:val="00402481"/>
    <w:rsid w:val="00402502"/>
    <w:rsid w:val="0040251C"/>
    <w:rsid w:val="00402599"/>
    <w:rsid w:val="00402621"/>
    <w:rsid w:val="00402640"/>
    <w:rsid w:val="0040273F"/>
    <w:rsid w:val="0040298E"/>
    <w:rsid w:val="00402C2A"/>
    <w:rsid w:val="00402C3E"/>
    <w:rsid w:val="00402D21"/>
    <w:rsid w:val="00402D5B"/>
    <w:rsid w:val="00402D69"/>
    <w:rsid w:val="00402DF7"/>
    <w:rsid w:val="00402EB8"/>
    <w:rsid w:val="00402F8E"/>
    <w:rsid w:val="00403075"/>
    <w:rsid w:val="0040308D"/>
    <w:rsid w:val="004030AF"/>
    <w:rsid w:val="00403223"/>
    <w:rsid w:val="00403412"/>
    <w:rsid w:val="0040342A"/>
    <w:rsid w:val="004034A1"/>
    <w:rsid w:val="004034EC"/>
    <w:rsid w:val="00403501"/>
    <w:rsid w:val="004035F2"/>
    <w:rsid w:val="00403661"/>
    <w:rsid w:val="0040368E"/>
    <w:rsid w:val="00403709"/>
    <w:rsid w:val="00403757"/>
    <w:rsid w:val="00403809"/>
    <w:rsid w:val="00403932"/>
    <w:rsid w:val="0040394C"/>
    <w:rsid w:val="00403968"/>
    <w:rsid w:val="004039BC"/>
    <w:rsid w:val="00403AB4"/>
    <w:rsid w:val="00403AE3"/>
    <w:rsid w:val="00403B9B"/>
    <w:rsid w:val="00403BD1"/>
    <w:rsid w:val="00403CFC"/>
    <w:rsid w:val="00403E1E"/>
    <w:rsid w:val="00403E7E"/>
    <w:rsid w:val="00403F6E"/>
    <w:rsid w:val="00404138"/>
    <w:rsid w:val="0040415C"/>
    <w:rsid w:val="00404196"/>
    <w:rsid w:val="004042DD"/>
    <w:rsid w:val="004044E2"/>
    <w:rsid w:val="004045E1"/>
    <w:rsid w:val="004045ED"/>
    <w:rsid w:val="0040469B"/>
    <w:rsid w:val="00404758"/>
    <w:rsid w:val="00404964"/>
    <w:rsid w:val="00404C89"/>
    <w:rsid w:val="00404ED9"/>
    <w:rsid w:val="00404EFA"/>
    <w:rsid w:val="00404FE6"/>
    <w:rsid w:val="00405093"/>
    <w:rsid w:val="004051B9"/>
    <w:rsid w:val="004053B9"/>
    <w:rsid w:val="004054A6"/>
    <w:rsid w:val="0040556D"/>
    <w:rsid w:val="004055D0"/>
    <w:rsid w:val="004055EC"/>
    <w:rsid w:val="00405BB2"/>
    <w:rsid w:val="00405BCA"/>
    <w:rsid w:val="00405BE1"/>
    <w:rsid w:val="00405BE2"/>
    <w:rsid w:val="00405CA0"/>
    <w:rsid w:val="00405EA8"/>
    <w:rsid w:val="0040604A"/>
    <w:rsid w:val="004061D1"/>
    <w:rsid w:val="00406204"/>
    <w:rsid w:val="00406232"/>
    <w:rsid w:val="00406354"/>
    <w:rsid w:val="00406373"/>
    <w:rsid w:val="004063E5"/>
    <w:rsid w:val="004064F0"/>
    <w:rsid w:val="00406587"/>
    <w:rsid w:val="004065B4"/>
    <w:rsid w:val="00406696"/>
    <w:rsid w:val="004067A6"/>
    <w:rsid w:val="00406958"/>
    <w:rsid w:val="00406C92"/>
    <w:rsid w:val="00406CB5"/>
    <w:rsid w:val="00406EBE"/>
    <w:rsid w:val="00406FD5"/>
    <w:rsid w:val="00406FE7"/>
    <w:rsid w:val="0040705A"/>
    <w:rsid w:val="004072DA"/>
    <w:rsid w:val="0040734D"/>
    <w:rsid w:val="0040753B"/>
    <w:rsid w:val="00407638"/>
    <w:rsid w:val="00407744"/>
    <w:rsid w:val="0040780E"/>
    <w:rsid w:val="00407A0A"/>
    <w:rsid w:val="00407B5D"/>
    <w:rsid w:val="00407CD2"/>
    <w:rsid w:val="00407CD7"/>
    <w:rsid w:val="00407D40"/>
    <w:rsid w:val="00407D49"/>
    <w:rsid w:val="00407DB1"/>
    <w:rsid w:val="00407DC7"/>
    <w:rsid w:val="00407E63"/>
    <w:rsid w:val="00407E7C"/>
    <w:rsid w:val="00407ED4"/>
    <w:rsid w:val="00410052"/>
    <w:rsid w:val="00410133"/>
    <w:rsid w:val="00410282"/>
    <w:rsid w:val="004104EC"/>
    <w:rsid w:val="00410632"/>
    <w:rsid w:val="00410699"/>
    <w:rsid w:val="00410825"/>
    <w:rsid w:val="00410BC2"/>
    <w:rsid w:val="00410C0C"/>
    <w:rsid w:val="00410CE8"/>
    <w:rsid w:val="00410D41"/>
    <w:rsid w:val="00410D6B"/>
    <w:rsid w:val="00410D97"/>
    <w:rsid w:val="00410EDC"/>
    <w:rsid w:val="0041132C"/>
    <w:rsid w:val="004113B3"/>
    <w:rsid w:val="00411456"/>
    <w:rsid w:val="004114FC"/>
    <w:rsid w:val="004115A1"/>
    <w:rsid w:val="004116DD"/>
    <w:rsid w:val="00411730"/>
    <w:rsid w:val="004119A5"/>
    <w:rsid w:val="00411A44"/>
    <w:rsid w:val="00411DDB"/>
    <w:rsid w:val="00411DE0"/>
    <w:rsid w:val="00411E76"/>
    <w:rsid w:val="00411FE2"/>
    <w:rsid w:val="00412063"/>
    <w:rsid w:val="0041221A"/>
    <w:rsid w:val="004122B9"/>
    <w:rsid w:val="004124B3"/>
    <w:rsid w:val="004124F3"/>
    <w:rsid w:val="004126FC"/>
    <w:rsid w:val="00412806"/>
    <w:rsid w:val="004128C6"/>
    <w:rsid w:val="00412AF9"/>
    <w:rsid w:val="00412BFB"/>
    <w:rsid w:val="00412C88"/>
    <w:rsid w:val="00412E1E"/>
    <w:rsid w:val="00412E5C"/>
    <w:rsid w:val="00412EDF"/>
    <w:rsid w:val="0041305E"/>
    <w:rsid w:val="004130AF"/>
    <w:rsid w:val="004130CD"/>
    <w:rsid w:val="004130FD"/>
    <w:rsid w:val="004131FE"/>
    <w:rsid w:val="004132ED"/>
    <w:rsid w:val="004132FD"/>
    <w:rsid w:val="00413390"/>
    <w:rsid w:val="004133E9"/>
    <w:rsid w:val="004134AC"/>
    <w:rsid w:val="004134AE"/>
    <w:rsid w:val="004134B4"/>
    <w:rsid w:val="00413685"/>
    <w:rsid w:val="0041383B"/>
    <w:rsid w:val="00413842"/>
    <w:rsid w:val="0041396A"/>
    <w:rsid w:val="00413A05"/>
    <w:rsid w:val="00413B40"/>
    <w:rsid w:val="00413BA8"/>
    <w:rsid w:val="00413C09"/>
    <w:rsid w:val="00413C7E"/>
    <w:rsid w:val="00413D15"/>
    <w:rsid w:val="00413D7B"/>
    <w:rsid w:val="00413E77"/>
    <w:rsid w:val="00413FB3"/>
    <w:rsid w:val="0041417E"/>
    <w:rsid w:val="004141B0"/>
    <w:rsid w:val="004142A8"/>
    <w:rsid w:val="00414373"/>
    <w:rsid w:val="004143E9"/>
    <w:rsid w:val="00414498"/>
    <w:rsid w:val="004144DF"/>
    <w:rsid w:val="00414606"/>
    <w:rsid w:val="00414658"/>
    <w:rsid w:val="004146D7"/>
    <w:rsid w:val="004147C7"/>
    <w:rsid w:val="00414903"/>
    <w:rsid w:val="00414951"/>
    <w:rsid w:val="00414C6E"/>
    <w:rsid w:val="00414D50"/>
    <w:rsid w:val="00414E27"/>
    <w:rsid w:val="00414F10"/>
    <w:rsid w:val="00414F98"/>
    <w:rsid w:val="004150EE"/>
    <w:rsid w:val="0041524F"/>
    <w:rsid w:val="00415332"/>
    <w:rsid w:val="004154F2"/>
    <w:rsid w:val="0041571E"/>
    <w:rsid w:val="00415747"/>
    <w:rsid w:val="00415775"/>
    <w:rsid w:val="00415858"/>
    <w:rsid w:val="00415989"/>
    <w:rsid w:val="00415CFC"/>
    <w:rsid w:val="00415D57"/>
    <w:rsid w:val="00415DC1"/>
    <w:rsid w:val="00415DE4"/>
    <w:rsid w:val="00415ECE"/>
    <w:rsid w:val="00415FC4"/>
    <w:rsid w:val="00416077"/>
    <w:rsid w:val="0041610A"/>
    <w:rsid w:val="00416134"/>
    <w:rsid w:val="004161B5"/>
    <w:rsid w:val="004161BB"/>
    <w:rsid w:val="00416393"/>
    <w:rsid w:val="004163DE"/>
    <w:rsid w:val="00416478"/>
    <w:rsid w:val="00416658"/>
    <w:rsid w:val="00416766"/>
    <w:rsid w:val="004168FE"/>
    <w:rsid w:val="004169D9"/>
    <w:rsid w:val="00416C73"/>
    <w:rsid w:val="00416FA3"/>
    <w:rsid w:val="0041732F"/>
    <w:rsid w:val="004175F2"/>
    <w:rsid w:val="0041777B"/>
    <w:rsid w:val="0041789F"/>
    <w:rsid w:val="0041797D"/>
    <w:rsid w:val="00417A5C"/>
    <w:rsid w:val="00417A5D"/>
    <w:rsid w:val="00417B23"/>
    <w:rsid w:val="00417B8A"/>
    <w:rsid w:val="00417B94"/>
    <w:rsid w:val="004200DC"/>
    <w:rsid w:val="00420190"/>
    <w:rsid w:val="0042029B"/>
    <w:rsid w:val="0042034C"/>
    <w:rsid w:val="00420377"/>
    <w:rsid w:val="00420515"/>
    <w:rsid w:val="00420537"/>
    <w:rsid w:val="0042061A"/>
    <w:rsid w:val="0042061F"/>
    <w:rsid w:val="0042087A"/>
    <w:rsid w:val="004208DE"/>
    <w:rsid w:val="00420997"/>
    <w:rsid w:val="00420BE2"/>
    <w:rsid w:val="00420C4A"/>
    <w:rsid w:val="00420F00"/>
    <w:rsid w:val="00421192"/>
    <w:rsid w:val="0042127D"/>
    <w:rsid w:val="00421356"/>
    <w:rsid w:val="00421407"/>
    <w:rsid w:val="004215B9"/>
    <w:rsid w:val="004218BC"/>
    <w:rsid w:val="004218F0"/>
    <w:rsid w:val="0042197C"/>
    <w:rsid w:val="004219AB"/>
    <w:rsid w:val="004219F7"/>
    <w:rsid w:val="00421A52"/>
    <w:rsid w:val="00421B72"/>
    <w:rsid w:val="00421CDA"/>
    <w:rsid w:val="00421D98"/>
    <w:rsid w:val="00421DBF"/>
    <w:rsid w:val="00421E81"/>
    <w:rsid w:val="00421F91"/>
    <w:rsid w:val="00421FAB"/>
    <w:rsid w:val="0042203F"/>
    <w:rsid w:val="004222B0"/>
    <w:rsid w:val="00422557"/>
    <w:rsid w:val="004225E5"/>
    <w:rsid w:val="00422781"/>
    <w:rsid w:val="00422A5F"/>
    <w:rsid w:val="00422B79"/>
    <w:rsid w:val="00422B8E"/>
    <w:rsid w:val="00422B9E"/>
    <w:rsid w:val="00422BAD"/>
    <w:rsid w:val="00422CB5"/>
    <w:rsid w:val="00422E22"/>
    <w:rsid w:val="00422EA8"/>
    <w:rsid w:val="00422F5D"/>
    <w:rsid w:val="0042330D"/>
    <w:rsid w:val="00423352"/>
    <w:rsid w:val="004233EE"/>
    <w:rsid w:val="004234B0"/>
    <w:rsid w:val="004236DD"/>
    <w:rsid w:val="004238A9"/>
    <w:rsid w:val="00423919"/>
    <w:rsid w:val="00423945"/>
    <w:rsid w:val="00423CCB"/>
    <w:rsid w:val="00423F66"/>
    <w:rsid w:val="0042403C"/>
    <w:rsid w:val="0042409C"/>
    <w:rsid w:val="00424160"/>
    <w:rsid w:val="00424193"/>
    <w:rsid w:val="004241C8"/>
    <w:rsid w:val="004241D3"/>
    <w:rsid w:val="0042433B"/>
    <w:rsid w:val="00424658"/>
    <w:rsid w:val="004246A1"/>
    <w:rsid w:val="004247EE"/>
    <w:rsid w:val="004249B1"/>
    <w:rsid w:val="00424A8B"/>
    <w:rsid w:val="00424BF5"/>
    <w:rsid w:val="00424BFA"/>
    <w:rsid w:val="00424BFE"/>
    <w:rsid w:val="00424D18"/>
    <w:rsid w:val="00424D3D"/>
    <w:rsid w:val="00424E57"/>
    <w:rsid w:val="00424EC8"/>
    <w:rsid w:val="00424F66"/>
    <w:rsid w:val="00425077"/>
    <w:rsid w:val="004250F5"/>
    <w:rsid w:val="00425235"/>
    <w:rsid w:val="00425515"/>
    <w:rsid w:val="00425532"/>
    <w:rsid w:val="004255BF"/>
    <w:rsid w:val="004257CE"/>
    <w:rsid w:val="004258B6"/>
    <w:rsid w:val="004258C6"/>
    <w:rsid w:val="004258E4"/>
    <w:rsid w:val="0042597D"/>
    <w:rsid w:val="004259FF"/>
    <w:rsid w:val="00425AB7"/>
    <w:rsid w:val="00425B70"/>
    <w:rsid w:val="00425B99"/>
    <w:rsid w:val="00425C23"/>
    <w:rsid w:val="00425CF9"/>
    <w:rsid w:val="00425DA5"/>
    <w:rsid w:val="00425E15"/>
    <w:rsid w:val="00425F49"/>
    <w:rsid w:val="00425F57"/>
    <w:rsid w:val="00425FDE"/>
    <w:rsid w:val="00426266"/>
    <w:rsid w:val="00426489"/>
    <w:rsid w:val="004264A4"/>
    <w:rsid w:val="0042651E"/>
    <w:rsid w:val="00426736"/>
    <w:rsid w:val="0042681C"/>
    <w:rsid w:val="004268F4"/>
    <w:rsid w:val="004268F6"/>
    <w:rsid w:val="00426AEA"/>
    <w:rsid w:val="00426B07"/>
    <w:rsid w:val="00426C56"/>
    <w:rsid w:val="00426DDE"/>
    <w:rsid w:val="00426EB0"/>
    <w:rsid w:val="00426FB2"/>
    <w:rsid w:val="00426FCF"/>
    <w:rsid w:val="004273C1"/>
    <w:rsid w:val="00427475"/>
    <w:rsid w:val="004274C4"/>
    <w:rsid w:val="00427560"/>
    <w:rsid w:val="004276A5"/>
    <w:rsid w:val="0042774E"/>
    <w:rsid w:val="004279F6"/>
    <w:rsid w:val="00427DD5"/>
    <w:rsid w:val="00427F1A"/>
    <w:rsid w:val="00427F41"/>
    <w:rsid w:val="00427F5A"/>
    <w:rsid w:val="00427F89"/>
    <w:rsid w:val="004301B1"/>
    <w:rsid w:val="004305D9"/>
    <w:rsid w:val="0043074D"/>
    <w:rsid w:val="004307EE"/>
    <w:rsid w:val="004307F9"/>
    <w:rsid w:val="00430885"/>
    <w:rsid w:val="0043099C"/>
    <w:rsid w:val="00430A58"/>
    <w:rsid w:val="00430ACC"/>
    <w:rsid w:val="00430C7D"/>
    <w:rsid w:val="00430E91"/>
    <w:rsid w:val="00430F00"/>
    <w:rsid w:val="00431200"/>
    <w:rsid w:val="00431387"/>
    <w:rsid w:val="0043143F"/>
    <w:rsid w:val="004315D4"/>
    <w:rsid w:val="00431943"/>
    <w:rsid w:val="00431A57"/>
    <w:rsid w:val="00431CDB"/>
    <w:rsid w:val="00432039"/>
    <w:rsid w:val="0043203F"/>
    <w:rsid w:val="004321BD"/>
    <w:rsid w:val="00432207"/>
    <w:rsid w:val="00432287"/>
    <w:rsid w:val="00432364"/>
    <w:rsid w:val="004323A7"/>
    <w:rsid w:val="00432504"/>
    <w:rsid w:val="00432567"/>
    <w:rsid w:val="00432795"/>
    <w:rsid w:val="00432941"/>
    <w:rsid w:val="00432986"/>
    <w:rsid w:val="004329EC"/>
    <w:rsid w:val="00432A1A"/>
    <w:rsid w:val="00432E20"/>
    <w:rsid w:val="00432E4C"/>
    <w:rsid w:val="00432F4B"/>
    <w:rsid w:val="00432F98"/>
    <w:rsid w:val="00433083"/>
    <w:rsid w:val="004330F9"/>
    <w:rsid w:val="004331F9"/>
    <w:rsid w:val="00433605"/>
    <w:rsid w:val="0043366B"/>
    <w:rsid w:val="00433694"/>
    <w:rsid w:val="004337A8"/>
    <w:rsid w:val="00433A5C"/>
    <w:rsid w:val="00433DFE"/>
    <w:rsid w:val="00433F32"/>
    <w:rsid w:val="00433F81"/>
    <w:rsid w:val="00433FC7"/>
    <w:rsid w:val="004340A2"/>
    <w:rsid w:val="004340B2"/>
    <w:rsid w:val="00434145"/>
    <w:rsid w:val="00434296"/>
    <w:rsid w:val="004342F4"/>
    <w:rsid w:val="004343E1"/>
    <w:rsid w:val="004344AB"/>
    <w:rsid w:val="00434549"/>
    <w:rsid w:val="004346C7"/>
    <w:rsid w:val="004348B1"/>
    <w:rsid w:val="004348DE"/>
    <w:rsid w:val="004348E1"/>
    <w:rsid w:val="00434994"/>
    <w:rsid w:val="004349DF"/>
    <w:rsid w:val="00434A3D"/>
    <w:rsid w:val="00434A66"/>
    <w:rsid w:val="00434BF4"/>
    <w:rsid w:val="00434C31"/>
    <w:rsid w:val="00434DBF"/>
    <w:rsid w:val="00434DE5"/>
    <w:rsid w:val="00434EDD"/>
    <w:rsid w:val="00435190"/>
    <w:rsid w:val="00435216"/>
    <w:rsid w:val="004352BF"/>
    <w:rsid w:val="004353C7"/>
    <w:rsid w:val="00435598"/>
    <w:rsid w:val="004355FD"/>
    <w:rsid w:val="004356C3"/>
    <w:rsid w:val="00435725"/>
    <w:rsid w:val="0043582B"/>
    <w:rsid w:val="00435930"/>
    <w:rsid w:val="0043597D"/>
    <w:rsid w:val="00435A33"/>
    <w:rsid w:val="00435AC5"/>
    <w:rsid w:val="00435BE3"/>
    <w:rsid w:val="00435C39"/>
    <w:rsid w:val="00435D6D"/>
    <w:rsid w:val="00435D71"/>
    <w:rsid w:val="00435E40"/>
    <w:rsid w:val="00435F5B"/>
    <w:rsid w:val="00435F7E"/>
    <w:rsid w:val="004362F6"/>
    <w:rsid w:val="004363AB"/>
    <w:rsid w:val="004364FE"/>
    <w:rsid w:val="00436603"/>
    <w:rsid w:val="004366CB"/>
    <w:rsid w:val="0043670D"/>
    <w:rsid w:val="00436A5E"/>
    <w:rsid w:val="00436B5D"/>
    <w:rsid w:val="00436BC4"/>
    <w:rsid w:val="00436CFC"/>
    <w:rsid w:val="00436D15"/>
    <w:rsid w:val="00436ED0"/>
    <w:rsid w:val="00437206"/>
    <w:rsid w:val="00437477"/>
    <w:rsid w:val="004375DE"/>
    <w:rsid w:val="004375E0"/>
    <w:rsid w:val="004375FD"/>
    <w:rsid w:val="004379D8"/>
    <w:rsid w:val="00437B3E"/>
    <w:rsid w:val="00437C43"/>
    <w:rsid w:val="00437C6C"/>
    <w:rsid w:val="00437E24"/>
    <w:rsid w:val="00437FED"/>
    <w:rsid w:val="0044011A"/>
    <w:rsid w:val="004401AA"/>
    <w:rsid w:val="00440224"/>
    <w:rsid w:val="00440279"/>
    <w:rsid w:val="00440435"/>
    <w:rsid w:val="004404C9"/>
    <w:rsid w:val="004407A4"/>
    <w:rsid w:val="00440825"/>
    <w:rsid w:val="00440AD2"/>
    <w:rsid w:val="00440DA8"/>
    <w:rsid w:val="00440E87"/>
    <w:rsid w:val="00440E89"/>
    <w:rsid w:val="00440FBD"/>
    <w:rsid w:val="00440FF6"/>
    <w:rsid w:val="004411FD"/>
    <w:rsid w:val="0044130F"/>
    <w:rsid w:val="00441456"/>
    <w:rsid w:val="004414C8"/>
    <w:rsid w:val="0044152B"/>
    <w:rsid w:val="00441955"/>
    <w:rsid w:val="00441999"/>
    <w:rsid w:val="004419FB"/>
    <w:rsid w:val="00441A69"/>
    <w:rsid w:val="00441AC6"/>
    <w:rsid w:val="00441AEB"/>
    <w:rsid w:val="00441BF3"/>
    <w:rsid w:val="00441BF6"/>
    <w:rsid w:val="00441C5A"/>
    <w:rsid w:val="00441CEE"/>
    <w:rsid w:val="00441DB1"/>
    <w:rsid w:val="00441EAF"/>
    <w:rsid w:val="00441EE9"/>
    <w:rsid w:val="00441F69"/>
    <w:rsid w:val="00441FAB"/>
    <w:rsid w:val="00441FE9"/>
    <w:rsid w:val="00442083"/>
    <w:rsid w:val="004420F0"/>
    <w:rsid w:val="004423CF"/>
    <w:rsid w:val="00442485"/>
    <w:rsid w:val="004424A5"/>
    <w:rsid w:val="00442785"/>
    <w:rsid w:val="00442B66"/>
    <w:rsid w:val="00442C05"/>
    <w:rsid w:val="00442CF2"/>
    <w:rsid w:val="00442D46"/>
    <w:rsid w:val="00442DFD"/>
    <w:rsid w:val="00442E0B"/>
    <w:rsid w:val="004431A9"/>
    <w:rsid w:val="00443402"/>
    <w:rsid w:val="0044340F"/>
    <w:rsid w:val="00443420"/>
    <w:rsid w:val="00443454"/>
    <w:rsid w:val="004434C2"/>
    <w:rsid w:val="0044355E"/>
    <w:rsid w:val="0044361D"/>
    <w:rsid w:val="004436E6"/>
    <w:rsid w:val="00443957"/>
    <w:rsid w:val="00443A97"/>
    <w:rsid w:val="00443B58"/>
    <w:rsid w:val="00443C0D"/>
    <w:rsid w:val="00443CEB"/>
    <w:rsid w:val="00443D94"/>
    <w:rsid w:val="00443E16"/>
    <w:rsid w:val="0044404B"/>
    <w:rsid w:val="0044423A"/>
    <w:rsid w:val="00444283"/>
    <w:rsid w:val="004442B8"/>
    <w:rsid w:val="00444332"/>
    <w:rsid w:val="004444AC"/>
    <w:rsid w:val="00444661"/>
    <w:rsid w:val="004447A3"/>
    <w:rsid w:val="004447AC"/>
    <w:rsid w:val="004447C2"/>
    <w:rsid w:val="004448C6"/>
    <w:rsid w:val="00444A44"/>
    <w:rsid w:val="00444B7A"/>
    <w:rsid w:val="00444B8E"/>
    <w:rsid w:val="00444CAC"/>
    <w:rsid w:val="00444CD4"/>
    <w:rsid w:val="00444CEB"/>
    <w:rsid w:val="00444D16"/>
    <w:rsid w:val="00444DAE"/>
    <w:rsid w:val="00444FAC"/>
    <w:rsid w:val="00445095"/>
    <w:rsid w:val="004450C8"/>
    <w:rsid w:val="00445267"/>
    <w:rsid w:val="004453A4"/>
    <w:rsid w:val="00445478"/>
    <w:rsid w:val="00445549"/>
    <w:rsid w:val="00445679"/>
    <w:rsid w:val="004457AF"/>
    <w:rsid w:val="0044588D"/>
    <w:rsid w:val="004458BC"/>
    <w:rsid w:val="0044594E"/>
    <w:rsid w:val="004459AC"/>
    <w:rsid w:val="00445AB1"/>
    <w:rsid w:val="00445B5E"/>
    <w:rsid w:val="00445C93"/>
    <w:rsid w:val="00445EC7"/>
    <w:rsid w:val="0044625C"/>
    <w:rsid w:val="004462A5"/>
    <w:rsid w:val="004462E5"/>
    <w:rsid w:val="004463A2"/>
    <w:rsid w:val="004465A9"/>
    <w:rsid w:val="004466C8"/>
    <w:rsid w:val="00446871"/>
    <w:rsid w:val="00446894"/>
    <w:rsid w:val="004468C3"/>
    <w:rsid w:val="004469E0"/>
    <w:rsid w:val="00446C30"/>
    <w:rsid w:val="00446D87"/>
    <w:rsid w:val="00446DBB"/>
    <w:rsid w:val="00446FC1"/>
    <w:rsid w:val="00447031"/>
    <w:rsid w:val="0044727B"/>
    <w:rsid w:val="0044730E"/>
    <w:rsid w:val="00447375"/>
    <w:rsid w:val="0044749C"/>
    <w:rsid w:val="00447502"/>
    <w:rsid w:val="0044751D"/>
    <w:rsid w:val="0044753A"/>
    <w:rsid w:val="004476AE"/>
    <w:rsid w:val="004477AE"/>
    <w:rsid w:val="00447CC4"/>
    <w:rsid w:val="00447E51"/>
    <w:rsid w:val="00447E71"/>
    <w:rsid w:val="00447EB2"/>
    <w:rsid w:val="00447ECC"/>
    <w:rsid w:val="00447EE3"/>
    <w:rsid w:val="00447FED"/>
    <w:rsid w:val="00447FF5"/>
    <w:rsid w:val="0045005A"/>
    <w:rsid w:val="00450065"/>
    <w:rsid w:val="004501DB"/>
    <w:rsid w:val="004502CA"/>
    <w:rsid w:val="0045031D"/>
    <w:rsid w:val="004505A4"/>
    <w:rsid w:val="00450AB7"/>
    <w:rsid w:val="00450C30"/>
    <w:rsid w:val="00450D10"/>
    <w:rsid w:val="00450D23"/>
    <w:rsid w:val="00450D3F"/>
    <w:rsid w:val="00450D46"/>
    <w:rsid w:val="00450DD6"/>
    <w:rsid w:val="00450EDC"/>
    <w:rsid w:val="00450F94"/>
    <w:rsid w:val="0045117F"/>
    <w:rsid w:val="00451182"/>
    <w:rsid w:val="004513DC"/>
    <w:rsid w:val="004516A6"/>
    <w:rsid w:val="004516DC"/>
    <w:rsid w:val="00451715"/>
    <w:rsid w:val="00451805"/>
    <w:rsid w:val="00451806"/>
    <w:rsid w:val="00451A7C"/>
    <w:rsid w:val="00451A80"/>
    <w:rsid w:val="00451BA2"/>
    <w:rsid w:val="00451C72"/>
    <w:rsid w:val="00451E78"/>
    <w:rsid w:val="00451F1C"/>
    <w:rsid w:val="00451F26"/>
    <w:rsid w:val="00452054"/>
    <w:rsid w:val="00452068"/>
    <w:rsid w:val="0045206B"/>
    <w:rsid w:val="00452113"/>
    <w:rsid w:val="0045225A"/>
    <w:rsid w:val="004522EA"/>
    <w:rsid w:val="0045268D"/>
    <w:rsid w:val="00452769"/>
    <w:rsid w:val="00452853"/>
    <w:rsid w:val="00452922"/>
    <w:rsid w:val="00452926"/>
    <w:rsid w:val="00452AE9"/>
    <w:rsid w:val="00452BC8"/>
    <w:rsid w:val="00452CDD"/>
    <w:rsid w:val="00452CEE"/>
    <w:rsid w:val="00452CFF"/>
    <w:rsid w:val="00452D00"/>
    <w:rsid w:val="00452FB1"/>
    <w:rsid w:val="00452FC5"/>
    <w:rsid w:val="00452FDA"/>
    <w:rsid w:val="004530E5"/>
    <w:rsid w:val="00453137"/>
    <w:rsid w:val="004531D3"/>
    <w:rsid w:val="00453549"/>
    <w:rsid w:val="004536E2"/>
    <w:rsid w:val="00453877"/>
    <w:rsid w:val="00453B3B"/>
    <w:rsid w:val="00453B95"/>
    <w:rsid w:val="00453DF2"/>
    <w:rsid w:val="00453DFF"/>
    <w:rsid w:val="00453E10"/>
    <w:rsid w:val="00453E2B"/>
    <w:rsid w:val="00453ED8"/>
    <w:rsid w:val="00453F79"/>
    <w:rsid w:val="004540AB"/>
    <w:rsid w:val="004541F7"/>
    <w:rsid w:val="004542FA"/>
    <w:rsid w:val="00454498"/>
    <w:rsid w:val="004545E9"/>
    <w:rsid w:val="00454694"/>
    <w:rsid w:val="004546F5"/>
    <w:rsid w:val="00454800"/>
    <w:rsid w:val="00454863"/>
    <w:rsid w:val="004548F7"/>
    <w:rsid w:val="004549CF"/>
    <w:rsid w:val="00454C7F"/>
    <w:rsid w:val="00454CDB"/>
    <w:rsid w:val="00454CF7"/>
    <w:rsid w:val="00454DAE"/>
    <w:rsid w:val="00454DBD"/>
    <w:rsid w:val="00454E90"/>
    <w:rsid w:val="00454EAF"/>
    <w:rsid w:val="00455027"/>
    <w:rsid w:val="0045509D"/>
    <w:rsid w:val="004550A7"/>
    <w:rsid w:val="004550F3"/>
    <w:rsid w:val="0045522B"/>
    <w:rsid w:val="004553A0"/>
    <w:rsid w:val="00455437"/>
    <w:rsid w:val="004556CD"/>
    <w:rsid w:val="004557E2"/>
    <w:rsid w:val="0045588F"/>
    <w:rsid w:val="004558F6"/>
    <w:rsid w:val="00455908"/>
    <w:rsid w:val="0045592F"/>
    <w:rsid w:val="00455975"/>
    <w:rsid w:val="00455AA4"/>
    <w:rsid w:val="00455AB3"/>
    <w:rsid w:val="00455C0A"/>
    <w:rsid w:val="00455D67"/>
    <w:rsid w:val="00455E81"/>
    <w:rsid w:val="0045606F"/>
    <w:rsid w:val="00456141"/>
    <w:rsid w:val="00456211"/>
    <w:rsid w:val="00456376"/>
    <w:rsid w:val="00456474"/>
    <w:rsid w:val="0045657B"/>
    <w:rsid w:val="00456680"/>
    <w:rsid w:val="00456727"/>
    <w:rsid w:val="00456739"/>
    <w:rsid w:val="004567D3"/>
    <w:rsid w:val="00456B6D"/>
    <w:rsid w:val="00456BF1"/>
    <w:rsid w:val="00456E34"/>
    <w:rsid w:val="00456FE2"/>
    <w:rsid w:val="00457007"/>
    <w:rsid w:val="004571D7"/>
    <w:rsid w:val="004571E1"/>
    <w:rsid w:val="0045728D"/>
    <w:rsid w:val="004572EB"/>
    <w:rsid w:val="00457467"/>
    <w:rsid w:val="00457482"/>
    <w:rsid w:val="00457691"/>
    <w:rsid w:val="00457751"/>
    <w:rsid w:val="004578AB"/>
    <w:rsid w:val="00457A1F"/>
    <w:rsid w:val="00457B27"/>
    <w:rsid w:val="00457B34"/>
    <w:rsid w:val="00457C07"/>
    <w:rsid w:val="00457CF4"/>
    <w:rsid w:val="00457F05"/>
    <w:rsid w:val="00457FF9"/>
    <w:rsid w:val="0046004D"/>
    <w:rsid w:val="004602E2"/>
    <w:rsid w:val="004602FB"/>
    <w:rsid w:val="00460359"/>
    <w:rsid w:val="00460462"/>
    <w:rsid w:val="00460620"/>
    <w:rsid w:val="0046064C"/>
    <w:rsid w:val="00460686"/>
    <w:rsid w:val="004606B6"/>
    <w:rsid w:val="004606D3"/>
    <w:rsid w:val="0046078A"/>
    <w:rsid w:val="004608A2"/>
    <w:rsid w:val="004609B0"/>
    <w:rsid w:val="004609B8"/>
    <w:rsid w:val="00460B6A"/>
    <w:rsid w:val="00460CAA"/>
    <w:rsid w:val="00460CB0"/>
    <w:rsid w:val="00460E63"/>
    <w:rsid w:val="00460EFF"/>
    <w:rsid w:val="00460F4E"/>
    <w:rsid w:val="00460F5A"/>
    <w:rsid w:val="00461071"/>
    <w:rsid w:val="00461168"/>
    <w:rsid w:val="004611AD"/>
    <w:rsid w:val="00461346"/>
    <w:rsid w:val="004614DF"/>
    <w:rsid w:val="00461996"/>
    <w:rsid w:val="00461A28"/>
    <w:rsid w:val="00461DC9"/>
    <w:rsid w:val="00461DEC"/>
    <w:rsid w:val="00461E10"/>
    <w:rsid w:val="00461E5F"/>
    <w:rsid w:val="00462109"/>
    <w:rsid w:val="0046219C"/>
    <w:rsid w:val="004621ED"/>
    <w:rsid w:val="0046222E"/>
    <w:rsid w:val="00462243"/>
    <w:rsid w:val="0046228F"/>
    <w:rsid w:val="00462332"/>
    <w:rsid w:val="0046243F"/>
    <w:rsid w:val="0046245E"/>
    <w:rsid w:val="0046248A"/>
    <w:rsid w:val="00462514"/>
    <w:rsid w:val="00462560"/>
    <w:rsid w:val="00462668"/>
    <w:rsid w:val="00462759"/>
    <w:rsid w:val="00462844"/>
    <w:rsid w:val="00462C43"/>
    <w:rsid w:val="00462CC6"/>
    <w:rsid w:val="00462D03"/>
    <w:rsid w:val="00462D0A"/>
    <w:rsid w:val="00462E3A"/>
    <w:rsid w:val="00463278"/>
    <w:rsid w:val="004633E2"/>
    <w:rsid w:val="004634AA"/>
    <w:rsid w:val="00463532"/>
    <w:rsid w:val="004635E0"/>
    <w:rsid w:val="00463646"/>
    <w:rsid w:val="004636E1"/>
    <w:rsid w:val="0046371D"/>
    <w:rsid w:val="0046371E"/>
    <w:rsid w:val="0046382E"/>
    <w:rsid w:val="00463AD6"/>
    <w:rsid w:val="00463B7C"/>
    <w:rsid w:val="00463C04"/>
    <w:rsid w:val="00463E06"/>
    <w:rsid w:val="00463E66"/>
    <w:rsid w:val="00463EAD"/>
    <w:rsid w:val="00463FA9"/>
    <w:rsid w:val="00463FF7"/>
    <w:rsid w:val="00464208"/>
    <w:rsid w:val="00464291"/>
    <w:rsid w:val="00464452"/>
    <w:rsid w:val="00464527"/>
    <w:rsid w:val="00464550"/>
    <w:rsid w:val="0046461F"/>
    <w:rsid w:val="004647FE"/>
    <w:rsid w:val="00464817"/>
    <w:rsid w:val="0046482F"/>
    <w:rsid w:val="00464937"/>
    <w:rsid w:val="00464A9C"/>
    <w:rsid w:val="00464AB2"/>
    <w:rsid w:val="00464B47"/>
    <w:rsid w:val="00464B93"/>
    <w:rsid w:val="00464CC6"/>
    <w:rsid w:val="00464DD6"/>
    <w:rsid w:val="004650E5"/>
    <w:rsid w:val="0046510A"/>
    <w:rsid w:val="004656B8"/>
    <w:rsid w:val="004657B5"/>
    <w:rsid w:val="00465C7A"/>
    <w:rsid w:val="00465C88"/>
    <w:rsid w:val="00465D85"/>
    <w:rsid w:val="00465F03"/>
    <w:rsid w:val="00465F69"/>
    <w:rsid w:val="00465FAC"/>
    <w:rsid w:val="0046608A"/>
    <w:rsid w:val="0046609A"/>
    <w:rsid w:val="004661F0"/>
    <w:rsid w:val="0046635C"/>
    <w:rsid w:val="0046646D"/>
    <w:rsid w:val="004664A6"/>
    <w:rsid w:val="0046655F"/>
    <w:rsid w:val="00466749"/>
    <w:rsid w:val="004669A9"/>
    <w:rsid w:val="004669D8"/>
    <w:rsid w:val="00466A5F"/>
    <w:rsid w:val="00466A7F"/>
    <w:rsid w:val="00466AB9"/>
    <w:rsid w:val="00466B1C"/>
    <w:rsid w:val="00466B6B"/>
    <w:rsid w:val="00466DAB"/>
    <w:rsid w:val="004670B4"/>
    <w:rsid w:val="00467101"/>
    <w:rsid w:val="00467285"/>
    <w:rsid w:val="004672F4"/>
    <w:rsid w:val="0046735B"/>
    <w:rsid w:val="0046745F"/>
    <w:rsid w:val="00467483"/>
    <w:rsid w:val="0046754F"/>
    <w:rsid w:val="0046755C"/>
    <w:rsid w:val="00467584"/>
    <w:rsid w:val="00467630"/>
    <w:rsid w:val="00467667"/>
    <w:rsid w:val="004676F4"/>
    <w:rsid w:val="00467701"/>
    <w:rsid w:val="00467882"/>
    <w:rsid w:val="00467942"/>
    <w:rsid w:val="004679AF"/>
    <w:rsid w:val="00467A83"/>
    <w:rsid w:val="00467AE1"/>
    <w:rsid w:val="00467C59"/>
    <w:rsid w:val="00467E4E"/>
    <w:rsid w:val="00467E53"/>
    <w:rsid w:val="00467E90"/>
    <w:rsid w:val="00467FED"/>
    <w:rsid w:val="0047007C"/>
    <w:rsid w:val="00470110"/>
    <w:rsid w:val="0047014F"/>
    <w:rsid w:val="00470208"/>
    <w:rsid w:val="004702E1"/>
    <w:rsid w:val="0047056D"/>
    <w:rsid w:val="00470820"/>
    <w:rsid w:val="004708A9"/>
    <w:rsid w:val="0047098D"/>
    <w:rsid w:val="004709C0"/>
    <w:rsid w:val="00470A39"/>
    <w:rsid w:val="00470C7D"/>
    <w:rsid w:val="00470CB0"/>
    <w:rsid w:val="00470CFF"/>
    <w:rsid w:val="00470D2C"/>
    <w:rsid w:val="00470DCD"/>
    <w:rsid w:val="00470E00"/>
    <w:rsid w:val="00470E35"/>
    <w:rsid w:val="00470FB6"/>
    <w:rsid w:val="00470FE9"/>
    <w:rsid w:val="004710B6"/>
    <w:rsid w:val="004710F3"/>
    <w:rsid w:val="00471157"/>
    <w:rsid w:val="004711A0"/>
    <w:rsid w:val="00471231"/>
    <w:rsid w:val="004719FC"/>
    <w:rsid w:val="00471BB9"/>
    <w:rsid w:val="00471E00"/>
    <w:rsid w:val="00471E21"/>
    <w:rsid w:val="00471EB8"/>
    <w:rsid w:val="004722B7"/>
    <w:rsid w:val="00472330"/>
    <w:rsid w:val="004723FC"/>
    <w:rsid w:val="00472490"/>
    <w:rsid w:val="004724CD"/>
    <w:rsid w:val="004724E0"/>
    <w:rsid w:val="0047258C"/>
    <w:rsid w:val="004725B1"/>
    <w:rsid w:val="00472733"/>
    <w:rsid w:val="004728ED"/>
    <w:rsid w:val="004729DD"/>
    <w:rsid w:val="00472B5C"/>
    <w:rsid w:val="00472C77"/>
    <w:rsid w:val="00472CB8"/>
    <w:rsid w:val="00472E72"/>
    <w:rsid w:val="00472E8E"/>
    <w:rsid w:val="00472F9F"/>
    <w:rsid w:val="00472FB8"/>
    <w:rsid w:val="00472FD3"/>
    <w:rsid w:val="004733D7"/>
    <w:rsid w:val="004735F1"/>
    <w:rsid w:val="0047372F"/>
    <w:rsid w:val="0047384E"/>
    <w:rsid w:val="004738A5"/>
    <w:rsid w:val="004738DB"/>
    <w:rsid w:val="00473A03"/>
    <w:rsid w:val="00473C19"/>
    <w:rsid w:val="00473E88"/>
    <w:rsid w:val="00473EDD"/>
    <w:rsid w:val="00473F78"/>
    <w:rsid w:val="00474009"/>
    <w:rsid w:val="00474363"/>
    <w:rsid w:val="0047446A"/>
    <w:rsid w:val="00474499"/>
    <w:rsid w:val="00474527"/>
    <w:rsid w:val="00474546"/>
    <w:rsid w:val="004745ED"/>
    <w:rsid w:val="0047476C"/>
    <w:rsid w:val="0047480E"/>
    <w:rsid w:val="0047487E"/>
    <w:rsid w:val="0047490A"/>
    <w:rsid w:val="00474A37"/>
    <w:rsid w:val="00474B08"/>
    <w:rsid w:val="00474BDB"/>
    <w:rsid w:val="00474C06"/>
    <w:rsid w:val="00474C86"/>
    <w:rsid w:val="00474E2E"/>
    <w:rsid w:val="00474E65"/>
    <w:rsid w:val="00474E7E"/>
    <w:rsid w:val="00475168"/>
    <w:rsid w:val="004751F6"/>
    <w:rsid w:val="0047523B"/>
    <w:rsid w:val="004752E1"/>
    <w:rsid w:val="004752E5"/>
    <w:rsid w:val="00475389"/>
    <w:rsid w:val="0047548D"/>
    <w:rsid w:val="004754AD"/>
    <w:rsid w:val="004754ED"/>
    <w:rsid w:val="004755DA"/>
    <w:rsid w:val="00475643"/>
    <w:rsid w:val="004756F8"/>
    <w:rsid w:val="00475816"/>
    <w:rsid w:val="0047583C"/>
    <w:rsid w:val="0047590E"/>
    <w:rsid w:val="00475912"/>
    <w:rsid w:val="004759B2"/>
    <w:rsid w:val="00475C11"/>
    <w:rsid w:val="00475EA3"/>
    <w:rsid w:val="00475F4A"/>
    <w:rsid w:val="00476046"/>
    <w:rsid w:val="004760D8"/>
    <w:rsid w:val="00476454"/>
    <w:rsid w:val="00476529"/>
    <w:rsid w:val="0047657A"/>
    <w:rsid w:val="0047661C"/>
    <w:rsid w:val="00476923"/>
    <w:rsid w:val="0047698D"/>
    <w:rsid w:val="00476AA0"/>
    <w:rsid w:val="00476B27"/>
    <w:rsid w:val="00476BAA"/>
    <w:rsid w:val="00476C85"/>
    <w:rsid w:val="00476D24"/>
    <w:rsid w:val="00476E05"/>
    <w:rsid w:val="004771A1"/>
    <w:rsid w:val="0047720B"/>
    <w:rsid w:val="0047724F"/>
    <w:rsid w:val="00477380"/>
    <w:rsid w:val="004773CD"/>
    <w:rsid w:val="004773E6"/>
    <w:rsid w:val="0047748B"/>
    <w:rsid w:val="0047755D"/>
    <w:rsid w:val="00477617"/>
    <w:rsid w:val="00477BDC"/>
    <w:rsid w:val="00477D80"/>
    <w:rsid w:val="00477DA9"/>
    <w:rsid w:val="00477F28"/>
    <w:rsid w:val="004800DD"/>
    <w:rsid w:val="004801A6"/>
    <w:rsid w:val="004802A0"/>
    <w:rsid w:val="00480302"/>
    <w:rsid w:val="0048039D"/>
    <w:rsid w:val="00480423"/>
    <w:rsid w:val="004804B6"/>
    <w:rsid w:val="004804B8"/>
    <w:rsid w:val="004805A3"/>
    <w:rsid w:val="004805CD"/>
    <w:rsid w:val="004805F9"/>
    <w:rsid w:val="00480618"/>
    <w:rsid w:val="0048065F"/>
    <w:rsid w:val="0048067C"/>
    <w:rsid w:val="004806A5"/>
    <w:rsid w:val="004806D8"/>
    <w:rsid w:val="00480841"/>
    <w:rsid w:val="0048087F"/>
    <w:rsid w:val="004808F1"/>
    <w:rsid w:val="00480962"/>
    <w:rsid w:val="00480973"/>
    <w:rsid w:val="00480C9B"/>
    <w:rsid w:val="00480D97"/>
    <w:rsid w:val="00480DE5"/>
    <w:rsid w:val="00480FDD"/>
    <w:rsid w:val="00481229"/>
    <w:rsid w:val="00481539"/>
    <w:rsid w:val="004818D5"/>
    <w:rsid w:val="0048192B"/>
    <w:rsid w:val="00481A01"/>
    <w:rsid w:val="00481B0A"/>
    <w:rsid w:val="00481B5E"/>
    <w:rsid w:val="00481BF6"/>
    <w:rsid w:val="00481F12"/>
    <w:rsid w:val="004822A0"/>
    <w:rsid w:val="004822A2"/>
    <w:rsid w:val="004822E0"/>
    <w:rsid w:val="004824D7"/>
    <w:rsid w:val="004825C4"/>
    <w:rsid w:val="004825DC"/>
    <w:rsid w:val="00482778"/>
    <w:rsid w:val="0048291B"/>
    <w:rsid w:val="004829E1"/>
    <w:rsid w:val="00482A7B"/>
    <w:rsid w:val="00482BEB"/>
    <w:rsid w:val="00482D68"/>
    <w:rsid w:val="00482F50"/>
    <w:rsid w:val="0048303A"/>
    <w:rsid w:val="00483169"/>
    <w:rsid w:val="004832EC"/>
    <w:rsid w:val="004833C0"/>
    <w:rsid w:val="00483801"/>
    <w:rsid w:val="00483916"/>
    <w:rsid w:val="00483978"/>
    <w:rsid w:val="00483A17"/>
    <w:rsid w:val="00483A75"/>
    <w:rsid w:val="00483B1B"/>
    <w:rsid w:val="00483BA7"/>
    <w:rsid w:val="00483BEB"/>
    <w:rsid w:val="00483D60"/>
    <w:rsid w:val="004842D6"/>
    <w:rsid w:val="004843C8"/>
    <w:rsid w:val="004844BE"/>
    <w:rsid w:val="00484539"/>
    <w:rsid w:val="00484721"/>
    <w:rsid w:val="004847DB"/>
    <w:rsid w:val="00484833"/>
    <w:rsid w:val="00484A2A"/>
    <w:rsid w:val="00484C77"/>
    <w:rsid w:val="00484CAF"/>
    <w:rsid w:val="00484D02"/>
    <w:rsid w:val="00484DB8"/>
    <w:rsid w:val="0048504E"/>
    <w:rsid w:val="004859CA"/>
    <w:rsid w:val="00485A7C"/>
    <w:rsid w:val="00485B20"/>
    <w:rsid w:val="00485BAA"/>
    <w:rsid w:val="00485D96"/>
    <w:rsid w:val="0048605B"/>
    <w:rsid w:val="00486083"/>
    <w:rsid w:val="004861F5"/>
    <w:rsid w:val="0048622F"/>
    <w:rsid w:val="0048630C"/>
    <w:rsid w:val="0048636A"/>
    <w:rsid w:val="00486D2E"/>
    <w:rsid w:val="00486D83"/>
    <w:rsid w:val="00486D8C"/>
    <w:rsid w:val="00486E0B"/>
    <w:rsid w:val="00486E26"/>
    <w:rsid w:val="00486E97"/>
    <w:rsid w:val="00486EBC"/>
    <w:rsid w:val="00486F29"/>
    <w:rsid w:val="004871BE"/>
    <w:rsid w:val="004873D6"/>
    <w:rsid w:val="004875ED"/>
    <w:rsid w:val="00487699"/>
    <w:rsid w:val="00487B35"/>
    <w:rsid w:val="00487BAF"/>
    <w:rsid w:val="00487DC4"/>
    <w:rsid w:val="004900D9"/>
    <w:rsid w:val="004901C9"/>
    <w:rsid w:val="004902EE"/>
    <w:rsid w:val="00490339"/>
    <w:rsid w:val="00490561"/>
    <w:rsid w:val="0049064A"/>
    <w:rsid w:val="004906B9"/>
    <w:rsid w:val="004908A4"/>
    <w:rsid w:val="00490989"/>
    <w:rsid w:val="00490B47"/>
    <w:rsid w:val="00490CD2"/>
    <w:rsid w:val="00490DAE"/>
    <w:rsid w:val="00491019"/>
    <w:rsid w:val="00491039"/>
    <w:rsid w:val="004911CD"/>
    <w:rsid w:val="004913EC"/>
    <w:rsid w:val="0049180D"/>
    <w:rsid w:val="004918CE"/>
    <w:rsid w:val="004919D0"/>
    <w:rsid w:val="00491B27"/>
    <w:rsid w:val="00491BD7"/>
    <w:rsid w:val="00491C21"/>
    <w:rsid w:val="00491C3F"/>
    <w:rsid w:val="00491C44"/>
    <w:rsid w:val="00491D2E"/>
    <w:rsid w:val="00491D7E"/>
    <w:rsid w:val="00491E24"/>
    <w:rsid w:val="00491EAA"/>
    <w:rsid w:val="00491F15"/>
    <w:rsid w:val="00491FC4"/>
    <w:rsid w:val="00491FE1"/>
    <w:rsid w:val="00492335"/>
    <w:rsid w:val="00492388"/>
    <w:rsid w:val="0049248A"/>
    <w:rsid w:val="004924D1"/>
    <w:rsid w:val="0049258A"/>
    <w:rsid w:val="004927C9"/>
    <w:rsid w:val="0049287F"/>
    <w:rsid w:val="00492885"/>
    <w:rsid w:val="004928FE"/>
    <w:rsid w:val="00492ED1"/>
    <w:rsid w:val="00492F0A"/>
    <w:rsid w:val="00493098"/>
    <w:rsid w:val="00493139"/>
    <w:rsid w:val="004932BC"/>
    <w:rsid w:val="0049344F"/>
    <w:rsid w:val="004934B6"/>
    <w:rsid w:val="004935D8"/>
    <w:rsid w:val="0049371A"/>
    <w:rsid w:val="0049375D"/>
    <w:rsid w:val="0049386A"/>
    <w:rsid w:val="0049389F"/>
    <w:rsid w:val="00493998"/>
    <w:rsid w:val="00493B3C"/>
    <w:rsid w:val="00493CD4"/>
    <w:rsid w:val="00493DCA"/>
    <w:rsid w:val="00493E5E"/>
    <w:rsid w:val="00494097"/>
    <w:rsid w:val="0049425E"/>
    <w:rsid w:val="00494334"/>
    <w:rsid w:val="004944E0"/>
    <w:rsid w:val="0049465A"/>
    <w:rsid w:val="004946F3"/>
    <w:rsid w:val="00494702"/>
    <w:rsid w:val="00494887"/>
    <w:rsid w:val="00494A1A"/>
    <w:rsid w:val="00494A78"/>
    <w:rsid w:val="00494DC4"/>
    <w:rsid w:val="00494DE1"/>
    <w:rsid w:val="00494E1C"/>
    <w:rsid w:val="00494E3C"/>
    <w:rsid w:val="00494E62"/>
    <w:rsid w:val="0049500E"/>
    <w:rsid w:val="004951B3"/>
    <w:rsid w:val="004953F4"/>
    <w:rsid w:val="00495429"/>
    <w:rsid w:val="00495666"/>
    <w:rsid w:val="0049575C"/>
    <w:rsid w:val="00495906"/>
    <w:rsid w:val="00495AF9"/>
    <w:rsid w:val="00495C7A"/>
    <w:rsid w:val="00495E17"/>
    <w:rsid w:val="00495EC5"/>
    <w:rsid w:val="00495FE0"/>
    <w:rsid w:val="0049611F"/>
    <w:rsid w:val="0049620D"/>
    <w:rsid w:val="0049637D"/>
    <w:rsid w:val="00496515"/>
    <w:rsid w:val="004965B8"/>
    <w:rsid w:val="00496691"/>
    <w:rsid w:val="00496991"/>
    <w:rsid w:val="00496C6B"/>
    <w:rsid w:val="00496EEB"/>
    <w:rsid w:val="00497055"/>
    <w:rsid w:val="004970E5"/>
    <w:rsid w:val="004970F1"/>
    <w:rsid w:val="004971E9"/>
    <w:rsid w:val="0049729B"/>
    <w:rsid w:val="004972C3"/>
    <w:rsid w:val="004974EA"/>
    <w:rsid w:val="004975B7"/>
    <w:rsid w:val="0049775D"/>
    <w:rsid w:val="004977F3"/>
    <w:rsid w:val="00497856"/>
    <w:rsid w:val="0049793F"/>
    <w:rsid w:val="00497958"/>
    <w:rsid w:val="004979E3"/>
    <w:rsid w:val="00497ABE"/>
    <w:rsid w:val="00497C02"/>
    <w:rsid w:val="00497D0A"/>
    <w:rsid w:val="00497E87"/>
    <w:rsid w:val="00497F58"/>
    <w:rsid w:val="0049A014"/>
    <w:rsid w:val="004A03FF"/>
    <w:rsid w:val="004A0405"/>
    <w:rsid w:val="004A0583"/>
    <w:rsid w:val="004A0621"/>
    <w:rsid w:val="004A091D"/>
    <w:rsid w:val="004A0A02"/>
    <w:rsid w:val="004A0B7E"/>
    <w:rsid w:val="004A0DBF"/>
    <w:rsid w:val="004A1000"/>
    <w:rsid w:val="004A1022"/>
    <w:rsid w:val="004A1028"/>
    <w:rsid w:val="004A10DD"/>
    <w:rsid w:val="004A13B2"/>
    <w:rsid w:val="004A13CE"/>
    <w:rsid w:val="004A13DF"/>
    <w:rsid w:val="004A1495"/>
    <w:rsid w:val="004A15DA"/>
    <w:rsid w:val="004A15F2"/>
    <w:rsid w:val="004A176B"/>
    <w:rsid w:val="004A1833"/>
    <w:rsid w:val="004A186B"/>
    <w:rsid w:val="004A1886"/>
    <w:rsid w:val="004A1977"/>
    <w:rsid w:val="004A198B"/>
    <w:rsid w:val="004A19DB"/>
    <w:rsid w:val="004A1B2B"/>
    <w:rsid w:val="004A1C55"/>
    <w:rsid w:val="004A1DA3"/>
    <w:rsid w:val="004A21C2"/>
    <w:rsid w:val="004A22F6"/>
    <w:rsid w:val="004A23D8"/>
    <w:rsid w:val="004A25DB"/>
    <w:rsid w:val="004A263F"/>
    <w:rsid w:val="004A294A"/>
    <w:rsid w:val="004A29AE"/>
    <w:rsid w:val="004A2AA1"/>
    <w:rsid w:val="004A2B1D"/>
    <w:rsid w:val="004A2B2B"/>
    <w:rsid w:val="004A2B48"/>
    <w:rsid w:val="004A2B85"/>
    <w:rsid w:val="004A2C23"/>
    <w:rsid w:val="004A2CA4"/>
    <w:rsid w:val="004A2D14"/>
    <w:rsid w:val="004A2D5F"/>
    <w:rsid w:val="004A2DAA"/>
    <w:rsid w:val="004A2E1D"/>
    <w:rsid w:val="004A2E32"/>
    <w:rsid w:val="004A2EA1"/>
    <w:rsid w:val="004A2EAF"/>
    <w:rsid w:val="004A312E"/>
    <w:rsid w:val="004A3130"/>
    <w:rsid w:val="004A31FD"/>
    <w:rsid w:val="004A3299"/>
    <w:rsid w:val="004A33FC"/>
    <w:rsid w:val="004A3464"/>
    <w:rsid w:val="004A3597"/>
    <w:rsid w:val="004A35B2"/>
    <w:rsid w:val="004A363C"/>
    <w:rsid w:val="004A36BA"/>
    <w:rsid w:val="004A38A6"/>
    <w:rsid w:val="004A3921"/>
    <w:rsid w:val="004A3AFE"/>
    <w:rsid w:val="004A3B44"/>
    <w:rsid w:val="004A3B7C"/>
    <w:rsid w:val="004A3BCB"/>
    <w:rsid w:val="004A3F59"/>
    <w:rsid w:val="004A3F5E"/>
    <w:rsid w:val="004A412A"/>
    <w:rsid w:val="004A419D"/>
    <w:rsid w:val="004A4876"/>
    <w:rsid w:val="004A48DE"/>
    <w:rsid w:val="004A4B2E"/>
    <w:rsid w:val="004A4B7B"/>
    <w:rsid w:val="004A4BF9"/>
    <w:rsid w:val="004A4E5A"/>
    <w:rsid w:val="004A4E76"/>
    <w:rsid w:val="004A4F3E"/>
    <w:rsid w:val="004A4F6F"/>
    <w:rsid w:val="004A5469"/>
    <w:rsid w:val="004A55DF"/>
    <w:rsid w:val="004A55FD"/>
    <w:rsid w:val="004A56AB"/>
    <w:rsid w:val="004A56C8"/>
    <w:rsid w:val="004A5722"/>
    <w:rsid w:val="004A58E1"/>
    <w:rsid w:val="004A5BC6"/>
    <w:rsid w:val="004A5BF4"/>
    <w:rsid w:val="004A5E04"/>
    <w:rsid w:val="004A5E72"/>
    <w:rsid w:val="004A5FB9"/>
    <w:rsid w:val="004A6012"/>
    <w:rsid w:val="004A6051"/>
    <w:rsid w:val="004A614F"/>
    <w:rsid w:val="004A6353"/>
    <w:rsid w:val="004A683E"/>
    <w:rsid w:val="004A68D9"/>
    <w:rsid w:val="004A6905"/>
    <w:rsid w:val="004A6A0E"/>
    <w:rsid w:val="004A6B78"/>
    <w:rsid w:val="004A6C92"/>
    <w:rsid w:val="004A6DC9"/>
    <w:rsid w:val="004A6E91"/>
    <w:rsid w:val="004A6EE8"/>
    <w:rsid w:val="004A7212"/>
    <w:rsid w:val="004A723D"/>
    <w:rsid w:val="004A7375"/>
    <w:rsid w:val="004A738C"/>
    <w:rsid w:val="004A73BC"/>
    <w:rsid w:val="004A73F1"/>
    <w:rsid w:val="004A74A2"/>
    <w:rsid w:val="004A74D6"/>
    <w:rsid w:val="004A778C"/>
    <w:rsid w:val="004A7902"/>
    <w:rsid w:val="004A7F11"/>
    <w:rsid w:val="004A7F76"/>
    <w:rsid w:val="004B011A"/>
    <w:rsid w:val="004B012F"/>
    <w:rsid w:val="004B0577"/>
    <w:rsid w:val="004B05BC"/>
    <w:rsid w:val="004B05CA"/>
    <w:rsid w:val="004B065A"/>
    <w:rsid w:val="004B0724"/>
    <w:rsid w:val="004B0976"/>
    <w:rsid w:val="004B0B21"/>
    <w:rsid w:val="004B0B38"/>
    <w:rsid w:val="004B0BCF"/>
    <w:rsid w:val="004B0C3F"/>
    <w:rsid w:val="004B0D9A"/>
    <w:rsid w:val="004B0F52"/>
    <w:rsid w:val="004B104A"/>
    <w:rsid w:val="004B1329"/>
    <w:rsid w:val="004B1353"/>
    <w:rsid w:val="004B1437"/>
    <w:rsid w:val="004B1519"/>
    <w:rsid w:val="004B16D0"/>
    <w:rsid w:val="004B16F0"/>
    <w:rsid w:val="004B178D"/>
    <w:rsid w:val="004B17F0"/>
    <w:rsid w:val="004B1925"/>
    <w:rsid w:val="004B1945"/>
    <w:rsid w:val="004B19C3"/>
    <w:rsid w:val="004B1A39"/>
    <w:rsid w:val="004B1C18"/>
    <w:rsid w:val="004B1C97"/>
    <w:rsid w:val="004B208C"/>
    <w:rsid w:val="004B20DC"/>
    <w:rsid w:val="004B22A5"/>
    <w:rsid w:val="004B2343"/>
    <w:rsid w:val="004B2383"/>
    <w:rsid w:val="004B2789"/>
    <w:rsid w:val="004B29C0"/>
    <w:rsid w:val="004B2A76"/>
    <w:rsid w:val="004B2C92"/>
    <w:rsid w:val="004B2D3E"/>
    <w:rsid w:val="004B2F43"/>
    <w:rsid w:val="004B30F0"/>
    <w:rsid w:val="004B31A3"/>
    <w:rsid w:val="004B31D8"/>
    <w:rsid w:val="004B32AB"/>
    <w:rsid w:val="004B32B3"/>
    <w:rsid w:val="004B32F9"/>
    <w:rsid w:val="004B331F"/>
    <w:rsid w:val="004B3337"/>
    <w:rsid w:val="004B3405"/>
    <w:rsid w:val="004B340A"/>
    <w:rsid w:val="004B36C6"/>
    <w:rsid w:val="004B36FD"/>
    <w:rsid w:val="004B3754"/>
    <w:rsid w:val="004B3891"/>
    <w:rsid w:val="004B3933"/>
    <w:rsid w:val="004B3A39"/>
    <w:rsid w:val="004B3C89"/>
    <w:rsid w:val="004B3D8E"/>
    <w:rsid w:val="004B3DBA"/>
    <w:rsid w:val="004B3DBE"/>
    <w:rsid w:val="004B3ED8"/>
    <w:rsid w:val="004B3F6A"/>
    <w:rsid w:val="004B3FE9"/>
    <w:rsid w:val="004B405C"/>
    <w:rsid w:val="004B40A5"/>
    <w:rsid w:val="004B40CD"/>
    <w:rsid w:val="004B4167"/>
    <w:rsid w:val="004B4450"/>
    <w:rsid w:val="004B45B7"/>
    <w:rsid w:val="004B46A1"/>
    <w:rsid w:val="004B47E7"/>
    <w:rsid w:val="004B4801"/>
    <w:rsid w:val="004B481D"/>
    <w:rsid w:val="004B489B"/>
    <w:rsid w:val="004B48DB"/>
    <w:rsid w:val="004B49BA"/>
    <w:rsid w:val="004B4A31"/>
    <w:rsid w:val="004B4B8A"/>
    <w:rsid w:val="004B4C84"/>
    <w:rsid w:val="004B4DBA"/>
    <w:rsid w:val="004B4F05"/>
    <w:rsid w:val="004B4FB0"/>
    <w:rsid w:val="004B5413"/>
    <w:rsid w:val="004B5483"/>
    <w:rsid w:val="004B5693"/>
    <w:rsid w:val="004B57F8"/>
    <w:rsid w:val="004B5840"/>
    <w:rsid w:val="004B58AB"/>
    <w:rsid w:val="004B59DC"/>
    <w:rsid w:val="004B5B33"/>
    <w:rsid w:val="004B5B8D"/>
    <w:rsid w:val="004B5C54"/>
    <w:rsid w:val="004B5C64"/>
    <w:rsid w:val="004B5C7A"/>
    <w:rsid w:val="004B5DA6"/>
    <w:rsid w:val="004B5E98"/>
    <w:rsid w:val="004B5F4A"/>
    <w:rsid w:val="004B5FB1"/>
    <w:rsid w:val="004B607D"/>
    <w:rsid w:val="004B6436"/>
    <w:rsid w:val="004B64C8"/>
    <w:rsid w:val="004B64DC"/>
    <w:rsid w:val="004B6900"/>
    <w:rsid w:val="004B69DD"/>
    <w:rsid w:val="004B6C6A"/>
    <w:rsid w:val="004B6C71"/>
    <w:rsid w:val="004B6DD6"/>
    <w:rsid w:val="004B6ECC"/>
    <w:rsid w:val="004B6EFA"/>
    <w:rsid w:val="004B6F6F"/>
    <w:rsid w:val="004B719C"/>
    <w:rsid w:val="004B729E"/>
    <w:rsid w:val="004B79CA"/>
    <w:rsid w:val="004B7A67"/>
    <w:rsid w:val="004B7ADB"/>
    <w:rsid w:val="004B7B07"/>
    <w:rsid w:val="004B7B37"/>
    <w:rsid w:val="004B7C28"/>
    <w:rsid w:val="004B7CC1"/>
    <w:rsid w:val="004B7E49"/>
    <w:rsid w:val="004B7E62"/>
    <w:rsid w:val="004B7EBB"/>
    <w:rsid w:val="004B7F36"/>
    <w:rsid w:val="004B7F6D"/>
    <w:rsid w:val="004B7F74"/>
    <w:rsid w:val="004C0232"/>
    <w:rsid w:val="004C03FA"/>
    <w:rsid w:val="004C04E8"/>
    <w:rsid w:val="004C0584"/>
    <w:rsid w:val="004C0609"/>
    <w:rsid w:val="004C060D"/>
    <w:rsid w:val="004C07D6"/>
    <w:rsid w:val="004C099E"/>
    <w:rsid w:val="004C09D5"/>
    <w:rsid w:val="004C0A22"/>
    <w:rsid w:val="004C0D38"/>
    <w:rsid w:val="004C0E95"/>
    <w:rsid w:val="004C0ED4"/>
    <w:rsid w:val="004C0F4F"/>
    <w:rsid w:val="004C10D2"/>
    <w:rsid w:val="004C10FA"/>
    <w:rsid w:val="004C1373"/>
    <w:rsid w:val="004C13B0"/>
    <w:rsid w:val="004C1493"/>
    <w:rsid w:val="004C14F5"/>
    <w:rsid w:val="004C15CF"/>
    <w:rsid w:val="004C15E5"/>
    <w:rsid w:val="004C1744"/>
    <w:rsid w:val="004C1785"/>
    <w:rsid w:val="004C1BB0"/>
    <w:rsid w:val="004C1C92"/>
    <w:rsid w:val="004C1ED6"/>
    <w:rsid w:val="004C20C2"/>
    <w:rsid w:val="004C2115"/>
    <w:rsid w:val="004C211B"/>
    <w:rsid w:val="004C2148"/>
    <w:rsid w:val="004C255D"/>
    <w:rsid w:val="004C26E9"/>
    <w:rsid w:val="004C273D"/>
    <w:rsid w:val="004C2773"/>
    <w:rsid w:val="004C2884"/>
    <w:rsid w:val="004C29B5"/>
    <w:rsid w:val="004C2AED"/>
    <w:rsid w:val="004C2C58"/>
    <w:rsid w:val="004C2CF2"/>
    <w:rsid w:val="004C2FBB"/>
    <w:rsid w:val="004C3178"/>
    <w:rsid w:val="004C3338"/>
    <w:rsid w:val="004C34F4"/>
    <w:rsid w:val="004C3615"/>
    <w:rsid w:val="004C36B5"/>
    <w:rsid w:val="004C36DC"/>
    <w:rsid w:val="004C3830"/>
    <w:rsid w:val="004C39DC"/>
    <w:rsid w:val="004C3A94"/>
    <w:rsid w:val="004C3AB7"/>
    <w:rsid w:val="004C3C48"/>
    <w:rsid w:val="004C3CE6"/>
    <w:rsid w:val="004C3DED"/>
    <w:rsid w:val="004C3EE4"/>
    <w:rsid w:val="004C4035"/>
    <w:rsid w:val="004C41F4"/>
    <w:rsid w:val="004C4244"/>
    <w:rsid w:val="004C4596"/>
    <w:rsid w:val="004C4626"/>
    <w:rsid w:val="004C4639"/>
    <w:rsid w:val="004C4844"/>
    <w:rsid w:val="004C489A"/>
    <w:rsid w:val="004C494B"/>
    <w:rsid w:val="004C4B82"/>
    <w:rsid w:val="004C4B91"/>
    <w:rsid w:val="004C4C2D"/>
    <w:rsid w:val="004C4DD1"/>
    <w:rsid w:val="004C4E7C"/>
    <w:rsid w:val="004C4F0E"/>
    <w:rsid w:val="004C4F0F"/>
    <w:rsid w:val="004C4F52"/>
    <w:rsid w:val="004C4FF8"/>
    <w:rsid w:val="004C501B"/>
    <w:rsid w:val="004C5269"/>
    <w:rsid w:val="004C543A"/>
    <w:rsid w:val="004C54D1"/>
    <w:rsid w:val="004C5610"/>
    <w:rsid w:val="004C56F8"/>
    <w:rsid w:val="004C579D"/>
    <w:rsid w:val="004C5815"/>
    <w:rsid w:val="004C58A8"/>
    <w:rsid w:val="004C58DA"/>
    <w:rsid w:val="004C5C01"/>
    <w:rsid w:val="004C5E43"/>
    <w:rsid w:val="004C5F17"/>
    <w:rsid w:val="004C5FB6"/>
    <w:rsid w:val="004C61B2"/>
    <w:rsid w:val="004C61BB"/>
    <w:rsid w:val="004C6427"/>
    <w:rsid w:val="004C6511"/>
    <w:rsid w:val="004C6550"/>
    <w:rsid w:val="004C6828"/>
    <w:rsid w:val="004C6984"/>
    <w:rsid w:val="004C6A4A"/>
    <w:rsid w:val="004C6AEB"/>
    <w:rsid w:val="004C6E38"/>
    <w:rsid w:val="004C7118"/>
    <w:rsid w:val="004C7169"/>
    <w:rsid w:val="004C73DD"/>
    <w:rsid w:val="004C76EB"/>
    <w:rsid w:val="004C78CE"/>
    <w:rsid w:val="004C78DC"/>
    <w:rsid w:val="004C7974"/>
    <w:rsid w:val="004C7AAC"/>
    <w:rsid w:val="004C7ABC"/>
    <w:rsid w:val="004C7AD1"/>
    <w:rsid w:val="004C7B7C"/>
    <w:rsid w:val="004C7C8D"/>
    <w:rsid w:val="004C7CBA"/>
    <w:rsid w:val="004C7E0C"/>
    <w:rsid w:val="004C7E3A"/>
    <w:rsid w:val="004C7F2F"/>
    <w:rsid w:val="004C7FBB"/>
    <w:rsid w:val="004D00C3"/>
    <w:rsid w:val="004D00CA"/>
    <w:rsid w:val="004D0183"/>
    <w:rsid w:val="004D0287"/>
    <w:rsid w:val="004D03D7"/>
    <w:rsid w:val="004D06DA"/>
    <w:rsid w:val="004D082A"/>
    <w:rsid w:val="004D08D2"/>
    <w:rsid w:val="004D0932"/>
    <w:rsid w:val="004D0B3E"/>
    <w:rsid w:val="004D0DAF"/>
    <w:rsid w:val="004D0F5C"/>
    <w:rsid w:val="004D0FA7"/>
    <w:rsid w:val="004D119D"/>
    <w:rsid w:val="004D11E4"/>
    <w:rsid w:val="004D12BD"/>
    <w:rsid w:val="004D13C3"/>
    <w:rsid w:val="004D145C"/>
    <w:rsid w:val="004D174C"/>
    <w:rsid w:val="004D1799"/>
    <w:rsid w:val="004D17C8"/>
    <w:rsid w:val="004D1835"/>
    <w:rsid w:val="004D192F"/>
    <w:rsid w:val="004D1B9D"/>
    <w:rsid w:val="004D1BA7"/>
    <w:rsid w:val="004D1BEF"/>
    <w:rsid w:val="004D1D06"/>
    <w:rsid w:val="004D1E33"/>
    <w:rsid w:val="004D1F3F"/>
    <w:rsid w:val="004D2032"/>
    <w:rsid w:val="004D2210"/>
    <w:rsid w:val="004D2307"/>
    <w:rsid w:val="004D23F3"/>
    <w:rsid w:val="004D24B7"/>
    <w:rsid w:val="004D2594"/>
    <w:rsid w:val="004D260C"/>
    <w:rsid w:val="004D27CF"/>
    <w:rsid w:val="004D282C"/>
    <w:rsid w:val="004D294E"/>
    <w:rsid w:val="004D2A23"/>
    <w:rsid w:val="004D2A60"/>
    <w:rsid w:val="004D2C4E"/>
    <w:rsid w:val="004D2D07"/>
    <w:rsid w:val="004D2D2B"/>
    <w:rsid w:val="004D2D50"/>
    <w:rsid w:val="004D2F23"/>
    <w:rsid w:val="004D2F77"/>
    <w:rsid w:val="004D300D"/>
    <w:rsid w:val="004D3048"/>
    <w:rsid w:val="004D3081"/>
    <w:rsid w:val="004D30ED"/>
    <w:rsid w:val="004D317D"/>
    <w:rsid w:val="004D3197"/>
    <w:rsid w:val="004D32B2"/>
    <w:rsid w:val="004D3306"/>
    <w:rsid w:val="004D3478"/>
    <w:rsid w:val="004D34AC"/>
    <w:rsid w:val="004D369D"/>
    <w:rsid w:val="004D3858"/>
    <w:rsid w:val="004D3915"/>
    <w:rsid w:val="004D396A"/>
    <w:rsid w:val="004D3A3B"/>
    <w:rsid w:val="004D3AD8"/>
    <w:rsid w:val="004D3D42"/>
    <w:rsid w:val="004D3D9D"/>
    <w:rsid w:val="004D3E02"/>
    <w:rsid w:val="004D3F2E"/>
    <w:rsid w:val="004D4007"/>
    <w:rsid w:val="004D4082"/>
    <w:rsid w:val="004D40F3"/>
    <w:rsid w:val="004D4109"/>
    <w:rsid w:val="004D4150"/>
    <w:rsid w:val="004D44AB"/>
    <w:rsid w:val="004D44F7"/>
    <w:rsid w:val="004D4552"/>
    <w:rsid w:val="004D458B"/>
    <w:rsid w:val="004D476A"/>
    <w:rsid w:val="004D476D"/>
    <w:rsid w:val="004D4923"/>
    <w:rsid w:val="004D4AE9"/>
    <w:rsid w:val="004D4C44"/>
    <w:rsid w:val="004D4C83"/>
    <w:rsid w:val="004D4D98"/>
    <w:rsid w:val="004D4E6F"/>
    <w:rsid w:val="004D4ECB"/>
    <w:rsid w:val="004D5141"/>
    <w:rsid w:val="004D515B"/>
    <w:rsid w:val="004D53CC"/>
    <w:rsid w:val="004D53EE"/>
    <w:rsid w:val="004D565C"/>
    <w:rsid w:val="004D582F"/>
    <w:rsid w:val="004D5948"/>
    <w:rsid w:val="004D5998"/>
    <w:rsid w:val="004D5B4C"/>
    <w:rsid w:val="004D6108"/>
    <w:rsid w:val="004D6300"/>
    <w:rsid w:val="004D63FA"/>
    <w:rsid w:val="004D68B1"/>
    <w:rsid w:val="004D6A29"/>
    <w:rsid w:val="004D6B95"/>
    <w:rsid w:val="004D6BE0"/>
    <w:rsid w:val="004D6D5F"/>
    <w:rsid w:val="004D6E0A"/>
    <w:rsid w:val="004D6FCE"/>
    <w:rsid w:val="004D717B"/>
    <w:rsid w:val="004D71CB"/>
    <w:rsid w:val="004D737E"/>
    <w:rsid w:val="004D7420"/>
    <w:rsid w:val="004D74B7"/>
    <w:rsid w:val="004D7684"/>
    <w:rsid w:val="004D7894"/>
    <w:rsid w:val="004D796F"/>
    <w:rsid w:val="004D7B19"/>
    <w:rsid w:val="004D7B28"/>
    <w:rsid w:val="004D7D60"/>
    <w:rsid w:val="004D7D9B"/>
    <w:rsid w:val="004D7E1B"/>
    <w:rsid w:val="004D7E9C"/>
    <w:rsid w:val="004D7F1E"/>
    <w:rsid w:val="004E0039"/>
    <w:rsid w:val="004E0133"/>
    <w:rsid w:val="004E01A3"/>
    <w:rsid w:val="004E0249"/>
    <w:rsid w:val="004E0360"/>
    <w:rsid w:val="004E05A2"/>
    <w:rsid w:val="004E05BD"/>
    <w:rsid w:val="004E0660"/>
    <w:rsid w:val="004E06BD"/>
    <w:rsid w:val="004E07B5"/>
    <w:rsid w:val="004E08D1"/>
    <w:rsid w:val="004E08F8"/>
    <w:rsid w:val="004E09AF"/>
    <w:rsid w:val="004E0C88"/>
    <w:rsid w:val="004E0EF0"/>
    <w:rsid w:val="004E0F08"/>
    <w:rsid w:val="004E0F35"/>
    <w:rsid w:val="004E0FB3"/>
    <w:rsid w:val="004E1018"/>
    <w:rsid w:val="004E101C"/>
    <w:rsid w:val="004E1097"/>
    <w:rsid w:val="004E10D7"/>
    <w:rsid w:val="004E1101"/>
    <w:rsid w:val="004E1135"/>
    <w:rsid w:val="004E114D"/>
    <w:rsid w:val="004E11F0"/>
    <w:rsid w:val="004E16E4"/>
    <w:rsid w:val="004E1814"/>
    <w:rsid w:val="004E1900"/>
    <w:rsid w:val="004E1ACB"/>
    <w:rsid w:val="004E1C31"/>
    <w:rsid w:val="004E1C51"/>
    <w:rsid w:val="004E1D46"/>
    <w:rsid w:val="004E1D6B"/>
    <w:rsid w:val="004E1DCD"/>
    <w:rsid w:val="004E1F74"/>
    <w:rsid w:val="004E1FEF"/>
    <w:rsid w:val="004E20D1"/>
    <w:rsid w:val="004E2227"/>
    <w:rsid w:val="004E23A6"/>
    <w:rsid w:val="004E270D"/>
    <w:rsid w:val="004E2721"/>
    <w:rsid w:val="004E27EF"/>
    <w:rsid w:val="004E2815"/>
    <w:rsid w:val="004E28C7"/>
    <w:rsid w:val="004E29E4"/>
    <w:rsid w:val="004E2A02"/>
    <w:rsid w:val="004E2B26"/>
    <w:rsid w:val="004E2D3B"/>
    <w:rsid w:val="004E2E02"/>
    <w:rsid w:val="004E2E4E"/>
    <w:rsid w:val="004E3132"/>
    <w:rsid w:val="004E3435"/>
    <w:rsid w:val="004E34C4"/>
    <w:rsid w:val="004E3556"/>
    <w:rsid w:val="004E36D7"/>
    <w:rsid w:val="004E374D"/>
    <w:rsid w:val="004E383F"/>
    <w:rsid w:val="004E3952"/>
    <w:rsid w:val="004E39B3"/>
    <w:rsid w:val="004E3BE3"/>
    <w:rsid w:val="004E3DE8"/>
    <w:rsid w:val="004E4094"/>
    <w:rsid w:val="004E4108"/>
    <w:rsid w:val="004E417D"/>
    <w:rsid w:val="004E41D7"/>
    <w:rsid w:val="004E4262"/>
    <w:rsid w:val="004E42BB"/>
    <w:rsid w:val="004E42CF"/>
    <w:rsid w:val="004E434E"/>
    <w:rsid w:val="004E44C6"/>
    <w:rsid w:val="004E4671"/>
    <w:rsid w:val="004E4734"/>
    <w:rsid w:val="004E475E"/>
    <w:rsid w:val="004E4762"/>
    <w:rsid w:val="004E4869"/>
    <w:rsid w:val="004E48BE"/>
    <w:rsid w:val="004E48C3"/>
    <w:rsid w:val="004E48F8"/>
    <w:rsid w:val="004E4953"/>
    <w:rsid w:val="004E4999"/>
    <w:rsid w:val="004E49FD"/>
    <w:rsid w:val="004E4A7E"/>
    <w:rsid w:val="004E4A8C"/>
    <w:rsid w:val="004E4ADD"/>
    <w:rsid w:val="004E4BBF"/>
    <w:rsid w:val="004E4D43"/>
    <w:rsid w:val="004E4E04"/>
    <w:rsid w:val="004E4EDE"/>
    <w:rsid w:val="004E4FB2"/>
    <w:rsid w:val="004E4FC6"/>
    <w:rsid w:val="004E5122"/>
    <w:rsid w:val="004E51A1"/>
    <w:rsid w:val="004E522B"/>
    <w:rsid w:val="004E52AD"/>
    <w:rsid w:val="004E5333"/>
    <w:rsid w:val="004E53B2"/>
    <w:rsid w:val="004E53CE"/>
    <w:rsid w:val="004E54EF"/>
    <w:rsid w:val="004E559D"/>
    <w:rsid w:val="004E5636"/>
    <w:rsid w:val="004E5958"/>
    <w:rsid w:val="004E5C6C"/>
    <w:rsid w:val="004E5CAF"/>
    <w:rsid w:val="004E5DAA"/>
    <w:rsid w:val="004E5F39"/>
    <w:rsid w:val="004E5F95"/>
    <w:rsid w:val="004E6022"/>
    <w:rsid w:val="004E6031"/>
    <w:rsid w:val="004E60FF"/>
    <w:rsid w:val="004E6408"/>
    <w:rsid w:val="004E6475"/>
    <w:rsid w:val="004E6542"/>
    <w:rsid w:val="004E6719"/>
    <w:rsid w:val="004E675A"/>
    <w:rsid w:val="004E676A"/>
    <w:rsid w:val="004E684A"/>
    <w:rsid w:val="004E6CC1"/>
    <w:rsid w:val="004E6E3F"/>
    <w:rsid w:val="004E6E95"/>
    <w:rsid w:val="004E6EC3"/>
    <w:rsid w:val="004E6ECD"/>
    <w:rsid w:val="004E6F6E"/>
    <w:rsid w:val="004E7067"/>
    <w:rsid w:val="004E7632"/>
    <w:rsid w:val="004E76ED"/>
    <w:rsid w:val="004E7752"/>
    <w:rsid w:val="004E794D"/>
    <w:rsid w:val="004E7A09"/>
    <w:rsid w:val="004E7A98"/>
    <w:rsid w:val="004E7CD6"/>
    <w:rsid w:val="004E7CF1"/>
    <w:rsid w:val="004E7EBD"/>
    <w:rsid w:val="004E7F6B"/>
    <w:rsid w:val="004F012A"/>
    <w:rsid w:val="004F0199"/>
    <w:rsid w:val="004F025D"/>
    <w:rsid w:val="004F0333"/>
    <w:rsid w:val="004F049D"/>
    <w:rsid w:val="004F04CD"/>
    <w:rsid w:val="004F063C"/>
    <w:rsid w:val="004F0708"/>
    <w:rsid w:val="004F0731"/>
    <w:rsid w:val="004F076E"/>
    <w:rsid w:val="004F086C"/>
    <w:rsid w:val="004F08D1"/>
    <w:rsid w:val="004F0A3B"/>
    <w:rsid w:val="004F0AFF"/>
    <w:rsid w:val="004F0B08"/>
    <w:rsid w:val="004F0B22"/>
    <w:rsid w:val="004F0BA9"/>
    <w:rsid w:val="004F0BAA"/>
    <w:rsid w:val="004F0C0C"/>
    <w:rsid w:val="004F0F15"/>
    <w:rsid w:val="004F0F8C"/>
    <w:rsid w:val="004F0FCD"/>
    <w:rsid w:val="004F1037"/>
    <w:rsid w:val="004F10FE"/>
    <w:rsid w:val="004F111B"/>
    <w:rsid w:val="004F11E4"/>
    <w:rsid w:val="004F1349"/>
    <w:rsid w:val="004F15EE"/>
    <w:rsid w:val="004F16CC"/>
    <w:rsid w:val="004F1BBC"/>
    <w:rsid w:val="004F1C27"/>
    <w:rsid w:val="004F1D6B"/>
    <w:rsid w:val="004F1D7C"/>
    <w:rsid w:val="004F1E58"/>
    <w:rsid w:val="004F1F05"/>
    <w:rsid w:val="004F1FF8"/>
    <w:rsid w:val="004F2116"/>
    <w:rsid w:val="004F211F"/>
    <w:rsid w:val="004F21D3"/>
    <w:rsid w:val="004F21D4"/>
    <w:rsid w:val="004F2334"/>
    <w:rsid w:val="004F24EB"/>
    <w:rsid w:val="004F26C0"/>
    <w:rsid w:val="004F27B4"/>
    <w:rsid w:val="004F298E"/>
    <w:rsid w:val="004F2AD7"/>
    <w:rsid w:val="004F2B44"/>
    <w:rsid w:val="004F2BAC"/>
    <w:rsid w:val="004F2C22"/>
    <w:rsid w:val="004F2C6A"/>
    <w:rsid w:val="004F2C86"/>
    <w:rsid w:val="004F2E10"/>
    <w:rsid w:val="004F2FBB"/>
    <w:rsid w:val="004F2FC7"/>
    <w:rsid w:val="004F3066"/>
    <w:rsid w:val="004F318D"/>
    <w:rsid w:val="004F326B"/>
    <w:rsid w:val="004F3397"/>
    <w:rsid w:val="004F34CF"/>
    <w:rsid w:val="004F361F"/>
    <w:rsid w:val="004F3843"/>
    <w:rsid w:val="004F3921"/>
    <w:rsid w:val="004F3987"/>
    <w:rsid w:val="004F3A2B"/>
    <w:rsid w:val="004F3A51"/>
    <w:rsid w:val="004F3AED"/>
    <w:rsid w:val="004F3BD2"/>
    <w:rsid w:val="004F3BDC"/>
    <w:rsid w:val="004F3C01"/>
    <w:rsid w:val="004F3C4D"/>
    <w:rsid w:val="004F3C69"/>
    <w:rsid w:val="004F3CBD"/>
    <w:rsid w:val="004F3D0B"/>
    <w:rsid w:val="004F3DDB"/>
    <w:rsid w:val="004F3E51"/>
    <w:rsid w:val="004F3F42"/>
    <w:rsid w:val="004F4006"/>
    <w:rsid w:val="004F4106"/>
    <w:rsid w:val="004F41CB"/>
    <w:rsid w:val="004F4237"/>
    <w:rsid w:val="004F423E"/>
    <w:rsid w:val="004F42C1"/>
    <w:rsid w:val="004F45D1"/>
    <w:rsid w:val="004F45D2"/>
    <w:rsid w:val="004F4823"/>
    <w:rsid w:val="004F49AD"/>
    <w:rsid w:val="004F4A0D"/>
    <w:rsid w:val="004F4AB0"/>
    <w:rsid w:val="004F4BCE"/>
    <w:rsid w:val="004F4D36"/>
    <w:rsid w:val="004F4E73"/>
    <w:rsid w:val="004F503C"/>
    <w:rsid w:val="004F5050"/>
    <w:rsid w:val="004F5077"/>
    <w:rsid w:val="004F51AF"/>
    <w:rsid w:val="004F52FB"/>
    <w:rsid w:val="004F5466"/>
    <w:rsid w:val="004F54D4"/>
    <w:rsid w:val="004F5527"/>
    <w:rsid w:val="004F5534"/>
    <w:rsid w:val="004F55DA"/>
    <w:rsid w:val="004F5663"/>
    <w:rsid w:val="004F577B"/>
    <w:rsid w:val="004F5BE4"/>
    <w:rsid w:val="004F5E35"/>
    <w:rsid w:val="004F5E66"/>
    <w:rsid w:val="004F5E87"/>
    <w:rsid w:val="004F5F8F"/>
    <w:rsid w:val="004F5FBF"/>
    <w:rsid w:val="004F61EC"/>
    <w:rsid w:val="004F634A"/>
    <w:rsid w:val="004F63AD"/>
    <w:rsid w:val="004F6409"/>
    <w:rsid w:val="004F642E"/>
    <w:rsid w:val="004F64F0"/>
    <w:rsid w:val="004F656A"/>
    <w:rsid w:val="004F6626"/>
    <w:rsid w:val="004F667B"/>
    <w:rsid w:val="004F688A"/>
    <w:rsid w:val="004F68EC"/>
    <w:rsid w:val="004F6A92"/>
    <w:rsid w:val="004F6AC6"/>
    <w:rsid w:val="004F6AED"/>
    <w:rsid w:val="004F6B14"/>
    <w:rsid w:val="004F6C21"/>
    <w:rsid w:val="004F6C81"/>
    <w:rsid w:val="004F6C88"/>
    <w:rsid w:val="004F6DB3"/>
    <w:rsid w:val="004F6EA0"/>
    <w:rsid w:val="004F6FB8"/>
    <w:rsid w:val="004F7097"/>
    <w:rsid w:val="004F7113"/>
    <w:rsid w:val="004F7180"/>
    <w:rsid w:val="004F7184"/>
    <w:rsid w:val="004F71EA"/>
    <w:rsid w:val="004F732C"/>
    <w:rsid w:val="004F73CA"/>
    <w:rsid w:val="004F744F"/>
    <w:rsid w:val="004F745D"/>
    <w:rsid w:val="004F746E"/>
    <w:rsid w:val="004F74F3"/>
    <w:rsid w:val="004F751B"/>
    <w:rsid w:val="004F7717"/>
    <w:rsid w:val="004F777B"/>
    <w:rsid w:val="004F77DA"/>
    <w:rsid w:val="004F77F8"/>
    <w:rsid w:val="004F786C"/>
    <w:rsid w:val="004F7ABA"/>
    <w:rsid w:val="004F7BFE"/>
    <w:rsid w:val="004F7CBD"/>
    <w:rsid w:val="004F7CBE"/>
    <w:rsid w:val="004F7F79"/>
    <w:rsid w:val="004F7F99"/>
    <w:rsid w:val="00500090"/>
    <w:rsid w:val="005000DF"/>
    <w:rsid w:val="005001D8"/>
    <w:rsid w:val="00500339"/>
    <w:rsid w:val="0050034E"/>
    <w:rsid w:val="005003BB"/>
    <w:rsid w:val="0050067A"/>
    <w:rsid w:val="005006CF"/>
    <w:rsid w:val="00500732"/>
    <w:rsid w:val="00500778"/>
    <w:rsid w:val="005007D3"/>
    <w:rsid w:val="00500924"/>
    <w:rsid w:val="00500A0E"/>
    <w:rsid w:val="00500AC9"/>
    <w:rsid w:val="00500B5F"/>
    <w:rsid w:val="00500C34"/>
    <w:rsid w:val="00500D7D"/>
    <w:rsid w:val="00500DA2"/>
    <w:rsid w:val="00500EC7"/>
    <w:rsid w:val="00501016"/>
    <w:rsid w:val="0050114C"/>
    <w:rsid w:val="00501159"/>
    <w:rsid w:val="005011A5"/>
    <w:rsid w:val="0050122D"/>
    <w:rsid w:val="0050128D"/>
    <w:rsid w:val="005013BF"/>
    <w:rsid w:val="005014CE"/>
    <w:rsid w:val="005016BB"/>
    <w:rsid w:val="005016E0"/>
    <w:rsid w:val="005016EC"/>
    <w:rsid w:val="005017F0"/>
    <w:rsid w:val="005018A5"/>
    <w:rsid w:val="005019D6"/>
    <w:rsid w:val="00501B41"/>
    <w:rsid w:val="00501BD1"/>
    <w:rsid w:val="00501FCA"/>
    <w:rsid w:val="00501FE9"/>
    <w:rsid w:val="00502590"/>
    <w:rsid w:val="005025D4"/>
    <w:rsid w:val="0050264C"/>
    <w:rsid w:val="005027DB"/>
    <w:rsid w:val="005027F4"/>
    <w:rsid w:val="00502A0F"/>
    <w:rsid w:val="00502A8F"/>
    <w:rsid w:val="00502AA4"/>
    <w:rsid w:val="00502AFE"/>
    <w:rsid w:val="00502B44"/>
    <w:rsid w:val="00502BB2"/>
    <w:rsid w:val="00502C76"/>
    <w:rsid w:val="00502CDE"/>
    <w:rsid w:val="00502D72"/>
    <w:rsid w:val="00502E9B"/>
    <w:rsid w:val="00502EAE"/>
    <w:rsid w:val="00502F78"/>
    <w:rsid w:val="00502F7D"/>
    <w:rsid w:val="00503048"/>
    <w:rsid w:val="005030A6"/>
    <w:rsid w:val="00503110"/>
    <w:rsid w:val="005033C0"/>
    <w:rsid w:val="005033F5"/>
    <w:rsid w:val="0050341C"/>
    <w:rsid w:val="005037DC"/>
    <w:rsid w:val="0050389C"/>
    <w:rsid w:val="00503A61"/>
    <w:rsid w:val="00503DD3"/>
    <w:rsid w:val="00503DD5"/>
    <w:rsid w:val="00504183"/>
    <w:rsid w:val="005041D3"/>
    <w:rsid w:val="0050442C"/>
    <w:rsid w:val="00504452"/>
    <w:rsid w:val="00504723"/>
    <w:rsid w:val="00504A5B"/>
    <w:rsid w:val="00504B45"/>
    <w:rsid w:val="00504DBF"/>
    <w:rsid w:val="00504E23"/>
    <w:rsid w:val="00504E62"/>
    <w:rsid w:val="00505069"/>
    <w:rsid w:val="005051DE"/>
    <w:rsid w:val="005051F1"/>
    <w:rsid w:val="00505548"/>
    <w:rsid w:val="005056FF"/>
    <w:rsid w:val="005057ED"/>
    <w:rsid w:val="0050589C"/>
    <w:rsid w:val="005058DE"/>
    <w:rsid w:val="0050591E"/>
    <w:rsid w:val="00505A96"/>
    <w:rsid w:val="00505DAC"/>
    <w:rsid w:val="00505E07"/>
    <w:rsid w:val="00505E24"/>
    <w:rsid w:val="00505E95"/>
    <w:rsid w:val="00505EB7"/>
    <w:rsid w:val="00505F33"/>
    <w:rsid w:val="005061D0"/>
    <w:rsid w:val="00506232"/>
    <w:rsid w:val="005063F6"/>
    <w:rsid w:val="005065CB"/>
    <w:rsid w:val="00506750"/>
    <w:rsid w:val="005067D7"/>
    <w:rsid w:val="005067E9"/>
    <w:rsid w:val="00506826"/>
    <w:rsid w:val="00506AEB"/>
    <w:rsid w:val="00506C09"/>
    <w:rsid w:val="00506E36"/>
    <w:rsid w:val="00507169"/>
    <w:rsid w:val="00507342"/>
    <w:rsid w:val="005074E9"/>
    <w:rsid w:val="00507624"/>
    <w:rsid w:val="005076B8"/>
    <w:rsid w:val="005077E9"/>
    <w:rsid w:val="00507941"/>
    <w:rsid w:val="005079C0"/>
    <w:rsid w:val="00507B3E"/>
    <w:rsid w:val="00507BF6"/>
    <w:rsid w:val="00507C85"/>
    <w:rsid w:val="00507CDE"/>
    <w:rsid w:val="00507E41"/>
    <w:rsid w:val="00507EEE"/>
    <w:rsid w:val="00507FFC"/>
    <w:rsid w:val="005100C7"/>
    <w:rsid w:val="00510630"/>
    <w:rsid w:val="0051073F"/>
    <w:rsid w:val="00510862"/>
    <w:rsid w:val="005108B7"/>
    <w:rsid w:val="005108F2"/>
    <w:rsid w:val="0051093C"/>
    <w:rsid w:val="00510967"/>
    <w:rsid w:val="00510A10"/>
    <w:rsid w:val="00510A19"/>
    <w:rsid w:val="00510B38"/>
    <w:rsid w:val="00510BAD"/>
    <w:rsid w:val="00510BDE"/>
    <w:rsid w:val="00510C80"/>
    <w:rsid w:val="00510D28"/>
    <w:rsid w:val="00510F49"/>
    <w:rsid w:val="0051108C"/>
    <w:rsid w:val="005114E6"/>
    <w:rsid w:val="00511618"/>
    <w:rsid w:val="00511699"/>
    <w:rsid w:val="005116BF"/>
    <w:rsid w:val="00511790"/>
    <w:rsid w:val="005117FA"/>
    <w:rsid w:val="005119B5"/>
    <w:rsid w:val="005119EF"/>
    <w:rsid w:val="00511A70"/>
    <w:rsid w:val="00511A99"/>
    <w:rsid w:val="00511B59"/>
    <w:rsid w:val="00511B5F"/>
    <w:rsid w:val="00511B71"/>
    <w:rsid w:val="00511B9D"/>
    <w:rsid w:val="00511CAD"/>
    <w:rsid w:val="00511D8A"/>
    <w:rsid w:val="00511DC7"/>
    <w:rsid w:val="00511F40"/>
    <w:rsid w:val="00511FB4"/>
    <w:rsid w:val="00511FCA"/>
    <w:rsid w:val="005120C5"/>
    <w:rsid w:val="00512115"/>
    <w:rsid w:val="005121A5"/>
    <w:rsid w:val="005121D3"/>
    <w:rsid w:val="0051225A"/>
    <w:rsid w:val="0051259A"/>
    <w:rsid w:val="0051263E"/>
    <w:rsid w:val="00512649"/>
    <w:rsid w:val="005127E9"/>
    <w:rsid w:val="00512811"/>
    <w:rsid w:val="005128E4"/>
    <w:rsid w:val="00512A4D"/>
    <w:rsid w:val="00512AE1"/>
    <w:rsid w:val="00512BE8"/>
    <w:rsid w:val="00512C5B"/>
    <w:rsid w:val="00512F0F"/>
    <w:rsid w:val="00512F62"/>
    <w:rsid w:val="0051311A"/>
    <w:rsid w:val="005131C8"/>
    <w:rsid w:val="0051326D"/>
    <w:rsid w:val="005133F7"/>
    <w:rsid w:val="00513517"/>
    <w:rsid w:val="0051370F"/>
    <w:rsid w:val="0051383A"/>
    <w:rsid w:val="00513846"/>
    <w:rsid w:val="00513850"/>
    <w:rsid w:val="00513D86"/>
    <w:rsid w:val="00513DB6"/>
    <w:rsid w:val="00513E48"/>
    <w:rsid w:val="00513F0E"/>
    <w:rsid w:val="00513F13"/>
    <w:rsid w:val="00513F4E"/>
    <w:rsid w:val="00514012"/>
    <w:rsid w:val="0051403F"/>
    <w:rsid w:val="0051417D"/>
    <w:rsid w:val="00514346"/>
    <w:rsid w:val="00514630"/>
    <w:rsid w:val="0051486A"/>
    <w:rsid w:val="00514964"/>
    <w:rsid w:val="005149EA"/>
    <w:rsid w:val="00514A6D"/>
    <w:rsid w:val="00514C09"/>
    <w:rsid w:val="00514D94"/>
    <w:rsid w:val="00514DB7"/>
    <w:rsid w:val="00514ED3"/>
    <w:rsid w:val="00514F0B"/>
    <w:rsid w:val="00514F88"/>
    <w:rsid w:val="00515029"/>
    <w:rsid w:val="005150B3"/>
    <w:rsid w:val="005150D8"/>
    <w:rsid w:val="0051527B"/>
    <w:rsid w:val="00515364"/>
    <w:rsid w:val="005154A3"/>
    <w:rsid w:val="00515818"/>
    <w:rsid w:val="0051587C"/>
    <w:rsid w:val="00515940"/>
    <w:rsid w:val="00515B46"/>
    <w:rsid w:val="00515B79"/>
    <w:rsid w:val="00515C30"/>
    <w:rsid w:val="00515E68"/>
    <w:rsid w:val="00515FE2"/>
    <w:rsid w:val="00516009"/>
    <w:rsid w:val="00516016"/>
    <w:rsid w:val="0051605F"/>
    <w:rsid w:val="00516320"/>
    <w:rsid w:val="005163C4"/>
    <w:rsid w:val="0051641A"/>
    <w:rsid w:val="00516569"/>
    <w:rsid w:val="005165B4"/>
    <w:rsid w:val="00516733"/>
    <w:rsid w:val="00516744"/>
    <w:rsid w:val="00516810"/>
    <w:rsid w:val="00516935"/>
    <w:rsid w:val="005169FD"/>
    <w:rsid w:val="00516ACF"/>
    <w:rsid w:val="00516B32"/>
    <w:rsid w:val="00516BDB"/>
    <w:rsid w:val="00516D33"/>
    <w:rsid w:val="00516F5B"/>
    <w:rsid w:val="00516FAB"/>
    <w:rsid w:val="00516FD2"/>
    <w:rsid w:val="0051704C"/>
    <w:rsid w:val="00517134"/>
    <w:rsid w:val="0051728B"/>
    <w:rsid w:val="005172FF"/>
    <w:rsid w:val="0051745F"/>
    <w:rsid w:val="0051766A"/>
    <w:rsid w:val="00517695"/>
    <w:rsid w:val="00517A59"/>
    <w:rsid w:val="00517B99"/>
    <w:rsid w:val="00517BF8"/>
    <w:rsid w:val="00517DD2"/>
    <w:rsid w:val="00517F0B"/>
    <w:rsid w:val="00520084"/>
    <w:rsid w:val="005200A2"/>
    <w:rsid w:val="005200E6"/>
    <w:rsid w:val="0052045E"/>
    <w:rsid w:val="0052060B"/>
    <w:rsid w:val="0052065E"/>
    <w:rsid w:val="005206DF"/>
    <w:rsid w:val="005206ED"/>
    <w:rsid w:val="0052078E"/>
    <w:rsid w:val="005207A6"/>
    <w:rsid w:val="00520964"/>
    <w:rsid w:val="00520A51"/>
    <w:rsid w:val="00520A6D"/>
    <w:rsid w:val="00520AC3"/>
    <w:rsid w:val="00520BA2"/>
    <w:rsid w:val="00520BF8"/>
    <w:rsid w:val="00520C52"/>
    <w:rsid w:val="00520C76"/>
    <w:rsid w:val="00520C7F"/>
    <w:rsid w:val="00520CF1"/>
    <w:rsid w:val="00520D7F"/>
    <w:rsid w:val="00521169"/>
    <w:rsid w:val="005213E1"/>
    <w:rsid w:val="005213E8"/>
    <w:rsid w:val="0052145F"/>
    <w:rsid w:val="005214F7"/>
    <w:rsid w:val="00521548"/>
    <w:rsid w:val="0052156A"/>
    <w:rsid w:val="00521637"/>
    <w:rsid w:val="005216C6"/>
    <w:rsid w:val="005216D1"/>
    <w:rsid w:val="00521885"/>
    <w:rsid w:val="00521905"/>
    <w:rsid w:val="00521B8D"/>
    <w:rsid w:val="00521D0F"/>
    <w:rsid w:val="00521F71"/>
    <w:rsid w:val="00521FFE"/>
    <w:rsid w:val="00522033"/>
    <w:rsid w:val="00522044"/>
    <w:rsid w:val="005221F7"/>
    <w:rsid w:val="0052229E"/>
    <w:rsid w:val="005222B3"/>
    <w:rsid w:val="005223C5"/>
    <w:rsid w:val="0052268A"/>
    <w:rsid w:val="00522722"/>
    <w:rsid w:val="00522746"/>
    <w:rsid w:val="00522840"/>
    <w:rsid w:val="00522849"/>
    <w:rsid w:val="005228C5"/>
    <w:rsid w:val="005229E9"/>
    <w:rsid w:val="00522B0C"/>
    <w:rsid w:val="00522C35"/>
    <w:rsid w:val="00522C65"/>
    <w:rsid w:val="00522DC0"/>
    <w:rsid w:val="00522F72"/>
    <w:rsid w:val="00522FAF"/>
    <w:rsid w:val="00523129"/>
    <w:rsid w:val="00523168"/>
    <w:rsid w:val="00523224"/>
    <w:rsid w:val="005232D3"/>
    <w:rsid w:val="0052383C"/>
    <w:rsid w:val="0052399A"/>
    <w:rsid w:val="00523AD4"/>
    <w:rsid w:val="00523BED"/>
    <w:rsid w:val="00523D73"/>
    <w:rsid w:val="00523F5F"/>
    <w:rsid w:val="00523FAF"/>
    <w:rsid w:val="0052415E"/>
    <w:rsid w:val="00524165"/>
    <w:rsid w:val="005241EC"/>
    <w:rsid w:val="0052420A"/>
    <w:rsid w:val="005243FD"/>
    <w:rsid w:val="00524665"/>
    <w:rsid w:val="0052481A"/>
    <w:rsid w:val="00524B3D"/>
    <w:rsid w:val="00524B8A"/>
    <w:rsid w:val="00524C04"/>
    <w:rsid w:val="00524C9A"/>
    <w:rsid w:val="00524E62"/>
    <w:rsid w:val="00524EE6"/>
    <w:rsid w:val="00524F17"/>
    <w:rsid w:val="00524F22"/>
    <w:rsid w:val="00524F73"/>
    <w:rsid w:val="005250EF"/>
    <w:rsid w:val="00525123"/>
    <w:rsid w:val="005251A5"/>
    <w:rsid w:val="0052521A"/>
    <w:rsid w:val="005252AB"/>
    <w:rsid w:val="00525398"/>
    <w:rsid w:val="00525586"/>
    <w:rsid w:val="0052566D"/>
    <w:rsid w:val="005257BC"/>
    <w:rsid w:val="005258FD"/>
    <w:rsid w:val="0052593C"/>
    <w:rsid w:val="00525958"/>
    <w:rsid w:val="005259D4"/>
    <w:rsid w:val="00525EFF"/>
    <w:rsid w:val="00526169"/>
    <w:rsid w:val="00526279"/>
    <w:rsid w:val="0052647A"/>
    <w:rsid w:val="005264FB"/>
    <w:rsid w:val="0052656B"/>
    <w:rsid w:val="005268D7"/>
    <w:rsid w:val="005269B1"/>
    <w:rsid w:val="00526C28"/>
    <w:rsid w:val="00526E97"/>
    <w:rsid w:val="00526EC6"/>
    <w:rsid w:val="00526F0B"/>
    <w:rsid w:val="00526F42"/>
    <w:rsid w:val="00526FCF"/>
    <w:rsid w:val="005270A6"/>
    <w:rsid w:val="00527125"/>
    <w:rsid w:val="0052717C"/>
    <w:rsid w:val="005272C3"/>
    <w:rsid w:val="0052746C"/>
    <w:rsid w:val="0052766C"/>
    <w:rsid w:val="005277D0"/>
    <w:rsid w:val="005278BB"/>
    <w:rsid w:val="005278C7"/>
    <w:rsid w:val="00527966"/>
    <w:rsid w:val="00527A13"/>
    <w:rsid w:val="00527ADD"/>
    <w:rsid w:val="00527B7C"/>
    <w:rsid w:val="00527BBB"/>
    <w:rsid w:val="00527C18"/>
    <w:rsid w:val="00527C1D"/>
    <w:rsid w:val="00527CA6"/>
    <w:rsid w:val="00527D97"/>
    <w:rsid w:val="00527E2D"/>
    <w:rsid w:val="00527F6D"/>
    <w:rsid w:val="00527F90"/>
    <w:rsid w:val="00530038"/>
    <w:rsid w:val="0053042A"/>
    <w:rsid w:val="005304E3"/>
    <w:rsid w:val="00530577"/>
    <w:rsid w:val="005306E2"/>
    <w:rsid w:val="005307ED"/>
    <w:rsid w:val="005308FF"/>
    <w:rsid w:val="0053097A"/>
    <w:rsid w:val="005309A7"/>
    <w:rsid w:val="005309C6"/>
    <w:rsid w:val="00530ABB"/>
    <w:rsid w:val="00530AE5"/>
    <w:rsid w:val="00530C1D"/>
    <w:rsid w:val="00530D86"/>
    <w:rsid w:val="00530D88"/>
    <w:rsid w:val="0053103B"/>
    <w:rsid w:val="0053130F"/>
    <w:rsid w:val="005313DA"/>
    <w:rsid w:val="005314EB"/>
    <w:rsid w:val="005315AD"/>
    <w:rsid w:val="00531643"/>
    <w:rsid w:val="005317B2"/>
    <w:rsid w:val="0053195C"/>
    <w:rsid w:val="00531A41"/>
    <w:rsid w:val="00531AE1"/>
    <w:rsid w:val="00531B61"/>
    <w:rsid w:val="00531C20"/>
    <w:rsid w:val="00531CA4"/>
    <w:rsid w:val="00531DB4"/>
    <w:rsid w:val="00531E29"/>
    <w:rsid w:val="00531EB4"/>
    <w:rsid w:val="005320D4"/>
    <w:rsid w:val="00532114"/>
    <w:rsid w:val="005321C0"/>
    <w:rsid w:val="00532415"/>
    <w:rsid w:val="005324AA"/>
    <w:rsid w:val="0053278C"/>
    <w:rsid w:val="005327AC"/>
    <w:rsid w:val="005327DE"/>
    <w:rsid w:val="0053281A"/>
    <w:rsid w:val="00532848"/>
    <w:rsid w:val="00532A59"/>
    <w:rsid w:val="00532B77"/>
    <w:rsid w:val="00532D05"/>
    <w:rsid w:val="0053308A"/>
    <w:rsid w:val="005330A5"/>
    <w:rsid w:val="005331A3"/>
    <w:rsid w:val="0053321A"/>
    <w:rsid w:val="0053322A"/>
    <w:rsid w:val="0053330D"/>
    <w:rsid w:val="005333B2"/>
    <w:rsid w:val="00533480"/>
    <w:rsid w:val="00533630"/>
    <w:rsid w:val="00533712"/>
    <w:rsid w:val="0053373A"/>
    <w:rsid w:val="00533905"/>
    <w:rsid w:val="00533921"/>
    <w:rsid w:val="0053398F"/>
    <w:rsid w:val="00533A19"/>
    <w:rsid w:val="00533CC8"/>
    <w:rsid w:val="00533FF1"/>
    <w:rsid w:val="00534065"/>
    <w:rsid w:val="00534329"/>
    <w:rsid w:val="0053435C"/>
    <w:rsid w:val="005344B9"/>
    <w:rsid w:val="00534503"/>
    <w:rsid w:val="005347C7"/>
    <w:rsid w:val="00534AFF"/>
    <w:rsid w:val="00534BDE"/>
    <w:rsid w:val="00534D64"/>
    <w:rsid w:val="00534E5A"/>
    <w:rsid w:val="00534EB9"/>
    <w:rsid w:val="00534F00"/>
    <w:rsid w:val="00535178"/>
    <w:rsid w:val="00535420"/>
    <w:rsid w:val="005355B1"/>
    <w:rsid w:val="00535660"/>
    <w:rsid w:val="00535685"/>
    <w:rsid w:val="0053576E"/>
    <w:rsid w:val="00535C54"/>
    <w:rsid w:val="00535C8A"/>
    <w:rsid w:val="005362AA"/>
    <w:rsid w:val="005362D1"/>
    <w:rsid w:val="005362DC"/>
    <w:rsid w:val="005362E7"/>
    <w:rsid w:val="005363E9"/>
    <w:rsid w:val="00536508"/>
    <w:rsid w:val="0053669D"/>
    <w:rsid w:val="0053671B"/>
    <w:rsid w:val="00536893"/>
    <w:rsid w:val="00536966"/>
    <w:rsid w:val="00536AFD"/>
    <w:rsid w:val="00536CA4"/>
    <w:rsid w:val="0053701A"/>
    <w:rsid w:val="005371F2"/>
    <w:rsid w:val="0053722B"/>
    <w:rsid w:val="005372F2"/>
    <w:rsid w:val="00537399"/>
    <w:rsid w:val="005375B4"/>
    <w:rsid w:val="0053763E"/>
    <w:rsid w:val="005376CE"/>
    <w:rsid w:val="005376F2"/>
    <w:rsid w:val="0053787C"/>
    <w:rsid w:val="005378DB"/>
    <w:rsid w:val="00537976"/>
    <w:rsid w:val="00537A02"/>
    <w:rsid w:val="00537AD5"/>
    <w:rsid w:val="00537B84"/>
    <w:rsid w:val="00537D51"/>
    <w:rsid w:val="005401C9"/>
    <w:rsid w:val="00540284"/>
    <w:rsid w:val="005403C3"/>
    <w:rsid w:val="00540833"/>
    <w:rsid w:val="005408B0"/>
    <w:rsid w:val="00540930"/>
    <w:rsid w:val="00540A15"/>
    <w:rsid w:val="00540B3C"/>
    <w:rsid w:val="00540BA0"/>
    <w:rsid w:val="00540C00"/>
    <w:rsid w:val="00540DF9"/>
    <w:rsid w:val="00540EA2"/>
    <w:rsid w:val="00540F59"/>
    <w:rsid w:val="00541112"/>
    <w:rsid w:val="0054112D"/>
    <w:rsid w:val="0054122E"/>
    <w:rsid w:val="005416C9"/>
    <w:rsid w:val="005417CE"/>
    <w:rsid w:val="005418F3"/>
    <w:rsid w:val="0054192B"/>
    <w:rsid w:val="00541A8F"/>
    <w:rsid w:val="00541A92"/>
    <w:rsid w:val="005420CA"/>
    <w:rsid w:val="0054212F"/>
    <w:rsid w:val="005422BF"/>
    <w:rsid w:val="005422DA"/>
    <w:rsid w:val="00542346"/>
    <w:rsid w:val="005423D0"/>
    <w:rsid w:val="005423F2"/>
    <w:rsid w:val="00542489"/>
    <w:rsid w:val="00542646"/>
    <w:rsid w:val="0054295B"/>
    <w:rsid w:val="00542964"/>
    <w:rsid w:val="005429FF"/>
    <w:rsid w:val="00542AE9"/>
    <w:rsid w:val="00542B31"/>
    <w:rsid w:val="00542BDF"/>
    <w:rsid w:val="00542C8A"/>
    <w:rsid w:val="00542CB6"/>
    <w:rsid w:val="00542F49"/>
    <w:rsid w:val="0054305E"/>
    <w:rsid w:val="005430E4"/>
    <w:rsid w:val="005430FA"/>
    <w:rsid w:val="0054314C"/>
    <w:rsid w:val="00543287"/>
    <w:rsid w:val="00543468"/>
    <w:rsid w:val="0054361F"/>
    <w:rsid w:val="0054381A"/>
    <w:rsid w:val="005438C6"/>
    <w:rsid w:val="00543AF1"/>
    <w:rsid w:val="00543B87"/>
    <w:rsid w:val="00543BC6"/>
    <w:rsid w:val="00543BE9"/>
    <w:rsid w:val="00543CED"/>
    <w:rsid w:val="00543D2A"/>
    <w:rsid w:val="00543DF2"/>
    <w:rsid w:val="0054408C"/>
    <w:rsid w:val="005440CE"/>
    <w:rsid w:val="00544226"/>
    <w:rsid w:val="00544263"/>
    <w:rsid w:val="00544462"/>
    <w:rsid w:val="00544614"/>
    <w:rsid w:val="0054465B"/>
    <w:rsid w:val="0054473E"/>
    <w:rsid w:val="00544746"/>
    <w:rsid w:val="005448C7"/>
    <w:rsid w:val="00544E58"/>
    <w:rsid w:val="00544EDF"/>
    <w:rsid w:val="00544F35"/>
    <w:rsid w:val="0054507D"/>
    <w:rsid w:val="0054516D"/>
    <w:rsid w:val="00545404"/>
    <w:rsid w:val="005456F1"/>
    <w:rsid w:val="00545924"/>
    <w:rsid w:val="00545B8F"/>
    <w:rsid w:val="00545F70"/>
    <w:rsid w:val="00546083"/>
    <w:rsid w:val="0054609E"/>
    <w:rsid w:val="005460A8"/>
    <w:rsid w:val="005460FA"/>
    <w:rsid w:val="005461FA"/>
    <w:rsid w:val="0054637C"/>
    <w:rsid w:val="005464B0"/>
    <w:rsid w:val="00546558"/>
    <w:rsid w:val="005465FF"/>
    <w:rsid w:val="005466B3"/>
    <w:rsid w:val="0054675C"/>
    <w:rsid w:val="00546848"/>
    <w:rsid w:val="00546956"/>
    <w:rsid w:val="00546B23"/>
    <w:rsid w:val="00546BF7"/>
    <w:rsid w:val="00546CB9"/>
    <w:rsid w:val="00547217"/>
    <w:rsid w:val="00547299"/>
    <w:rsid w:val="005473EC"/>
    <w:rsid w:val="005474B7"/>
    <w:rsid w:val="00547672"/>
    <w:rsid w:val="00547769"/>
    <w:rsid w:val="0054779E"/>
    <w:rsid w:val="00547808"/>
    <w:rsid w:val="0054781B"/>
    <w:rsid w:val="0054785D"/>
    <w:rsid w:val="005478B4"/>
    <w:rsid w:val="005479C0"/>
    <w:rsid w:val="005479CF"/>
    <w:rsid w:val="005479EA"/>
    <w:rsid w:val="00547A9B"/>
    <w:rsid w:val="00547BB5"/>
    <w:rsid w:val="00547C01"/>
    <w:rsid w:val="00547C76"/>
    <w:rsid w:val="00547D92"/>
    <w:rsid w:val="00547E7D"/>
    <w:rsid w:val="00547F5A"/>
    <w:rsid w:val="00547FF9"/>
    <w:rsid w:val="005501CC"/>
    <w:rsid w:val="005501EC"/>
    <w:rsid w:val="00550230"/>
    <w:rsid w:val="005503B7"/>
    <w:rsid w:val="005503EE"/>
    <w:rsid w:val="00550791"/>
    <w:rsid w:val="005508FF"/>
    <w:rsid w:val="005509CC"/>
    <w:rsid w:val="00550BDE"/>
    <w:rsid w:val="00550EA5"/>
    <w:rsid w:val="00551022"/>
    <w:rsid w:val="005510EA"/>
    <w:rsid w:val="005511AA"/>
    <w:rsid w:val="00551347"/>
    <w:rsid w:val="0055136F"/>
    <w:rsid w:val="00551573"/>
    <w:rsid w:val="00551580"/>
    <w:rsid w:val="00551671"/>
    <w:rsid w:val="0055169B"/>
    <w:rsid w:val="00551940"/>
    <w:rsid w:val="0055197E"/>
    <w:rsid w:val="00551A55"/>
    <w:rsid w:val="00551C3F"/>
    <w:rsid w:val="00551CAE"/>
    <w:rsid w:val="00551FB2"/>
    <w:rsid w:val="0055240A"/>
    <w:rsid w:val="00552498"/>
    <w:rsid w:val="00552574"/>
    <w:rsid w:val="00552639"/>
    <w:rsid w:val="00552693"/>
    <w:rsid w:val="005526F0"/>
    <w:rsid w:val="005528E0"/>
    <w:rsid w:val="0055292D"/>
    <w:rsid w:val="00552938"/>
    <w:rsid w:val="0055297C"/>
    <w:rsid w:val="005529AB"/>
    <w:rsid w:val="005529DD"/>
    <w:rsid w:val="00552A15"/>
    <w:rsid w:val="00552B27"/>
    <w:rsid w:val="00552B76"/>
    <w:rsid w:val="00552D7C"/>
    <w:rsid w:val="00552FC5"/>
    <w:rsid w:val="00553001"/>
    <w:rsid w:val="0055307C"/>
    <w:rsid w:val="00553120"/>
    <w:rsid w:val="0055316F"/>
    <w:rsid w:val="0055335C"/>
    <w:rsid w:val="00553362"/>
    <w:rsid w:val="00553418"/>
    <w:rsid w:val="005534E3"/>
    <w:rsid w:val="00553502"/>
    <w:rsid w:val="00553546"/>
    <w:rsid w:val="005536F0"/>
    <w:rsid w:val="0055378F"/>
    <w:rsid w:val="00553BEC"/>
    <w:rsid w:val="00553F85"/>
    <w:rsid w:val="00554104"/>
    <w:rsid w:val="00554127"/>
    <w:rsid w:val="00554140"/>
    <w:rsid w:val="00554154"/>
    <w:rsid w:val="005543BE"/>
    <w:rsid w:val="0055448E"/>
    <w:rsid w:val="005545FD"/>
    <w:rsid w:val="005546C2"/>
    <w:rsid w:val="005546F4"/>
    <w:rsid w:val="005547BB"/>
    <w:rsid w:val="005547D9"/>
    <w:rsid w:val="005547FC"/>
    <w:rsid w:val="00554AA4"/>
    <w:rsid w:val="00554C2E"/>
    <w:rsid w:val="00554C5C"/>
    <w:rsid w:val="00554D3E"/>
    <w:rsid w:val="00554D93"/>
    <w:rsid w:val="00554ED2"/>
    <w:rsid w:val="00555010"/>
    <w:rsid w:val="00555014"/>
    <w:rsid w:val="00555045"/>
    <w:rsid w:val="00555080"/>
    <w:rsid w:val="005551BF"/>
    <w:rsid w:val="0055532C"/>
    <w:rsid w:val="00555339"/>
    <w:rsid w:val="00555617"/>
    <w:rsid w:val="0055566F"/>
    <w:rsid w:val="00555887"/>
    <w:rsid w:val="00555907"/>
    <w:rsid w:val="00555C59"/>
    <w:rsid w:val="00555C6A"/>
    <w:rsid w:val="00555E70"/>
    <w:rsid w:val="00555F2A"/>
    <w:rsid w:val="00555FEE"/>
    <w:rsid w:val="0055610A"/>
    <w:rsid w:val="00556210"/>
    <w:rsid w:val="00556222"/>
    <w:rsid w:val="005563DF"/>
    <w:rsid w:val="005564F3"/>
    <w:rsid w:val="00556500"/>
    <w:rsid w:val="0055654E"/>
    <w:rsid w:val="0055671D"/>
    <w:rsid w:val="005567E0"/>
    <w:rsid w:val="00556A93"/>
    <w:rsid w:val="00556ACC"/>
    <w:rsid w:val="00556AFD"/>
    <w:rsid w:val="00556BAC"/>
    <w:rsid w:val="00556C1D"/>
    <w:rsid w:val="00556C85"/>
    <w:rsid w:val="00556CF0"/>
    <w:rsid w:val="00556EE1"/>
    <w:rsid w:val="00556EEC"/>
    <w:rsid w:val="0055704D"/>
    <w:rsid w:val="00557058"/>
    <w:rsid w:val="005570B1"/>
    <w:rsid w:val="005570D8"/>
    <w:rsid w:val="005571BA"/>
    <w:rsid w:val="005574CF"/>
    <w:rsid w:val="005575FF"/>
    <w:rsid w:val="0055769E"/>
    <w:rsid w:val="0055779F"/>
    <w:rsid w:val="005577D0"/>
    <w:rsid w:val="00557936"/>
    <w:rsid w:val="005579FE"/>
    <w:rsid w:val="00557C8C"/>
    <w:rsid w:val="0056001C"/>
    <w:rsid w:val="005600FA"/>
    <w:rsid w:val="005603D2"/>
    <w:rsid w:val="0056042F"/>
    <w:rsid w:val="005604C1"/>
    <w:rsid w:val="0056058D"/>
    <w:rsid w:val="005606C9"/>
    <w:rsid w:val="005607B8"/>
    <w:rsid w:val="005607F7"/>
    <w:rsid w:val="00560A5F"/>
    <w:rsid w:val="00560B1C"/>
    <w:rsid w:val="00560CC5"/>
    <w:rsid w:val="00560CD4"/>
    <w:rsid w:val="00560CE9"/>
    <w:rsid w:val="00560E0A"/>
    <w:rsid w:val="00560FC7"/>
    <w:rsid w:val="0056112C"/>
    <w:rsid w:val="0056140B"/>
    <w:rsid w:val="0056177A"/>
    <w:rsid w:val="00561785"/>
    <w:rsid w:val="0056198F"/>
    <w:rsid w:val="005619BB"/>
    <w:rsid w:val="00561B0E"/>
    <w:rsid w:val="00561B8E"/>
    <w:rsid w:val="00561C4C"/>
    <w:rsid w:val="00561D2F"/>
    <w:rsid w:val="00561E55"/>
    <w:rsid w:val="00561E6E"/>
    <w:rsid w:val="00561EE4"/>
    <w:rsid w:val="00562304"/>
    <w:rsid w:val="00562366"/>
    <w:rsid w:val="00562382"/>
    <w:rsid w:val="00562854"/>
    <w:rsid w:val="005628D2"/>
    <w:rsid w:val="00562A17"/>
    <w:rsid w:val="00562A36"/>
    <w:rsid w:val="00562ABF"/>
    <w:rsid w:val="00562AF3"/>
    <w:rsid w:val="00562C0C"/>
    <w:rsid w:val="00562C71"/>
    <w:rsid w:val="00562D28"/>
    <w:rsid w:val="00563036"/>
    <w:rsid w:val="00563118"/>
    <w:rsid w:val="00563283"/>
    <w:rsid w:val="00563311"/>
    <w:rsid w:val="00563587"/>
    <w:rsid w:val="00563620"/>
    <w:rsid w:val="005637E9"/>
    <w:rsid w:val="0056399E"/>
    <w:rsid w:val="005639AE"/>
    <w:rsid w:val="00563A4E"/>
    <w:rsid w:val="00563A78"/>
    <w:rsid w:val="00563C88"/>
    <w:rsid w:val="00563D4F"/>
    <w:rsid w:val="00563D5C"/>
    <w:rsid w:val="00563E4B"/>
    <w:rsid w:val="00563E54"/>
    <w:rsid w:val="00564037"/>
    <w:rsid w:val="0056407A"/>
    <w:rsid w:val="005640CD"/>
    <w:rsid w:val="005641F3"/>
    <w:rsid w:val="0056425A"/>
    <w:rsid w:val="0056426D"/>
    <w:rsid w:val="005642DD"/>
    <w:rsid w:val="005643E7"/>
    <w:rsid w:val="0056442D"/>
    <w:rsid w:val="00564462"/>
    <w:rsid w:val="005645AC"/>
    <w:rsid w:val="00564716"/>
    <w:rsid w:val="00564865"/>
    <w:rsid w:val="0056494E"/>
    <w:rsid w:val="00564B49"/>
    <w:rsid w:val="00564BF2"/>
    <w:rsid w:val="00564CB8"/>
    <w:rsid w:val="00564E52"/>
    <w:rsid w:val="00564E5F"/>
    <w:rsid w:val="00564EBD"/>
    <w:rsid w:val="00565111"/>
    <w:rsid w:val="005653C2"/>
    <w:rsid w:val="00565424"/>
    <w:rsid w:val="00565442"/>
    <w:rsid w:val="00565507"/>
    <w:rsid w:val="0056565F"/>
    <w:rsid w:val="0056578A"/>
    <w:rsid w:val="00565985"/>
    <w:rsid w:val="00565B25"/>
    <w:rsid w:val="00565B95"/>
    <w:rsid w:val="00565C37"/>
    <w:rsid w:val="00565DCB"/>
    <w:rsid w:val="00565E63"/>
    <w:rsid w:val="00565E69"/>
    <w:rsid w:val="00565FF3"/>
    <w:rsid w:val="00566052"/>
    <w:rsid w:val="00566066"/>
    <w:rsid w:val="005660B4"/>
    <w:rsid w:val="005661AC"/>
    <w:rsid w:val="005662D5"/>
    <w:rsid w:val="005662F2"/>
    <w:rsid w:val="00566332"/>
    <w:rsid w:val="00566377"/>
    <w:rsid w:val="00566540"/>
    <w:rsid w:val="005665B6"/>
    <w:rsid w:val="005668A1"/>
    <w:rsid w:val="00566B91"/>
    <w:rsid w:val="00566BE6"/>
    <w:rsid w:val="00566C54"/>
    <w:rsid w:val="00566C84"/>
    <w:rsid w:val="00566EBD"/>
    <w:rsid w:val="00566EFC"/>
    <w:rsid w:val="00566F68"/>
    <w:rsid w:val="00566FAD"/>
    <w:rsid w:val="00566FB6"/>
    <w:rsid w:val="00567025"/>
    <w:rsid w:val="005670D4"/>
    <w:rsid w:val="005673B0"/>
    <w:rsid w:val="005674DC"/>
    <w:rsid w:val="00567604"/>
    <w:rsid w:val="005676F6"/>
    <w:rsid w:val="0056772E"/>
    <w:rsid w:val="00567735"/>
    <w:rsid w:val="005679E2"/>
    <w:rsid w:val="00567A3D"/>
    <w:rsid w:val="00567B2E"/>
    <w:rsid w:val="00567C0B"/>
    <w:rsid w:val="00567CC2"/>
    <w:rsid w:val="00567CFE"/>
    <w:rsid w:val="00567DC4"/>
    <w:rsid w:val="00570683"/>
    <w:rsid w:val="00570931"/>
    <w:rsid w:val="00570966"/>
    <w:rsid w:val="00570DF5"/>
    <w:rsid w:val="00570E68"/>
    <w:rsid w:val="00571014"/>
    <w:rsid w:val="005711C5"/>
    <w:rsid w:val="005711E4"/>
    <w:rsid w:val="0057133E"/>
    <w:rsid w:val="005713A1"/>
    <w:rsid w:val="0057146D"/>
    <w:rsid w:val="00571617"/>
    <w:rsid w:val="005716A9"/>
    <w:rsid w:val="0057176F"/>
    <w:rsid w:val="0057178A"/>
    <w:rsid w:val="00571818"/>
    <w:rsid w:val="0057194C"/>
    <w:rsid w:val="00571A38"/>
    <w:rsid w:val="00571A4A"/>
    <w:rsid w:val="00571A6E"/>
    <w:rsid w:val="00571B7C"/>
    <w:rsid w:val="00571BA6"/>
    <w:rsid w:val="00571C23"/>
    <w:rsid w:val="00571EFA"/>
    <w:rsid w:val="00571F0A"/>
    <w:rsid w:val="00571F12"/>
    <w:rsid w:val="00571F88"/>
    <w:rsid w:val="005721C6"/>
    <w:rsid w:val="005722A7"/>
    <w:rsid w:val="005722F3"/>
    <w:rsid w:val="00572337"/>
    <w:rsid w:val="005725A5"/>
    <w:rsid w:val="005726DE"/>
    <w:rsid w:val="00572810"/>
    <w:rsid w:val="00572905"/>
    <w:rsid w:val="005729D4"/>
    <w:rsid w:val="00572C27"/>
    <w:rsid w:val="00572C86"/>
    <w:rsid w:val="00572C87"/>
    <w:rsid w:val="00572CE9"/>
    <w:rsid w:val="00572D11"/>
    <w:rsid w:val="005730BA"/>
    <w:rsid w:val="00573424"/>
    <w:rsid w:val="0057353E"/>
    <w:rsid w:val="0057357D"/>
    <w:rsid w:val="00573677"/>
    <w:rsid w:val="0057379C"/>
    <w:rsid w:val="005737FF"/>
    <w:rsid w:val="00573969"/>
    <w:rsid w:val="00573DC6"/>
    <w:rsid w:val="00573E07"/>
    <w:rsid w:val="00574013"/>
    <w:rsid w:val="00574047"/>
    <w:rsid w:val="00574081"/>
    <w:rsid w:val="0057413E"/>
    <w:rsid w:val="00574428"/>
    <w:rsid w:val="005745FC"/>
    <w:rsid w:val="00574779"/>
    <w:rsid w:val="0057479D"/>
    <w:rsid w:val="0057498F"/>
    <w:rsid w:val="00574A9A"/>
    <w:rsid w:val="00574ABA"/>
    <w:rsid w:val="00574B1C"/>
    <w:rsid w:val="00574C24"/>
    <w:rsid w:val="00574DC8"/>
    <w:rsid w:val="00574F71"/>
    <w:rsid w:val="00575178"/>
    <w:rsid w:val="0057519F"/>
    <w:rsid w:val="00575287"/>
    <w:rsid w:val="00575445"/>
    <w:rsid w:val="005756D9"/>
    <w:rsid w:val="005756E9"/>
    <w:rsid w:val="0057572B"/>
    <w:rsid w:val="005758A7"/>
    <w:rsid w:val="00575997"/>
    <w:rsid w:val="00575AE3"/>
    <w:rsid w:val="00575BCA"/>
    <w:rsid w:val="00575D3E"/>
    <w:rsid w:val="00575D59"/>
    <w:rsid w:val="00575E8A"/>
    <w:rsid w:val="00575F44"/>
    <w:rsid w:val="0057601B"/>
    <w:rsid w:val="00576312"/>
    <w:rsid w:val="00576379"/>
    <w:rsid w:val="005763FD"/>
    <w:rsid w:val="00576428"/>
    <w:rsid w:val="0057648C"/>
    <w:rsid w:val="00576571"/>
    <w:rsid w:val="005765AE"/>
    <w:rsid w:val="005765CB"/>
    <w:rsid w:val="0057690B"/>
    <w:rsid w:val="00576B07"/>
    <w:rsid w:val="00576B6F"/>
    <w:rsid w:val="00576D7F"/>
    <w:rsid w:val="00576E9F"/>
    <w:rsid w:val="00576EF9"/>
    <w:rsid w:val="00576F57"/>
    <w:rsid w:val="005770DE"/>
    <w:rsid w:val="0057712E"/>
    <w:rsid w:val="0057713F"/>
    <w:rsid w:val="00577247"/>
    <w:rsid w:val="005772AA"/>
    <w:rsid w:val="00577665"/>
    <w:rsid w:val="00577678"/>
    <w:rsid w:val="0057770A"/>
    <w:rsid w:val="00577743"/>
    <w:rsid w:val="00577942"/>
    <w:rsid w:val="00577B30"/>
    <w:rsid w:val="00577B47"/>
    <w:rsid w:val="00577C6C"/>
    <w:rsid w:val="00577CF3"/>
    <w:rsid w:val="00577DA1"/>
    <w:rsid w:val="00580086"/>
    <w:rsid w:val="005800C2"/>
    <w:rsid w:val="00580142"/>
    <w:rsid w:val="005802DE"/>
    <w:rsid w:val="00580398"/>
    <w:rsid w:val="00580542"/>
    <w:rsid w:val="005806BD"/>
    <w:rsid w:val="005806E8"/>
    <w:rsid w:val="00580772"/>
    <w:rsid w:val="0058078B"/>
    <w:rsid w:val="005808D4"/>
    <w:rsid w:val="00580AC6"/>
    <w:rsid w:val="00580B76"/>
    <w:rsid w:val="00580CCD"/>
    <w:rsid w:val="00580DC6"/>
    <w:rsid w:val="00580FAA"/>
    <w:rsid w:val="00581103"/>
    <w:rsid w:val="00581189"/>
    <w:rsid w:val="005812CF"/>
    <w:rsid w:val="005812F3"/>
    <w:rsid w:val="00581495"/>
    <w:rsid w:val="005816B5"/>
    <w:rsid w:val="005816E0"/>
    <w:rsid w:val="00581723"/>
    <w:rsid w:val="0058174F"/>
    <w:rsid w:val="00581848"/>
    <w:rsid w:val="005818CE"/>
    <w:rsid w:val="0058198D"/>
    <w:rsid w:val="00581A03"/>
    <w:rsid w:val="00581ACA"/>
    <w:rsid w:val="00581AF8"/>
    <w:rsid w:val="00581C53"/>
    <w:rsid w:val="00581D2E"/>
    <w:rsid w:val="00581D72"/>
    <w:rsid w:val="00581D75"/>
    <w:rsid w:val="00581F3B"/>
    <w:rsid w:val="0058211D"/>
    <w:rsid w:val="0058225C"/>
    <w:rsid w:val="005823F3"/>
    <w:rsid w:val="0058246B"/>
    <w:rsid w:val="0058264C"/>
    <w:rsid w:val="005828B2"/>
    <w:rsid w:val="005829B1"/>
    <w:rsid w:val="00582D90"/>
    <w:rsid w:val="00582DD0"/>
    <w:rsid w:val="00582E8D"/>
    <w:rsid w:val="00583276"/>
    <w:rsid w:val="00583285"/>
    <w:rsid w:val="005832A1"/>
    <w:rsid w:val="005832B5"/>
    <w:rsid w:val="00583398"/>
    <w:rsid w:val="005833CB"/>
    <w:rsid w:val="005833E3"/>
    <w:rsid w:val="00583420"/>
    <w:rsid w:val="00583529"/>
    <w:rsid w:val="00583533"/>
    <w:rsid w:val="005836BC"/>
    <w:rsid w:val="00583B25"/>
    <w:rsid w:val="00583BCE"/>
    <w:rsid w:val="00583C18"/>
    <w:rsid w:val="00583CB8"/>
    <w:rsid w:val="00583FA1"/>
    <w:rsid w:val="0058410A"/>
    <w:rsid w:val="0058423A"/>
    <w:rsid w:val="00584251"/>
    <w:rsid w:val="0058439D"/>
    <w:rsid w:val="005843D5"/>
    <w:rsid w:val="005843ED"/>
    <w:rsid w:val="0058444B"/>
    <w:rsid w:val="005844E7"/>
    <w:rsid w:val="00584521"/>
    <w:rsid w:val="0058454A"/>
    <w:rsid w:val="005847AD"/>
    <w:rsid w:val="005847BF"/>
    <w:rsid w:val="00584A3F"/>
    <w:rsid w:val="00584AB5"/>
    <w:rsid w:val="00584B7D"/>
    <w:rsid w:val="00584C75"/>
    <w:rsid w:val="00584CE3"/>
    <w:rsid w:val="00584CFD"/>
    <w:rsid w:val="00584D84"/>
    <w:rsid w:val="00584DB3"/>
    <w:rsid w:val="0058541E"/>
    <w:rsid w:val="0058580F"/>
    <w:rsid w:val="00585A46"/>
    <w:rsid w:val="00585BE0"/>
    <w:rsid w:val="00585D3B"/>
    <w:rsid w:val="00585DAD"/>
    <w:rsid w:val="00585DB9"/>
    <w:rsid w:val="00586489"/>
    <w:rsid w:val="005864E0"/>
    <w:rsid w:val="0058657E"/>
    <w:rsid w:val="005867A9"/>
    <w:rsid w:val="0058683A"/>
    <w:rsid w:val="00586A59"/>
    <w:rsid w:val="00586AA8"/>
    <w:rsid w:val="00586AC5"/>
    <w:rsid w:val="00586E42"/>
    <w:rsid w:val="00586F2B"/>
    <w:rsid w:val="00586F9D"/>
    <w:rsid w:val="00586FEF"/>
    <w:rsid w:val="0058707E"/>
    <w:rsid w:val="0058708D"/>
    <w:rsid w:val="0058726E"/>
    <w:rsid w:val="005872AE"/>
    <w:rsid w:val="00587303"/>
    <w:rsid w:val="0058730B"/>
    <w:rsid w:val="0058731E"/>
    <w:rsid w:val="005874B4"/>
    <w:rsid w:val="005874F6"/>
    <w:rsid w:val="005877D3"/>
    <w:rsid w:val="0058797B"/>
    <w:rsid w:val="00587B66"/>
    <w:rsid w:val="00590026"/>
    <w:rsid w:val="0059002A"/>
    <w:rsid w:val="0059013F"/>
    <w:rsid w:val="00590231"/>
    <w:rsid w:val="0059023F"/>
    <w:rsid w:val="005902EA"/>
    <w:rsid w:val="00590413"/>
    <w:rsid w:val="0059041D"/>
    <w:rsid w:val="005907DA"/>
    <w:rsid w:val="00590880"/>
    <w:rsid w:val="005908EA"/>
    <w:rsid w:val="005909BA"/>
    <w:rsid w:val="005909F9"/>
    <w:rsid w:val="00590B87"/>
    <w:rsid w:val="00590BB9"/>
    <w:rsid w:val="00590C3D"/>
    <w:rsid w:val="00590D06"/>
    <w:rsid w:val="00590D4F"/>
    <w:rsid w:val="00590FA3"/>
    <w:rsid w:val="0059107B"/>
    <w:rsid w:val="005911A1"/>
    <w:rsid w:val="005913DF"/>
    <w:rsid w:val="00591405"/>
    <w:rsid w:val="00591412"/>
    <w:rsid w:val="00591443"/>
    <w:rsid w:val="00591510"/>
    <w:rsid w:val="005916EB"/>
    <w:rsid w:val="005916F7"/>
    <w:rsid w:val="005917A4"/>
    <w:rsid w:val="005919CA"/>
    <w:rsid w:val="00591BE5"/>
    <w:rsid w:val="00591CCC"/>
    <w:rsid w:val="00592004"/>
    <w:rsid w:val="00592083"/>
    <w:rsid w:val="005920E7"/>
    <w:rsid w:val="005921C9"/>
    <w:rsid w:val="00592258"/>
    <w:rsid w:val="005926EC"/>
    <w:rsid w:val="005929D3"/>
    <w:rsid w:val="00592A95"/>
    <w:rsid w:val="00592BBB"/>
    <w:rsid w:val="00592DB2"/>
    <w:rsid w:val="00592DE7"/>
    <w:rsid w:val="00592DEA"/>
    <w:rsid w:val="00592DED"/>
    <w:rsid w:val="00592F3E"/>
    <w:rsid w:val="005931F1"/>
    <w:rsid w:val="005933AF"/>
    <w:rsid w:val="005936F3"/>
    <w:rsid w:val="005937F5"/>
    <w:rsid w:val="00593836"/>
    <w:rsid w:val="005938CB"/>
    <w:rsid w:val="005938E1"/>
    <w:rsid w:val="005939C7"/>
    <w:rsid w:val="00593A6A"/>
    <w:rsid w:val="00593E68"/>
    <w:rsid w:val="00593F27"/>
    <w:rsid w:val="00594315"/>
    <w:rsid w:val="00594350"/>
    <w:rsid w:val="00594468"/>
    <w:rsid w:val="005944F3"/>
    <w:rsid w:val="00594628"/>
    <w:rsid w:val="0059464A"/>
    <w:rsid w:val="0059489D"/>
    <w:rsid w:val="00594B15"/>
    <w:rsid w:val="00594B2A"/>
    <w:rsid w:val="00594C4C"/>
    <w:rsid w:val="00594D74"/>
    <w:rsid w:val="00594E4C"/>
    <w:rsid w:val="00594F11"/>
    <w:rsid w:val="0059529F"/>
    <w:rsid w:val="005952C2"/>
    <w:rsid w:val="005953A4"/>
    <w:rsid w:val="005954EC"/>
    <w:rsid w:val="005955D0"/>
    <w:rsid w:val="00595719"/>
    <w:rsid w:val="0059574E"/>
    <w:rsid w:val="005959CE"/>
    <w:rsid w:val="005959EB"/>
    <w:rsid w:val="00595A30"/>
    <w:rsid w:val="00595AA3"/>
    <w:rsid w:val="00595AB7"/>
    <w:rsid w:val="00595B0B"/>
    <w:rsid w:val="00595B9F"/>
    <w:rsid w:val="00595C2B"/>
    <w:rsid w:val="00595C3D"/>
    <w:rsid w:val="00595D0D"/>
    <w:rsid w:val="00595DD7"/>
    <w:rsid w:val="00595DFC"/>
    <w:rsid w:val="00595E22"/>
    <w:rsid w:val="00596026"/>
    <w:rsid w:val="00596220"/>
    <w:rsid w:val="0059640A"/>
    <w:rsid w:val="005964CE"/>
    <w:rsid w:val="0059689B"/>
    <w:rsid w:val="005968CE"/>
    <w:rsid w:val="00596A27"/>
    <w:rsid w:val="00596BB0"/>
    <w:rsid w:val="00596BCD"/>
    <w:rsid w:val="00596BF8"/>
    <w:rsid w:val="00596D5C"/>
    <w:rsid w:val="00596DE6"/>
    <w:rsid w:val="00596FB1"/>
    <w:rsid w:val="00596FDB"/>
    <w:rsid w:val="00597060"/>
    <w:rsid w:val="00597073"/>
    <w:rsid w:val="00597120"/>
    <w:rsid w:val="005971AC"/>
    <w:rsid w:val="005971B3"/>
    <w:rsid w:val="00597243"/>
    <w:rsid w:val="005972A1"/>
    <w:rsid w:val="005973DA"/>
    <w:rsid w:val="0059744D"/>
    <w:rsid w:val="00597460"/>
    <w:rsid w:val="0059746B"/>
    <w:rsid w:val="005974F4"/>
    <w:rsid w:val="005975E9"/>
    <w:rsid w:val="00597830"/>
    <w:rsid w:val="00597993"/>
    <w:rsid w:val="005979D4"/>
    <w:rsid w:val="00597ABA"/>
    <w:rsid w:val="00597B0C"/>
    <w:rsid w:val="00597B64"/>
    <w:rsid w:val="00597B85"/>
    <w:rsid w:val="00597D01"/>
    <w:rsid w:val="00597F88"/>
    <w:rsid w:val="005A0041"/>
    <w:rsid w:val="005A01AA"/>
    <w:rsid w:val="005A02BD"/>
    <w:rsid w:val="005A0516"/>
    <w:rsid w:val="005A05E6"/>
    <w:rsid w:val="005A0A0C"/>
    <w:rsid w:val="005A0C92"/>
    <w:rsid w:val="005A0D27"/>
    <w:rsid w:val="005A0E4A"/>
    <w:rsid w:val="005A0EDB"/>
    <w:rsid w:val="005A0EFF"/>
    <w:rsid w:val="005A0F24"/>
    <w:rsid w:val="005A1094"/>
    <w:rsid w:val="005A113D"/>
    <w:rsid w:val="005A1183"/>
    <w:rsid w:val="005A1379"/>
    <w:rsid w:val="005A137A"/>
    <w:rsid w:val="005A14F0"/>
    <w:rsid w:val="005A15F2"/>
    <w:rsid w:val="005A1784"/>
    <w:rsid w:val="005A17E1"/>
    <w:rsid w:val="005A1AB9"/>
    <w:rsid w:val="005A1C20"/>
    <w:rsid w:val="005A1D85"/>
    <w:rsid w:val="005A1F60"/>
    <w:rsid w:val="005A1F77"/>
    <w:rsid w:val="005A206D"/>
    <w:rsid w:val="005A22CA"/>
    <w:rsid w:val="005A24D2"/>
    <w:rsid w:val="005A283C"/>
    <w:rsid w:val="005A2848"/>
    <w:rsid w:val="005A2850"/>
    <w:rsid w:val="005A2869"/>
    <w:rsid w:val="005A28C7"/>
    <w:rsid w:val="005A2959"/>
    <w:rsid w:val="005A29DA"/>
    <w:rsid w:val="005A2A9B"/>
    <w:rsid w:val="005A2ABD"/>
    <w:rsid w:val="005A2AF3"/>
    <w:rsid w:val="005A2B09"/>
    <w:rsid w:val="005A2E0D"/>
    <w:rsid w:val="005A2EAF"/>
    <w:rsid w:val="005A2F26"/>
    <w:rsid w:val="005A2F40"/>
    <w:rsid w:val="005A307E"/>
    <w:rsid w:val="005A3132"/>
    <w:rsid w:val="005A31DD"/>
    <w:rsid w:val="005A3269"/>
    <w:rsid w:val="005A327D"/>
    <w:rsid w:val="005A3349"/>
    <w:rsid w:val="005A3436"/>
    <w:rsid w:val="005A374B"/>
    <w:rsid w:val="005A37B3"/>
    <w:rsid w:val="005A38E7"/>
    <w:rsid w:val="005A38FF"/>
    <w:rsid w:val="005A391F"/>
    <w:rsid w:val="005A394E"/>
    <w:rsid w:val="005A3B2D"/>
    <w:rsid w:val="005A3CFD"/>
    <w:rsid w:val="005A3FBF"/>
    <w:rsid w:val="005A4142"/>
    <w:rsid w:val="005A4310"/>
    <w:rsid w:val="005A4428"/>
    <w:rsid w:val="005A4778"/>
    <w:rsid w:val="005A47C8"/>
    <w:rsid w:val="005A4998"/>
    <w:rsid w:val="005A49AE"/>
    <w:rsid w:val="005A49D2"/>
    <w:rsid w:val="005A4A21"/>
    <w:rsid w:val="005A4AC3"/>
    <w:rsid w:val="005A4BD0"/>
    <w:rsid w:val="005A4BF2"/>
    <w:rsid w:val="005A4CB6"/>
    <w:rsid w:val="005A4DB0"/>
    <w:rsid w:val="005A5087"/>
    <w:rsid w:val="005A524D"/>
    <w:rsid w:val="005A5453"/>
    <w:rsid w:val="005A5475"/>
    <w:rsid w:val="005A56D7"/>
    <w:rsid w:val="005A5857"/>
    <w:rsid w:val="005A5A6F"/>
    <w:rsid w:val="005A5A77"/>
    <w:rsid w:val="005A5B0C"/>
    <w:rsid w:val="005A5B14"/>
    <w:rsid w:val="005A5B3B"/>
    <w:rsid w:val="005A5BE3"/>
    <w:rsid w:val="005A5EE8"/>
    <w:rsid w:val="005A6376"/>
    <w:rsid w:val="005A637C"/>
    <w:rsid w:val="005A637E"/>
    <w:rsid w:val="005A63EB"/>
    <w:rsid w:val="005A6477"/>
    <w:rsid w:val="005A64C5"/>
    <w:rsid w:val="005A6556"/>
    <w:rsid w:val="005A65B0"/>
    <w:rsid w:val="005A65B2"/>
    <w:rsid w:val="005A65CD"/>
    <w:rsid w:val="005A6793"/>
    <w:rsid w:val="005A6AF9"/>
    <w:rsid w:val="005A6CF7"/>
    <w:rsid w:val="005A6D0F"/>
    <w:rsid w:val="005A6EE8"/>
    <w:rsid w:val="005A715E"/>
    <w:rsid w:val="005A7170"/>
    <w:rsid w:val="005A744E"/>
    <w:rsid w:val="005A74C7"/>
    <w:rsid w:val="005A74FE"/>
    <w:rsid w:val="005A758D"/>
    <w:rsid w:val="005A75A0"/>
    <w:rsid w:val="005A7802"/>
    <w:rsid w:val="005A784B"/>
    <w:rsid w:val="005A7975"/>
    <w:rsid w:val="005A7A17"/>
    <w:rsid w:val="005A7F3F"/>
    <w:rsid w:val="005A7FF2"/>
    <w:rsid w:val="005B007C"/>
    <w:rsid w:val="005B0215"/>
    <w:rsid w:val="005B02FF"/>
    <w:rsid w:val="005B0361"/>
    <w:rsid w:val="005B041E"/>
    <w:rsid w:val="005B075C"/>
    <w:rsid w:val="005B0804"/>
    <w:rsid w:val="005B0843"/>
    <w:rsid w:val="005B096D"/>
    <w:rsid w:val="005B0A48"/>
    <w:rsid w:val="005B0A69"/>
    <w:rsid w:val="005B0B16"/>
    <w:rsid w:val="005B0C8F"/>
    <w:rsid w:val="005B0C98"/>
    <w:rsid w:val="005B0D13"/>
    <w:rsid w:val="005B0DF7"/>
    <w:rsid w:val="005B0E50"/>
    <w:rsid w:val="005B116C"/>
    <w:rsid w:val="005B12B6"/>
    <w:rsid w:val="005B1340"/>
    <w:rsid w:val="005B146D"/>
    <w:rsid w:val="005B14B2"/>
    <w:rsid w:val="005B14C1"/>
    <w:rsid w:val="005B14F2"/>
    <w:rsid w:val="005B153E"/>
    <w:rsid w:val="005B1739"/>
    <w:rsid w:val="005B1781"/>
    <w:rsid w:val="005B17F9"/>
    <w:rsid w:val="005B1A42"/>
    <w:rsid w:val="005B1AB8"/>
    <w:rsid w:val="005B1B12"/>
    <w:rsid w:val="005B1B1E"/>
    <w:rsid w:val="005B1B82"/>
    <w:rsid w:val="005B1C1E"/>
    <w:rsid w:val="005B1D30"/>
    <w:rsid w:val="005B1D6D"/>
    <w:rsid w:val="005B1E75"/>
    <w:rsid w:val="005B1EFE"/>
    <w:rsid w:val="005B1FC3"/>
    <w:rsid w:val="005B22FF"/>
    <w:rsid w:val="005B2415"/>
    <w:rsid w:val="005B245D"/>
    <w:rsid w:val="005B2779"/>
    <w:rsid w:val="005B29C0"/>
    <w:rsid w:val="005B2A2F"/>
    <w:rsid w:val="005B2AAD"/>
    <w:rsid w:val="005B2BC2"/>
    <w:rsid w:val="005B2ED7"/>
    <w:rsid w:val="005B3061"/>
    <w:rsid w:val="005B3256"/>
    <w:rsid w:val="005B337E"/>
    <w:rsid w:val="005B33DF"/>
    <w:rsid w:val="005B33F8"/>
    <w:rsid w:val="005B3499"/>
    <w:rsid w:val="005B356D"/>
    <w:rsid w:val="005B3668"/>
    <w:rsid w:val="005B36FB"/>
    <w:rsid w:val="005B373C"/>
    <w:rsid w:val="005B3789"/>
    <w:rsid w:val="005B378C"/>
    <w:rsid w:val="005B393F"/>
    <w:rsid w:val="005B3991"/>
    <w:rsid w:val="005B3AD5"/>
    <w:rsid w:val="005B3D46"/>
    <w:rsid w:val="005B3E8C"/>
    <w:rsid w:val="005B3EE9"/>
    <w:rsid w:val="005B3F24"/>
    <w:rsid w:val="005B3FCE"/>
    <w:rsid w:val="005B4047"/>
    <w:rsid w:val="005B4110"/>
    <w:rsid w:val="005B42F9"/>
    <w:rsid w:val="005B4408"/>
    <w:rsid w:val="005B45AF"/>
    <w:rsid w:val="005B45EE"/>
    <w:rsid w:val="005B4A24"/>
    <w:rsid w:val="005B4A3C"/>
    <w:rsid w:val="005B4B3E"/>
    <w:rsid w:val="005B5142"/>
    <w:rsid w:val="005B519C"/>
    <w:rsid w:val="005B5452"/>
    <w:rsid w:val="005B5462"/>
    <w:rsid w:val="005B547F"/>
    <w:rsid w:val="005B54B4"/>
    <w:rsid w:val="005B55BB"/>
    <w:rsid w:val="005B5718"/>
    <w:rsid w:val="005B5886"/>
    <w:rsid w:val="005B58FF"/>
    <w:rsid w:val="005B5A1F"/>
    <w:rsid w:val="005B5ADD"/>
    <w:rsid w:val="005B5B4D"/>
    <w:rsid w:val="005B5C16"/>
    <w:rsid w:val="005B5F7E"/>
    <w:rsid w:val="005B5FA3"/>
    <w:rsid w:val="005B6016"/>
    <w:rsid w:val="005B60B2"/>
    <w:rsid w:val="005B62CA"/>
    <w:rsid w:val="005B6314"/>
    <w:rsid w:val="005B63CD"/>
    <w:rsid w:val="005B6412"/>
    <w:rsid w:val="005B651A"/>
    <w:rsid w:val="005B6604"/>
    <w:rsid w:val="005B66AE"/>
    <w:rsid w:val="005B67BE"/>
    <w:rsid w:val="005B6838"/>
    <w:rsid w:val="005B69ED"/>
    <w:rsid w:val="005B6C33"/>
    <w:rsid w:val="005B6C8E"/>
    <w:rsid w:val="005B6D6A"/>
    <w:rsid w:val="005B6DF4"/>
    <w:rsid w:val="005B6E81"/>
    <w:rsid w:val="005B7178"/>
    <w:rsid w:val="005B7333"/>
    <w:rsid w:val="005B765C"/>
    <w:rsid w:val="005B7949"/>
    <w:rsid w:val="005B799D"/>
    <w:rsid w:val="005B7CD9"/>
    <w:rsid w:val="005B7DB2"/>
    <w:rsid w:val="005B7E7C"/>
    <w:rsid w:val="005B7F52"/>
    <w:rsid w:val="005C0026"/>
    <w:rsid w:val="005C0058"/>
    <w:rsid w:val="005C02B5"/>
    <w:rsid w:val="005C03C6"/>
    <w:rsid w:val="005C03C8"/>
    <w:rsid w:val="005C0411"/>
    <w:rsid w:val="005C04F4"/>
    <w:rsid w:val="005C05D7"/>
    <w:rsid w:val="005C0A8A"/>
    <w:rsid w:val="005C0E5A"/>
    <w:rsid w:val="005C0EA2"/>
    <w:rsid w:val="005C0F21"/>
    <w:rsid w:val="005C0F79"/>
    <w:rsid w:val="005C0FB7"/>
    <w:rsid w:val="005C1038"/>
    <w:rsid w:val="005C140E"/>
    <w:rsid w:val="005C14D5"/>
    <w:rsid w:val="005C153C"/>
    <w:rsid w:val="005C158A"/>
    <w:rsid w:val="005C15B8"/>
    <w:rsid w:val="005C168C"/>
    <w:rsid w:val="005C17D4"/>
    <w:rsid w:val="005C1958"/>
    <w:rsid w:val="005C1AFF"/>
    <w:rsid w:val="005C1B2B"/>
    <w:rsid w:val="005C1C2C"/>
    <w:rsid w:val="005C1C77"/>
    <w:rsid w:val="005C1DF6"/>
    <w:rsid w:val="005C2052"/>
    <w:rsid w:val="005C215B"/>
    <w:rsid w:val="005C236B"/>
    <w:rsid w:val="005C251F"/>
    <w:rsid w:val="005C2606"/>
    <w:rsid w:val="005C26EA"/>
    <w:rsid w:val="005C2830"/>
    <w:rsid w:val="005C2870"/>
    <w:rsid w:val="005C28D9"/>
    <w:rsid w:val="005C2A68"/>
    <w:rsid w:val="005C2A6D"/>
    <w:rsid w:val="005C2AC8"/>
    <w:rsid w:val="005C2CA7"/>
    <w:rsid w:val="005C2CCE"/>
    <w:rsid w:val="005C2E1D"/>
    <w:rsid w:val="005C3045"/>
    <w:rsid w:val="005C3097"/>
    <w:rsid w:val="005C3101"/>
    <w:rsid w:val="005C310B"/>
    <w:rsid w:val="005C3354"/>
    <w:rsid w:val="005C3439"/>
    <w:rsid w:val="005C3473"/>
    <w:rsid w:val="005C3530"/>
    <w:rsid w:val="005C3573"/>
    <w:rsid w:val="005C35D2"/>
    <w:rsid w:val="005C35FF"/>
    <w:rsid w:val="005C3649"/>
    <w:rsid w:val="005C3794"/>
    <w:rsid w:val="005C39FF"/>
    <w:rsid w:val="005C3BA6"/>
    <w:rsid w:val="005C3CC6"/>
    <w:rsid w:val="005C3F63"/>
    <w:rsid w:val="005C402B"/>
    <w:rsid w:val="005C4090"/>
    <w:rsid w:val="005C4165"/>
    <w:rsid w:val="005C418F"/>
    <w:rsid w:val="005C42DD"/>
    <w:rsid w:val="005C4342"/>
    <w:rsid w:val="005C44A7"/>
    <w:rsid w:val="005C44CF"/>
    <w:rsid w:val="005C44ED"/>
    <w:rsid w:val="005C461C"/>
    <w:rsid w:val="005C47ED"/>
    <w:rsid w:val="005C4D11"/>
    <w:rsid w:val="005C4DD2"/>
    <w:rsid w:val="005C50FD"/>
    <w:rsid w:val="005C5144"/>
    <w:rsid w:val="005C51E8"/>
    <w:rsid w:val="005C532D"/>
    <w:rsid w:val="005C54DD"/>
    <w:rsid w:val="005C563A"/>
    <w:rsid w:val="005C5742"/>
    <w:rsid w:val="005C5780"/>
    <w:rsid w:val="005C58E1"/>
    <w:rsid w:val="005C59E7"/>
    <w:rsid w:val="005C5A5F"/>
    <w:rsid w:val="005C5C87"/>
    <w:rsid w:val="005C5C89"/>
    <w:rsid w:val="005C5C98"/>
    <w:rsid w:val="005C5D51"/>
    <w:rsid w:val="005C5E18"/>
    <w:rsid w:val="005C5F72"/>
    <w:rsid w:val="005C61E7"/>
    <w:rsid w:val="005C6348"/>
    <w:rsid w:val="005C6395"/>
    <w:rsid w:val="005C651E"/>
    <w:rsid w:val="005C6544"/>
    <w:rsid w:val="005C672D"/>
    <w:rsid w:val="005C68BF"/>
    <w:rsid w:val="005C6900"/>
    <w:rsid w:val="005C6C51"/>
    <w:rsid w:val="005C703E"/>
    <w:rsid w:val="005C7040"/>
    <w:rsid w:val="005C7064"/>
    <w:rsid w:val="005C724C"/>
    <w:rsid w:val="005C734D"/>
    <w:rsid w:val="005C75C6"/>
    <w:rsid w:val="005C773D"/>
    <w:rsid w:val="005C7797"/>
    <w:rsid w:val="005C7851"/>
    <w:rsid w:val="005C7A02"/>
    <w:rsid w:val="005C7B2F"/>
    <w:rsid w:val="005C7BE7"/>
    <w:rsid w:val="005C7D68"/>
    <w:rsid w:val="005C7DC9"/>
    <w:rsid w:val="005D0167"/>
    <w:rsid w:val="005D01C3"/>
    <w:rsid w:val="005D02D8"/>
    <w:rsid w:val="005D0303"/>
    <w:rsid w:val="005D038D"/>
    <w:rsid w:val="005D040E"/>
    <w:rsid w:val="005D0465"/>
    <w:rsid w:val="005D0562"/>
    <w:rsid w:val="005D059A"/>
    <w:rsid w:val="005D061C"/>
    <w:rsid w:val="005D068B"/>
    <w:rsid w:val="005D06AB"/>
    <w:rsid w:val="005D06FF"/>
    <w:rsid w:val="005D070A"/>
    <w:rsid w:val="005D0819"/>
    <w:rsid w:val="005D0960"/>
    <w:rsid w:val="005D0B03"/>
    <w:rsid w:val="005D0C01"/>
    <w:rsid w:val="005D0C18"/>
    <w:rsid w:val="005D0D6B"/>
    <w:rsid w:val="005D0DE9"/>
    <w:rsid w:val="005D0DED"/>
    <w:rsid w:val="005D0EC3"/>
    <w:rsid w:val="005D0F90"/>
    <w:rsid w:val="005D104F"/>
    <w:rsid w:val="005D1071"/>
    <w:rsid w:val="005D1091"/>
    <w:rsid w:val="005D1125"/>
    <w:rsid w:val="005D11FB"/>
    <w:rsid w:val="005D123F"/>
    <w:rsid w:val="005D1484"/>
    <w:rsid w:val="005D161C"/>
    <w:rsid w:val="005D16BA"/>
    <w:rsid w:val="005D1819"/>
    <w:rsid w:val="005D1934"/>
    <w:rsid w:val="005D1962"/>
    <w:rsid w:val="005D19D1"/>
    <w:rsid w:val="005D19FA"/>
    <w:rsid w:val="005D1A41"/>
    <w:rsid w:val="005D1A5A"/>
    <w:rsid w:val="005D1BAD"/>
    <w:rsid w:val="005D1BBD"/>
    <w:rsid w:val="005D1D53"/>
    <w:rsid w:val="005D1DD6"/>
    <w:rsid w:val="005D1E1D"/>
    <w:rsid w:val="005D1E6A"/>
    <w:rsid w:val="005D20D4"/>
    <w:rsid w:val="005D21D0"/>
    <w:rsid w:val="005D21E9"/>
    <w:rsid w:val="005D2389"/>
    <w:rsid w:val="005D239F"/>
    <w:rsid w:val="005D23BB"/>
    <w:rsid w:val="005D24E1"/>
    <w:rsid w:val="005D24E2"/>
    <w:rsid w:val="005D2537"/>
    <w:rsid w:val="005D25F0"/>
    <w:rsid w:val="005D262A"/>
    <w:rsid w:val="005D2787"/>
    <w:rsid w:val="005D2A8F"/>
    <w:rsid w:val="005D2F28"/>
    <w:rsid w:val="005D3166"/>
    <w:rsid w:val="005D31CE"/>
    <w:rsid w:val="005D32BB"/>
    <w:rsid w:val="005D34AA"/>
    <w:rsid w:val="005D3551"/>
    <w:rsid w:val="005D36CB"/>
    <w:rsid w:val="005D3707"/>
    <w:rsid w:val="005D38D1"/>
    <w:rsid w:val="005D3ABB"/>
    <w:rsid w:val="005D3B86"/>
    <w:rsid w:val="005D3C3F"/>
    <w:rsid w:val="005D3CFA"/>
    <w:rsid w:val="005D3E8A"/>
    <w:rsid w:val="005D3EE2"/>
    <w:rsid w:val="005D3F02"/>
    <w:rsid w:val="005D3F0D"/>
    <w:rsid w:val="005D3FCC"/>
    <w:rsid w:val="005D40C0"/>
    <w:rsid w:val="005D421D"/>
    <w:rsid w:val="005D4228"/>
    <w:rsid w:val="005D42A7"/>
    <w:rsid w:val="005D42DE"/>
    <w:rsid w:val="005D44C0"/>
    <w:rsid w:val="005D45F0"/>
    <w:rsid w:val="005D46C3"/>
    <w:rsid w:val="005D480B"/>
    <w:rsid w:val="005D48B7"/>
    <w:rsid w:val="005D48DA"/>
    <w:rsid w:val="005D48E0"/>
    <w:rsid w:val="005D48F3"/>
    <w:rsid w:val="005D4952"/>
    <w:rsid w:val="005D4B88"/>
    <w:rsid w:val="005D4B99"/>
    <w:rsid w:val="005D4BAE"/>
    <w:rsid w:val="005D4BB0"/>
    <w:rsid w:val="005D4F00"/>
    <w:rsid w:val="005D4F25"/>
    <w:rsid w:val="005D4F96"/>
    <w:rsid w:val="005D501D"/>
    <w:rsid w:val="005D5176"/>
    <w:rsid w:val="005D51BA"/>
    <w:rsid w:val="005D52E2"/>
    <w:rsid w:val="005D5591"/>
    <w:rsid w:val="005D55B1"/>
    <w:rsid w:val="005D5755"/>
    <w:rsid w:val="005D57F0"/>
    <w:rsid w:val="005D5A2F"/>
    <w:rsid w:val="005D5B34"/>
    <w:rsid w:val="005D5E2C"/>
    <w:rsid w:val="005D5F9A"/>
    <w:rsid w:val="005D5FE7"/>
    <w:rsid w:val="005D60E1"/>
    <w:rsid w:val="005D62D5"/>
    <w:rsid w:val="005D633E"/>
    <w:rsid w:val="005D6373"/>
    <w:rsid w:val="005D6487"/>
    <w:rsid w:val="005D64AE"/>
    <w:rsid w:val="005D64C9"/>
    <w:rsid w:val="005D65C2"/>
    <w:rsid w:val="005D6623"/>
    <w:rsid w:val="005D66B8"/>
    <w:rsid w:val="005D66D8"/>
    <w:rsid w:val="005D67A4"/>
    <w:rsid w:val="005D6880"/>
    <w:rsid w:val="005D694F"/>
    <w:rsid w:val="005D6AF1"/>
    <w:rsid w:val="005D6BC4"/>
    <w:rsid w:val="005D6BD2"/>
    <w:rsid w:val="005D6D0C"/>
    <w:rsid w:val="005D6DA0"/>
    <w:rsid w:val="005D6E16"/>
    <w:rsid w:val="005D6E6E"/>
    <w:rsid w:val="005D7163"/>
    <w:rsid w:val="005D71B3"/>
    <w:rsid w:val="005D71CD"/>
    <w:rsid w:val="005D71D1"/>
    <w:rsid w:val="005D73DA"/>
    <w:rsid w:val="005D7417"/>
    <w:rsid w:val="005D74DA"/>
    <w:rsid w:val="005D7712"/>
    <w:rsid w:val="005D7727"/>
    <w:rsid w:val="005D78A0"/>
    <w:rsid w:val="005D7900"/>
    <w:rsid w:val="005D7ADB"/>
    <w:rsid w:val="005D7B75"/>
    <w:rsid w:val="005D7BA1"/>
    <w:rsid w:val="005D7BA7"/>
    <w:rsid w:val="005D7D85"/>
    <w:rsid w:val="005E006F"/>
    <w:rsid w:val="005E0079"/>
    <w:rsid w:val="005E0208"/>
    <w:rsid w:val="005E0297"/>
    <w:rsid w:val="005E03AD"/>
    <w:rsid w:val="005E072B"/>
    <w:rsid w:val="005E080D"/>
    <w:rsid w:val="005E08CB"/>
    <w:rsid w:val="005E097B"/>
    <w:rsid w:val="005E0E80"/>
    <w:rsid w:val="005E0FB3"/>
    <w:rsid w:val="005E1699"/>
    <w:rsid w:val="005E172A"/>
    <w:rsid w:val="005E1783"/>
    <w:rsid w:val="005E179C"/>
    <w:rsid w:val="005E17DB"/>
    <w:rsid w:val="005E18E6"/>
    <w:rsid w:val="005E1A63"/>
    <w:rsid w:val="005E1A73"/>
    <w:rsid w:val="005E1BB0"/>
    <w:rsid w:val="005E1C3B"/>
    <w:rsid w:val="005E1D00"/>
    <w:rsid w:val="005E202D"/>
    <w:rsid w:val="005E2060"/>
    <w:rsid w:val="005E2246"/>
    <w:rsid w:val="005E22A6"/>
    <w:rsid w:val="005E230A"/>
    <w:rsid w:val="005E2388"/>
    <w:rsid w:val="005E240F"/>
    <w:rsid w:val="005E27FA"/>
    <w:rsid w:val="005E29C2"/>
    <w:rsid w:val="005E2BBD"/>
    <w:rsid w:val="005E2BE0"/>
    <w:rsid w:val="005E2EEE"/>
    <w:rsid w:val="005E2EF4"/>
    <w:rsid w:val="005E3089"/>
    <w:rsid w:val="005E30BF"/>
    <w:rsid w:val="005E3113"/>
    <w:rsid w:val="005E3289"/>
    <w:rsid w:val="005E32A4"/>
    <w:rsid w:val="005E3447"/>
    <w:rsid w:val="005E3528"/>
    <w:rsid w:val="005E372F"/>
    <w:rsid w:val="005E38D0"/>
    <w:rsid w:val="005E3AB3"/>
    <w:rsid w:val="005E3B94"/>
    <w:rsid w:val="005E3F2F"/>
    <w:rsid w:val="005E3F4F"/>
    <w:rsid w:val="005E3FA3"/>
    <w:rsid w:val="005E407E"/>
    <w:rsid w:val="005E417E"/>
    <w:rsid w:val="005E41A1"/>
    <w:rsid w:val="005E41DD"/>
    <w:rsid w:val="005E4377"/>
    <w:rsid w:val="005E447C"/>
    <w:rsid w:val="005E4497"/>
    <w:rsid w:val="005E4512"/>
    <w:rsid w:val="005E4559"/>
    <w:rsid w:val="005E455F"/>
    <w:rsid w:val="005E45EE"/>
    <w:rsid w:val="005E4922"/>
    <w:rsid w:val="005E49FC"/>
    <w:rsid w:val="005E4AF4"/>
    <w:rsid w:val="005E4B6F"/>
    <w:rsid w:val="005E4DAA"/>
    <w:rsid w:val="005E4DD9"/>
    <w:rsid w:val="005E4E92"/>
    <w:rsid w:val="005E4ED9"/>
    <w:rsid w:val="005E4F19"/>
    <w:rsid w:val="005E4F2C"/>
    <w:rsid w:val="005E4FDC"/>
    <w:rsid w:val="005E509C"/>
    <w:rsid w:val="005E5512"/>
    <w:rsid w:val="005E55DA"/>
    <w:rsid w:val="005E57E5"/>
    <w:rsid w:val="005E5837"/>
    <w:rsid w:val="005E58E4"/>
    <w:rsid w:val="005E59D0"/>
    <w:rsid w:val="005E5A28"/>
    <w:rsid w:val="005E5A45"/>
    <w:rsid w:val="005E5B8C"/>
    <w:rsid w:val="005E5D1D"/>
    <w:rsid w:val="005E5EDF"/>
    <w:rsid w:val="005E5FA7"/>
    <w:rsid w:val="005E61AA"/>
    <w:rsid w:val="005E61E1"/>
    <w:rsid w:val="005E620C"/>
    <w:rsid w:val="005E6270"/>
    <w:rsid w:val="005E6335"/>
    <w:rsid w:val="005E6480"/>
    <w:rsid w:val="005E654C"/>
    <w:rsid w:val="005E675D"/>
    <w:rsid w:val="005E68D3"/>
    <w:rsid w:val="005E69FF"/>
    <w:rsid w:val="005E6A71"/>
    <w:rsid w:val="005E6B50"/>
    <w:rsid w:val="005E6C41"/>
    <w:rsid w:val="005E70CC"/>
    <w:rsid w:val="005E70E9"/>
    <w:rsid w:val="005E70EC"/>
    <w:rsid w:val="005E7148"/>
    <w:rsid w:val="005E7173"/>
    <w:rsid w:val="005E737C"/>
    <w:rsid w:val="005E7519"/>
    <w:rsid w:val="005E7632"/>
    <w:rsid w:val="005E7686"/>
    <w:rsid w:val="005E7758"/>
    <w:rsid w:val="005E7790"/>
    <w:rsid w:val="005E7899"/>
    <w:rsid w:val="005E795A"/>
    <w:rsid w:val="005E7A86"/>
    <w:rsid w:val="005E7AF3"/>
    <w:rsid w:val="005E7D61"/>
    <w:rsid w:val="005E7E4E"/>
    <w:rsid w:val="005E7E54"/>
    <w:rsid w:val="005E7ED7"/>
    <w:rsid w:val="005F00D7"/>
    <w:rsid w:val="005F0174"/>
    <w:rsid w:val="005F0216"/>
    <w:rsid w:val="005F0223"/>
    <w:rsid w:val="005F0399"/>
    <w:rsid w:val="005F047D"/>
    <w:rsid w:val="005F051E"/>
    <w:rsid w:val="005F05CB"/>
    <w:rsid w:val="005F066B"/>
    <w:rsid w:val="005F0970"/>
    <w:rsid w:val="005F0ABE"/>
    <w:rsid w:val="005F0C5A"/>
    <w:rsid w:val="005F0D85"/>
    <w:rsid w:val="005F0D8E"/>
    <w:rsid w:val="005F0DF6"/>
    <w:rsid w:val="005F0E7E"/>
    <w:rsid w:val="005F0E8B"/>
    <w:rsid w:val="005F0EB4"/>
    <w:rsid w:val="005F10AB"/>
    <w:rsid w:val="005F1185"/>
    <w:rsid w:val="005F145C"/>
    <w:rsid w:val="005F163C"/>
    <w:rsid w:val="005F1858"/>
    <w:rsid w:val="005F186D"/>
    <w:rsid w:val="005F1B8F"/>
    <w:rsid w:val="005F1BD9"/>
    <w:rsid w:val="005F1C2E"/>
    <w:rsid w:val="005F21DC"/>
    <w:rsid w:val="005F2226"/>
    <w:rsid w:val="005F2270"/>
    <w:rsid w:val="005F22BE"/>
    <w:rsid w:val="005F2337"/>
    <w:rsid w:val="005F23E8"/>
    <w:rsid w:val="005F240E"/>
    <w:rsid w:val="005F2806"/>
    <w:rsid w:val="005F28FE"/>
    <w:rsid w:val="005F2A3D"/>
    <w:rsid w:val="005F2C70"/>
    <w:rsid w:val="005F2C8F"/>
    <w:rsid w:val="005F3067"/>
    <w:rsid w:val="005F30B8"/>
    <w:rsid w:val="005F317D"/>
    <w:rsid w:val="005F32EF"/>
    <w:rsid w:val="005F342E"/>
    <w:rsid w:val="005F34B4"/>
    <w:rsid w:val="005F3548"/>
    <w:rsid w:val="005F355F"/>
    <w:rsid w:val="005F36BC"/>
    <w:rsid w:val="005F3723"/>
    <w:rsid w:val="005F37EE"/>
    <w:rsid w:val="005F3A63"/>
    <w:rsid w:val="005F3A8F"/>
    <w:rsid w:val="005F3D2E"/>
    <w:rsid w:val="005F3D83"/>
    <w:rsid w:val="005F3EA9"/>
    <w:rsid w:val="005F40E1"/>
    <w:rsid w:val="005F42E3"/>
    <w:rsid w:val="005F43FC"/>
    <w:rsid w:val="005F4486"/>
    <w:rsid w:val="005F4808"/>
    <w:rsid w:val="005F4872"/>
    <w:rsid w:val="005F487B"/>
    <w:rsid w:val="005F4884"/>
    <w:rsid w:val="005F490C"/>
    <w:rsid w:val="005F49EB"/>
    <w:rsid w:val="005F4A32"/>
    <w:rsid w:val="005F4A48"/>
    <w:rsid w:val="005F4EF5"/>
    <w:rsid w:val="005F4FB9"/>
    <w:rsid w:val="005F5032"/>
    <w:rsid w:val="005F5066"/>
    <w:rsid w:val="005F5122"/>
    <w:rsid w:val="005F52BC"/>
    <w:rsid w:val="005F52BD"/>
    <w:rsid w:val="005F52E2"/>
    <w:rsid w:val="005F52E9"/>
    <w:rsid w:val="005F52FD"/>
    <w:rsid w:val="005F534E"/>
    <w:rsid w:val="005F54A6"/>
    <w:rsid w:val="005F5538"/>
    <w:rsid w:val="005F556F"/>
    <w:rsid w:val="005F57C6"/>
    <w:rsid w:val="005F59FE"/>
    <w:rsid w:val="005F5ACA"/>
    <w:rsid w:val="005F5AF7"/>
    <w:rsid w:val="005F5C15"/>
    <w:rsid w:val="005F5E0C"/>
    <w:rsid w:val="005F5E43"/>
    <w:rsid w:val="005F5EE0"/>
    <w:rsid w:val="005F5FF2"/>
    <w:rsid w:val="005F61CB"/>
    <w:rsid w:val="005F6329"/>
    <w:rsid w:val="005F6626"/>
    <w:rsid w:val="005F66A0"/>
    <w:rsid w:val="005F66A4"/>
    <w:rsid w:val="005F6B6B"/>
    <w:rsid w:val="005F6CBA"/>
    <w:rsid w:val="005F6D37"/>
    <w:rsid w:val="005F6F41"/>
    <w:rsid w:val="005F70BE"/>
    <w:rsid w:val="005F70C8"/>
    <w:rsid w:val="005F7408"/>
    <w:rsid w:val="005F7420"/>
    <w:rsid w:val="005F744A"/>
    <w:rsid w:val="005F7461"/>
    <w:rsid w:val="005F75B4"/>
    <w:rsid w:val="005F7623"/>
    <w:rsid w:val="005F76FB"/>
    <w:rsid w:val="005F7764"/>
    <w:rsid w:val="005F78E9"/>
    <w:rsid w:val="005F7931"/>
    <w:rsid w:val="005F7953"/>
    <w:rsid w:val="005F7AE0"/>
    <w:rsid w:val="005F7AFE"/>
    <w:rsid w:val="005F7C27"/>
    <w:rsid w:val="005F7DC0"/>
    <w:rsid w:val="005F7DE2"/>
    <w:rsid w:val="005F7E39"/>
    <w:rsid w:val="005F7E64"/>
    <w:rsid w:val="005F7EF8"/>
    <w:rsid w:val="005F7F61"/>
    <w:rsid w:val="005F7F7D"/>
    <w:rsid w:val="00600235"/>
    <w:rsid w:val="0060028E"/>
    <w:rsid w:val="00600301"/>
    <w:rsid w:val="00600307"/>
    <w:rsid w:val="0060035D"/>
    <w:rsid w:val="0060036B"/>
    <w:rsid w:val="00600B9F"/>
    <w:rsid w:val="00600C1C"/>
    <w:rsid w:val="00600D6C"/>
    <w:rsid w:val="00600E09"/>
    <w:rsid w:val="0060108B"/>
    <w:rsid w:val="006010D2"/>
    <w:rsid w:val="006010ED"/>
    <w:rsid w:val="006011DC"/>
    <w:rsid w:val="006014BF"/>
    <w:rsid w:val="006015C5"/>
    <w:rsid w:val="00601688"/>
    <w:rsid w:val="006016F1"/>
    <w:rsid w:val="00601740"/>
    <w:rsid w:val="0060177E"/>
    <w:rsid w:val="006017C5"/>
    <w:rsid w:val="006019BB"/>
    <w:rsid w:val="00601CBE"/>
    <w:rsid w:val="00601CD6"/>
    <w:rsid w:val="00601DCB"/>
    <w:rsid w:val="00601E92"/>
    <w:rsid w:val="00601F36"/>
    <w:rsid w:val="00601F7A"/>
    <w:rsid w:val="00602025"/>
    <w:rsid w:val="006021EC"/>
    <w:rsid w:val="0060230A"/>
    <w:rsid w:val="00602338"/>
    <w:rsid w:val="00602360"/>
    <w:rsid w:val="00602438"/>
    <w:rsid w:val="006024AB"/>
    <w:rsid w:val="006024DE"/>
    <w:rsid w:val="00602603"/>
    <w:rsid w:val="00602652"/>
    <w:rsid w:val="0060286E"/>
    <w:rsid w:val="006028F3"/>
    <w:rsid w:val="00602919"/>
    <w:rsid w:val="00602AC6"/>
    <w:rsid w:val="00602BCF"/>
    <w:rsid w:val="00602BD5"/>
    <w:rsid w:val="00602FE0"/>
    <w:rsid w:val="00603330"/>
    <w:rsid w:val="0060333D"/>
    <w:rsid w:val="00603343"/>
    <w:rsid w:val="0060334C"/>
    <w:rsid w:val="00603504"/>
    <w:rsid w:val="0060364B"/>
    <w:rsid w:val="006036B4"/>
    <w:rsid w:val="00603713"/>
    <w:rsid w:val="0060380D"/>
    <w:rsid w:val="0060386C"/>
    <w:rsid w:val="0060393D"/>
    <w:rsid w:val="00603949"/>
    <w:rsid w:val="00603A1A"/>
    <w:rsid w:val="00603A98"/>
    <w:rsid w:val="00603B41"/>
    <w:rsid w:val="00603BAB"/>
    <w:rsid w:val="00603D50"/>
    <w:rsid w:val="006040C3"/>
    <w:rsid w:val="006042AF"/>
    <w:rsid w:val="00604312"/>
    <w:rsid w:val="00604367"/>
    <w:rsid w:val="00604750"/>
    <w:rsid w:val="0060497B"/>
    <w:rsid w:val="00604AFD"/>
    <w:rsid w:val="00604B00"/>
    <w:rsid w:val="00604CC0"/>
    <w:rsid w:val="00604D21"/>
    <w:rsid w:val="00604E8A"/>
    <w:rsid w:val="00604ECA"/>
    <w:rsid w:val="00604F27"/>
    <w:rsid w:val="006051AF"/>
    <w:rsid w:val="00605211"/>
    <w:rsid w:val="006052EE"/>
    <w:rsid w:val="00605323"/>
    <w:rsid w:val="0060543C"/>
    <w:rsid w:val="0060546B"/>
    <w:rsid w:val="006054D2"/>
    <w:rsid w:val="00605507"/>
    <w:rsid w:val="00605613"/>
    <w:rsid w:val="0060565B"/>
    <w:rsid w:val="006056E8"/>
    <w:rsid w:val="00605799"/>
    <w:rsid w:val="00605A58"/>
    <w:rsid w:val="00605C41"/>
    <w:rsid w:val="00605CAB"/>
    <w:rsid w:val="00605E0C"/>
    <w:rsid w:val="0060601F"/>
    <w:rsid w:val="00606066"/>
    <w:rsid w:val="00606144"/>
    <w:rsid w:val="00606161"/>
    <w:rsid w:val="0060642E"/>
    <w:rsid w:val="006064EA"/>
    <w:rsid w:val="006064F0"/>
    <w:rsid w:val="0060656D"/>
    <w:rsid w:val="0060666F"/>
    <w:rsid w:val="0060667D"/>
    <w:rsid w:val="00606697"/>
    <w:rsid w:val="006066C1"/>
    <w:rsid w:val="006068B4"/>
    <w:rsid w:val="006069A6"/>
    <w:rsid w:val="006069E1"/>
    <w:rsid w:val="00606A33"/>
    <w:rsid w:val="00606AC4"/>
    <w:rsid w:val="00606AE8"/>
    <w:rsid w:val="00606B64"/>
    <w:rsid w:val="00606BA5"/>
    <w:rsid w:val="00606BD8"/>
    <w:rsid w:val="00606C25"/>
    <w:rsid w:val="00606C2D"/>
    <w:rsid w:val="00606F05"/>
    <w:rsid w:val="00607008"/>
    <w:rsid w:val="0060727D"/>
    <w:rsid w:val="006072DC"/>
    <w:rsid w:val="006072E0"/>
    <w:rsid w:val="006073FF"/>
    <w:rsid w:val="006075B5"/>
    <w:rsid w:val="006075BD"/>
    <w:rsid w:val="006075E8"/>
    <w:rsid w:val="00607716"/>
    <w:rsid w:val="00607737"/>
    <w:rsid w:val="0060789F"/>
    <w:rsid w:val="0060792E"/>
    <w:rsid w:val="00607B98"/>
    <w:rsid w:val="00607B9C"/>
    <w:rsid w:val="00607C50"/>
    <w:rsid w:val="00607D9B"/>
    <w:rsid w:val="00607E65"/>
    <w:rsid w:val="00607ECF"/>
    <w:rsid w:val="00607EE6"/>
    <w:rsid w:val="0061003D"/>
    <w:rsid w:val="006100EE"/>
    <w:rsid w:val="006101CB"/>
    <w:rsid w:val="006103E3"/>
    <w:rsid w:val="0061066E"/>
    <w:rsid w:val="006107D7"/>
    <w:rsid w:val="0061089C"/>
    <w:rsid w:val="00610919"/>
    <w:rsid w:val="00610A20"/>
    <w:rsid w:val="00610A58"/>
    <w:rsid w:val="00610B07"/>
    <w:rsid w:val="00610C20"/>
    <w:rsid w:val="00610C45"/>
    <w:rsid w:val="00610D1E"/>
    <w:rsid w:val="00610F70"/>
    <w:rsid w:val="00611153"/>
    <w:rsid w:val="006112ED"/>
    <w:rsid w:val="00611468"/>
    <w:rsid w:val="006114E4"/>
    <w:rsid w:val="006114EF"/>
    <w:rsid w:val="006114F2"/>
    <w:rsid w:val="0061173A"/>
    <w:rsid w:val="006117EA"/>
    <w:rsid w:val="006117F0"/>
    <w:rsid w:val="006118CA"/>
    <w:rsid w:val="006119C5"/>
    <w:rsid w:val="00611AB7"/>
    <w:rsid w:val="00611B97"/>
    <w:rsid w:val="00611D6D"/>
    <w:rsid w:val="00611DDE"/>
    <w:rsid w:val="00612107"/>
    <w:rsid w:val="006121BE"/>
    <w:rsid w:val="00612222"/>
    <w:rsid w:val="0061231D"/>
    <w:rsid w:val="0061247B"/>
    <w:rsid w:val="00612498"/>
    <w:rsid w:val="00612637"/>
    <w:rsid w:val="00612744"/>
    <w:rsid w:val="006128B3"/>
    <w:rsid w:val="00612961"/>
    <w:rsid w:val="00612A49"/>
    <w:rsid w:val="00612B8A"/>
    <w:rsid w:val="00612C24"/>
    <w:rsid w:val="00612CDB"/>
    <w:rsid w:val="00612E31"/>
    <w:rsid w:val="00612EC2"/>
    <w:rsid w:val="00613124"/>
    <w:rsid w:val="00613149"/>
    <w:rsid w:val="00613164"/>
    <w:rsid w:val="006131BF"/>
    <w:rsid w:val="0061342F"/>
    <w:rsid w:val="00613569"/>
    <w:rsid w:val="006135CE"/>
    <w:rsid w:val="00613616"/>
    <w:rsid w:val="00613958"/>
    <w:rsid w:val="006139F7"/>
    <w:rsid w:val="00613B65"/>
    <w:rsid w:val="00613C0D"/>
    <w:rsid w:val="00613C51"/>
    <w:rsid w:val="00613C8C"/>
    <w:rsid w:val="00613D8E"/>
    <w:rsid w:val="00613DC3"/>
    <w:rsid w:val="00613DDE"/>
    <w:rsid w:val="00613EC5"/>
    <w:rsid w:val="00614307"/>
    <w:rsid w:val="0061443A"/>
    <w:rsid w:val="00614565"/>
    <w:rsid w:val="00614593"/>
    <w:rsid w:val="006145D9"/>
    <w:rsid w:val="006146E6"/>
    <w:rsid w:val="006147C8"/>
    <w:rsid w:val="0061485B"/>
    <w:rsid w:val="0061494E"/>
    <w:rsid w:val="006149CE"/>
    <w:rsid w:val="00614C63"/>
    <w:rsid w:val="00614CED"/>
    <w:rsid w:val="00614CF5"/>
    <w:rsid w:val="00614DB5"/>
    <w:rsid w:val="00614DDD"/>
    <w:rsid w:val="00614E97"/>
    <w:rsid w:val="00614F95"/>
    <w:rsid w:val="006150C1"/>
    <w:rsid w:val="006151EB"/>
    <w:rsid w:val="0061526C"/>
    <w:rsid w:val="00615322"/>
    <w:rsid w:val="00615351"/>
    <w:rsid w:val="00615399"/>
    <w:rsid w:val="00615441"/>
    <w:rsid w:val="006154D3"/>
    <w:rsid w:val="006154FE"/>
    <w:rsid w:val="00615522"/>
    <w:rsid w:val="006156ED"/>
    <w:rsid w:val="006158CF"/>
    <w:rsid w:val="006158D8"/>
    <w:rsid w:val="00615A42"/>
    <w:rsid w:val="00615B04"/>
    <w:rsid w:val="00615C9E"/>
    <w:rsid w:val="00615D28"/>
    <w:rsid w:val="00615D3E"/>
    <w:rsid w:val="00615E53"/>
    <w:rsid w:val="00615E6E"/>
    <w:rsid w:val="00615E9E"/>
    <w:rsid w:val="00615F6D"/>
    <w:rsid w:val="00616091"/>
    <w:rsid w:val="00616156"/>
    <w:rsid w:val="00616323"/>
    <w:rsid w:val="006163C5"/>
    <w:rsid w:val="006164D2"/>
    <w:rsid w:val="00616589"/>
    <w:rsid w:val="00616606"/>
    <w:rsid w:val="006166DE"/>
    <w:rsid w:val="00616855"/>
    <w:rsid w:val="00616A56"/>
    <w:rsid w:val="00616B42"/>
    <w:rsid w:val="00616BB9"/>
    <w:rsid w:val="00616E39"/>
    <w:rsid w:val="00616E9D"/>
    <w:rsid w:val="006170CF"/>
    <w:rsid w:val="006170DE"/>
    <w:rsid w:val="006170FA"/>
    <w:rsid w:val="00617208"/>
    <w:rsid w:val="006172B1"/>
    <w:rsid w:val="00617327"/>
    <w:rsid w:val="00617518"/>
    <w:rsid w:val="006175E0"/>
    <w:rsid w:val="0061771D"/>
    <w:rsid w:val="00617A28"/>
    <w:rsid w:val="00617B1B"/>
    <w:rsid w:val="00617C2F"/>
    <w:rsid w:val="00617DD0"/>
    <w:rsid w:val="00617E0E"/>
    <w:rsid w:val="00617E20"/>
    <w:rsid w:val="00617E5D"/>
    <w:rsid w:val="00617E62"/>
    <w:rsid w:val="00617F89"/>
    <w:rsid w:val="006200B6"/>
    <w:rsid w:val="00620453"/>
    <w:rsid w:val="00620475"/>
    <w:rsid w:val="0062050D"/>
    <w:rsid w:val="006205A3"/>
    <w:rsid w:val="00620646"/>
    <w:rsid w:val="00620690"/>
    <w:rsid w:val="0062076B"/>
    <w:rsid w:val="006208D6"/>
    <w:rsid w:val="00620DC8"/>
    <w:rsid w:val="00620DE3"/>
    <w:rsid w:val="00620EDB"/>
    <w:rsid w:val="00620F85"/>
    <w:rsid w:val="0062100E"/>
    <w:rsid w:val="0062147C"/>
    <w:rsid w:val="00621769"/>
    <w:rsid w:val="00621946"/>
    <w:rsid w:val="00621B68"/>
    <w:rsid w:val="00621D7F"/>
    <w:rsid w:val="00622539"/>
    <w:rsid w:val="0062253E"/>
    <w:rsid w:val="006225D8"/>
    <w:rsid w:val="0062283B"/>
    <w:rsid w:val="00622973"/>
    <w:rsid w:val="00622989"/>
    <w:rsid w:val="006229AE"/>
    <w:rsid w:val="006229F1"/>
    <w:rsid w:val="00622ACC"/>
    <w:rsid w:val="00622C35"/>
    <w:rsid w:val="00622E1D"/>
    <w:rsid w:val="00622EBF"/>
    <w:rsid w:val="00622F19"/>
    <w:rsid w:val="00622F25"/>
    <w:rsid w:val="00622F7C"/>
    <w:rsid w:val="00622F9F"/>
    <w:rsid w:val="006230B7"/>
    <w:rsid w:val="006231AD"/>
    <w:rsid w:val="00623273"/>
    <w:rsid w:val="00623301"/>
    <w:rsid w:val="00623422"/>
    <w:rsid w:val="00623622"/>
    <w:rsid w:val="00623773"/>
    <w:rsid w:val="00623817"/>
    <w:rsid w:val="00623964"/>
    <w:rsid w:val="00623994"/>
    <w:rsid w:val="006239A3"/>
    <w:rsid w:val="006239F5"/>
    <w:rsid w:val="00623B67"/>
    <w:rsid w:val="00623D1D"/>
    <w:rsid w:val="00623D57"/>
    <w:rsid w:val="00623E54"/>
    <w:rsid w:val="0062404B"/>
    <w:rsid w:val="006241FE"/>
    <w:rsid w:val="00624215"/>
    <w:rsid w:val="006242A3"/>
    <w:rsid w:val="006245AD"/>
    <w:rsid w:val="00624668"/>
    <w:rsid w:val="00624688"/>
    <w:rsid w:val="0062477E"/>
    <w:rsid w:val="00624804"/>
    <w:rsid w:val="00624821"/>
    <w:rsid w:val="006248DB"/>
    <w:rsid w:val="00624993"/>
    <w:rsid w:val="006249AE"/>
    <w:rsid w:val="00624A0E"/>
    <w:rsid w:val="00624A13"/>
    <w:rsid w:val="00624A2B"/>
    <w:rsid w:val="00624C13"/>
    <w:rsid w:val="00624D0E"/>
    <w:rsid w:val="00624DF5"/>
    <w:rsid w:val="00624EBB"/>
    <w:rsid w:val="00624F41"/>
    <w:rsid w:val="006251A1"/>
    <w:rsid w:val="006251DA"/>
    <w:rsid w:val="006251EF"/>
    <w:rsid w:val="00625260"/>
    <w:rsid w:val="006254B7"/>
    <w:rsid w:val="006255B2"/>
    <w:rsid w:val="006255C9"/>
    <w:rsid w:val="0062564D"/>
    <w:rsid w:val="0062564E"/>
    <w:rsid w:val="00625897"/>
    <w:rsid w:val="0062591A"/>
    <w:rsid w:val="00625AA3"/>
    <w:rsid w:val="00625C8D"/>
    <w:rsid w:val="006261E9"/>
    <w:rsid w:val="0062624F"/>
    <w:rsid w:val="006262C5"/>
    <w:rsid w:val="00626300"/>
    <w:rsid w:val="0062637C"/>
    <w:rsid w:val="0062648C"/>
    <w:rsid w:val="00626526"/>
    <w:rsid w:val="006267B4"/>
    <w:rsid w:val="006268C6"/>
    <w:rsid w:val="00626940"/>
    <w:rsid w:val="00626B51"/>
    <w:rsid w:val="00626BB8"/>
    <w:rsid w:val="00626BE8"/>
    <w:rsid w:val="00626C23"/>
    <w:rsid w:val="00626CB0"/>
    <w:rsid w:val="00627038"/>
    <w:rsid w:val="006270A8"/>
    <w:rsid w:val="006271C7"/>
    <w:rsid w:val="0062722C"/>
    <w:rsid w:val="006272CE"/>
    <w:rsid w:val="00627514"/>
    <w:rsid w:val="006275A0"/>
    <w:rsid w:val="00627620"/>
    <w:rsid w:val="00627699"/>
    <w:rsid w:val="006276DD"/>
    <w:rsid w:val="0062775C"/>
    <w:rsid w:val="006277C5"/>
    <w:rsid w:val="0062791C"/>
    <w:rsid w:val="0062792E"/>
    <w:rsid w:val="00627BF5"/>
    <w:rsid w:val="00627D00"/>
    <w:rsid w:val="00627EE1"/>
    <w:rsid w:val="00627FA8"/>
    <w:rsid w:val="00627FF3"/>
    <w:rsid w:val="0063002E"/>
    <w:rsid w:val="006300B1"/>
    <w:rsid w:val="006300E1"/>
    <w:rsid w:val="00630135"/>
    <w:rsid w:val="006302D4"/>
    <w:rsid w:val="006302D8"/>
    <w:rsid w:val="00630512"/>
    <w:rsid w:val="00630551"/>
    <w:rsid w:val="00630A1A"/>
    <w:rsid w:val="00630A68"/>
    <w:rsid w:val="00630CA8"/>
    <w:rsid w:val="00630DAE"/>
    <w:rsid w:val="00630F22"/>
    <w:rsid w:val="006310FD"/>
    <w:rsid w:val="0063116A"/>
    <w:rsid w:val="00631174"/>
    <w:rsid w:val="006311A5"/>
    <w:rsid w:val="006311D6"/>
    <w:rsid w:val="0063126A"/>
    <w:rsid w:val="00631411"/>
    <w:rsid w:val="00631455"/>
    <w:rsid w:val="0063146B"/>
    <w:rsid w:val="00631482"/>
    <w:rsid w:val="00631799"/>
    <w:rsid w:val="00631B50"/>
    <w:rsid w:val="00631CFC"/>
    <w:rsid w:val="00631D44"/>
    <w:rsid w:val="00631D49"/>
    <w:rsid w:val="00631DA2"/>
    <w:rsid w:val="00631DD6"/>
    <w:rsid w:val="00632019"/>
    <w:rsid w:val="00632357"/>
    <w:rsid w:val="006323E1"/>
    <w:rsid w:val="00632475"/>
    <w:rsid w:val="0063253C"/>
    <w:rsid w:val="00632608"/>
    <w:rsid w:val="0063263C"/>
    <w:rsid w:val="006328F3"/>
    <w:rsid w:val="0063292B"/>
    <w:rsid w:val="00632993"/>
    <w:rsid w:val="00632BBE"/>
    <w:rsid w:val="00632D1A"/>
    <w:rsid w:val="00632D64"/>
    <w:rsid w:val="00633203"/>
    <w:rsid w:val="0063332C"/>
    <w:rsid w:val="00633490"/>
    <w:rsid w:val="00633513"/>
    <w:rsid w:val="006335F3"/>
    <w:rsid w:val="006335F7"/>
    <w:rsid w:val="006338B5"/>
    <w:rsid w:val="006339EF"/>
    <w:rsid w:val="00633D35"/>
    <w:rsid w:val="00633E02"/>
    <w:rsid w:val="00633E81"/>
    <w:rsid w:val="006340A0"/>
    <w:rsid w:val="0063410C"/>
    <w:rsid w:val="006341F7"/>
    <w:rsid w:val="006343DC"/>
    <w:rsid w:val="0063465E"/>
    <w:rsid w:val="006346CB"/>
    <w:rsid w:val="0063484D"/>
    <w:rsid w:val="00634953"/>
    <w:rsid w:val="006349C6"/>
    <w:rsid w:val="00634ACC"/>
    <w:rsid w:val="00634B00"/>
    <w:rsid w:val="00634B28"/>
    <w:rsid w:val="00634BA9"/>
    <w:rsid w:val="00634CD2"/>
    <w:rsid w:val="00634CE5"/>
    <w:rsid w:val="00634F9D"/>
    <w:rsid w:val="00635119"/>
    <w:rsid w:val="006353C0"/>
    <w:rsid w:val="006353FC"/>
    <w:rsid w:val="00635439"/>
    <w:rsid w:val="00635497"/>
    <w:rsid w:val="006359DC"/>
    <w:rsid w:val="00635AA6"/>
    <w:rsid w:val="00635F6B"/>
    <w:rsid w:val="00635F77"/>
    <w:rsid w:val="00635FA3"/>
    <w:rsid w:val="00636093"/>
    <w:rsid w:val="006367B9"/>
    <w:rsid w:val="0063687F"/>
    <w:rsid w:val="00636909"/>
    <w:rsid w:val="0063693F"/>
    <w:rsid w:val="00636AC4"/>
    <w:rsid w:val="00636BEF"/>
    <w:rsid w:val="00636C68"/>
    <w:rsid w:val="00636CC6"/>
    <w:rsid w:val="00636D95"/>
    <w:rsid w:val="00636E9B"/>
    <w:rsid w:val="00636F42"/>
    <w:rsid w:val="00636F70"/>
    <w:rsid w:val="00637111"/>
    <w:rsid w:val="00637212"/>
    <w:rsid w:val="006373DD"/>
    <w:rsid w:val="0063745D"/>
    <w:rsid w:val="006375FC"/>
    <w:rsid w:val="00637710"/>
    <w:rsid w:val="00637733"/>
    <w:rsid w:val="006377CB"/>
    <w:rsid w:val="0063780C"/>
    <w:rsid w:val="00637A52"/>
    <w:rsid w:val="00637B82"/>
    <w:rsid w:val="00637D4E"/>
    <w:rsid w:val="00637DDC"/>
    <w:rsid w:val="00637E7E"/>
    <w:rsid w:val="00637E85"/>
    <w:rsid w:val="00637F30"/>
    <w:rsid w:val="0064002A"/>
    <w:rsid w:val="0064006C"/>
    <w:rsid w:val="006400C1"/>
    <w:rsid w:val="006400E8"/>
    <w:rsid w:val="00640158"/>
    <w:rsid w:val="0064015D"/>
    <w:rsid w:val="0064038D"/>
    <w:rsid w:val="00640516"/>
    <w:rsid w:val="00640531"/>
    <w:rsid w:val="00640589"/>
    <w:rsid w:val="006405A9"/>
    <w:rsid w:val="006405B3"/>
    <w:rsid w:val="006406AA"/>
    <w:rsid w:val="00640797"/>
    <w:rsid w:val="006408B6"/>
    <w:rsid w:val="0064099E"/>
    <w:rsid w:val="00640AFF"/>
    <w:rsid w:val="00640BBA"/>
    <w:rsid w:val="00640EC3"/>
    <w:rsid w:val="00640F8F"/>
    <w:rsid w:val="00641004"/>
    <w:rsid w:val="00641071"/>
    <w:rsid w:val="00641255"/>
    <w:rsid w:val="006412F6"/>
    <w:rsid w:val="0064130C"/>
    <w:rsid w:val="006414A5"/>
    <w:rsid w:val="006415FC"/>
    <w:rsid w:val="0064162F"/>
    <w:rsid w:val="00641832"/>
    <w:rsid w:val="006419AB"/>
    <w:rsid w:val="006419FC"/>
    <w:rsid w:val="00641A07"/>
    <w:rsid w:val="00641B7C"/>
    <w:rsid w:val="00641CAD"/>
    <w:rsid w:val="00641CF7"/>
    <w:rsid w:val="00641D9D"/>
    <w:rsid w:val="00641E51"/>
    <w:rsid w:val="00641E59"/>
    <w:rsid w:val="006421D4"/>
    <w:rsid w:val="00642208"/>
    <w:rsid w:val="0064224A"/>
    <w:rsid w:val="00642321"/>
    <w:rsid w:val="006423C2"/>
    <w:rsid w:val="006423D8"/>
    <w:rsid w:val="00642415"/>
    <w:rsid w:val="006426D1"/>
    <w:rsid w:val="006426E0"/>
    <w:rsid w:val="0064294E"/>
    <w:rsid w:val="006429E6"/>
    <w:rsid w:val="00642A77"/>
    <w:rsid w:val="00642D21"/>
    <w:rsid w:val="00642E5E"/>
    <w:rsid w:val="00643105"/>
    <w:rsid w:val="0064316A"/>
    <w:rsid w:val="0064323B"/>
    <w:rsid w:val="0064335E"/>
    <w:rsid w:val="006433A3"/>
    <w:rsid w:val="0064349E"/>
    <w:rsid w:val="006434A5"/>
    <w:rsid w:val="006434C5"/>
    <w:rsid w:val="00643605"/>
    <w:rsid w:val="006436BF"/>
    <w:rsid w:val="006436EF"/>
    <w:rsid w:val="00643960"/>
    <w:rsid w:val="006439DC"/>
    <w:rsid w:val="006439E0"/>
    <w:rsid w:val="00643B36"/>
    <w:rsid w:val="00643C83"/>
    <w:rsid w:val="00643DE0"/>
    <w:rsid w:val="00643F6D"/>
    <w:rsid w:val="0064438A"/>
    <w:rsid w:val="0064449A"/>
    <w:rsid w:val="006446DA"/>
    <w:rsid w:val="006446EC"/>
    <w:rsid w:val="0064472E"/>
    <w:rsid w:val="0064481A"/>
    <w:rsid w:val="006448F1"/>
    <w:rsid w:val="00644C2D"/>
    <w:rsid w:val="00644C99"/>
    <w:rsid w:val="00644DA4"/>
    <w:rsid w:val="006450BC"/>
    <w:rsid w:val="006450C0"/>
    <w:rsid w:val="006450DA"/>
    <w:rsid w:val="0064548F"/>
    <w:rsid w:val="00645526"/>
    <w:rsid w:val="006455D0"/>
    <w:rsid w:val="006456DB"/>
    <w:rsid w:val="00645740"/>
    <w:rsid w:val="00645780"/>
    <w:rsid w:val="006457F7"/>
    <w:rsid w:val="0064588A"/>
    <w:rsid w:val="00645C59"/>
    <w:rsid w:val="00645CA4"/>
    <w:rsid w:val="00645CAC"/>
    <w:rsid w:val="00645D4A"/>
    <w:rsid w:val="00645D87"/>
    <w:rsid w:val="00645DB9"/>
    <w:rsid w:val="00645DD5"/>
    <w:rsid w:val="00645E1E"/>
    <w:rsid w:val="0064601C"/>
    <w:rsid w:val="0064603F"/>
    <w:rsid w:val="0064620D"/>
    <w:rsid w:val="006462FB"/>
    <w:rsid w:val="0064658B"/>
    <w:rsid w:val="00646605"/>
    <w:rsid w:val="00646657"/>
    <w:rsid w:val="0064680E"/>
    <w:rsid w:val="00646830"/>
    <w:rsid w:val="00646919"/>
    <w:rsid w:val="00646A75"/>
    <w:rsid w:val="00646BB6"/>
    <w:rsid w:val="00646BE3"/>
    <w:rsid w:val="00646BF3"/>
    <w:rsid w:val="00646C7B"/>
    <w:rsid w:val="00646D8F"/>
    <w:rsid w:val="00647254"/>
    <w:rsid w:val="006472ED"/>
    <w:rsid w:val="0064737A"/>
    <w:rsid w:val="006476EB"/>
    <w:rsid w:val="00647785"/>
    <w:rsid w:val="00647791"/>
    <w:rsid w:val="0064797A"/>
    <w:rsid w:val="00647993"/>
    <w:rsid w:val="006479B4"/>
    <w:rsid w:val="00647BB9"/>
    <w:rsid w:val="00647CD6"/>
    <w:rsid w:val="00647CFD"/>
    <w:rsid w:val="00647D16"/>
    <w:rsid w:val="00647E23"/>
    <w:rsid w:val="00647ECA"/>
    <w:rsid w:val="00647ECE"/>
    <w:rsid w:val="00647F39"/>
    <w:rsid w:val="00647F3A"/>
    <w:rsid w:val="00647F73"/>
    <w:rsid w:val="00647F78"/>
    <w:rsid w:val="00647F91"/>
    <w:rsid w:val="006500C5"/>
    <w:rsid w:val="0065010E"/>
    <w:rsid w:val="0065028D"/>
    <w:rsid w:val="0065029B"/>
    <w:rsid w:val="006503E0"/>
    <w:rsid w:val="006504B6"/>
    <w:rsid w:val="00650613"/>
    <w:rsid w:val="006506DA"/>
    <w:rsid w:val="006508FB"/>
    <w:rsid w:val="00650930"/>
    <w:rsid w:val="00650AAD"/>
    <w:rsid w:val="00650B29"/>
    <w:rsid w:val="00650D55"/>
    <w:rsid w:val="00650D9D"/>
    <w:rsid w:val="00650E4C"/>
    <w:rsid w:val="00650E81"/>
    <w:rsid w:val="00650ECA"/>
    <w:rsid w:val="00650F01"/>
    <w:rsid w:val="00650FDA"/>
    <w:rsid w:val="00650FF4"/>
    <w:rsid w:val="00650FF9"/>
    <w:rsid w:val="0065100C"/>
    <w:rsid w:val="006511B1"/>
    <w:rsid w:val="0065120B"/>
    <w:rsid w:val="00651275"/>
    <w:rsid w:val="006512E7"/>
    <w:rsid w:val="006512F3"/>
    <w:rsid w:val="006512F8"/>
    <w:rsid w:val="0065148D"/>
    <w:rsid w:val="006515B6"/>
    <w:rsid w:val="00651705"/>
    <w:rsid w:val="00651750"/>
    <w:rsid w:val="00651757"/>
    <w:rsid w:val="00651EFD"/>
    <w:rsid w:val="006520B1"/>
    <w:rsid w:val="006520BE"/>
    <w:rsid w:val="006521B6"/>
    <w:rsid w:val="006522F8"/>
    <w:rsid w:val="00652400"/>
    <w:rsid w:val="00652523"/>
    <w:rsid w:val="0065256C"/>
    <w:rsid w:val="006525BB"/>
    <w:rsid w:val="00652746"/>
    <w:rsid w:val="0065283A"/>
    <w:rsid w:val="0065283B"/>
    <w:rsid w:val="00652C04"/>
    <w:rsid w:val="00652C8A"/>
    <w:rsid w:val="00652D65"/>
    <w:rsid w:val="00652FC3"/>
    <w:rsid w:val="006532A2"/>
    <w:rsid w:val="006532FC"/>
    <w:rsid w:val="0065337B"/>
    <w:rsid w:val="006535DF"/>
    <w:rsid w:val="00653631"/>
    <w:rsid w:val="00653883"/>
    <w:rsid w:val="0065395E"/>
    <w:rsid w:val="00653AEA"/>
    <w:rsid w:val="00653D3C"/>
    <w:rsid w:val="00653D70"/>
    <w:rsid w:val="00653DA4"/>
    <w:rsid w:val="00653E99"/>
    <w:rsid w:val="00653EB7"/>
    <w:rsid w:val="00653EBA"/>
    <w:rsid w:val="00653EBC"/>
    <w:rsid w:val="00653F5F"/>
    <w:rsid w:val="00654051"/>
    <w:rsid w:val="00654102"/>
    <w:rsid w:val="0065418A"/>
    <w:rsid w:val="006542E5"/>
    <w:rsid w:val="006543A0"/>
    <w:rsid w:val="00654407"/>
    <w:rsid w:val="006544E2"/>
    <w:rsid w:val="00654684"/>
    <w:rsid w:val="00654721"/>
    <w:rsid w:val="00654A49"/>
    <w:rsid w:val="00654C36"/>
    <w:rsid w:val="00654C73"/>
    <w:rsid w:val="00654FBC"/>
    <w:rsid w:val="00655086"/>
    <w:rsid w:val="006550DC"/>
    <w:rsid w:val="006551D6"/>
    <w:rsid w:val="006551E0"/>
    <w:rsid w:val="00655296"/>
    <w:rsid w:val="0065545D"/>
    <w:rsid w:val="0065560F"/>
    <w:rsid w:val="00655661"/>
    <w:rsid w:val="0065572A"/>
    <w:rsid w:val="00655A08"/>
    <w:rsid w:val="00655A4C"/>
    <w:rsid w:val="00655B8C"/>
    <w:rsid w:val="00655BAD"/>
    <w:rsid w:val="00655CB6"/>
    <w:rsid w:val="00655CD0"/>
    <w:rsid w:val="00655EF7"/>
    <w:rsid w:val="00655FD9"/>
    <w:rsid w:val="006561DF"/>
    <w:rsid w:val="00656335"/>
    <w:rsid w:val="0065634B"/>
    <w:rsid w:val="006564CC"/>
    <w:rsid w:val="0065651C"/>
    <w:rsid w:val="0065653E"/>
    <w:rsid w:val="00656548"/>
    <w:rsid w:val="00656566"/>
    <w:rsid w:val="00656629"/>
    <w:rsid w:val="006566F0"/>
    <w:rsid w:val="00656835"/>
    <w:rsid w:val="00656934"/>
    <w:rsid w:val="00656AA5"/>
    <w:rsid w:val="00656C2F"/>
    <w:rsid w:val="00656E11"/>
    <w:rsid w:val="00656E93"/>
    <w:rsid w:val="00656FCE"/>
    <w:rsid w:val="00657138"/>
    <w:rsid w:val="0065725F"/>
    <w:rsid w:val="006572C3"/>
    <w:rsid w:val="006575DC"/>
    <w:rsid w:val="00657620"/>
    <w:rsid w:val="006576D8"/>
    <w:rsid w:val="0065779E"/>
    <w:rsid w:val="0065782A"/>
    <w:rsid w:val="006578FF"/>
    <w:rsid w:val="0065795D"/>
    <w:rsid w:val="006579E0"/>
    <w:rsid w:val="00657C41"/>
    <w:rsid w:val="00657F14"/>
    <w:rsid w:val="00657FC6"/>
    <w:rsid w:val="0066008E"/>
    <w:rsid w:val="006600EF"/>
    <w:rsid w:val="00660275"/>
    <w:rsid w:val="00660278"/>
    <w:rsid w:val="00660423"/>
    <w:rsid w:val="0066067D"/>
    <w:rsid w:val="006606FA"/>
    <w:rsid w:val="00660B2E"/>
    <w:rsid w:val="00660BA9"/>
    <w:rsid w:val="00660D24"/>
    <w:rsid w:val="00660FB7"/>
    <w:rsid w:val="00661214"/>
    <w:rsid w:val="0066127D"/>
    <w:rsid w:val="0066133C"/>
    <w:rsid w:val="00661431"/>
    <w:rsid w:val="00661472"/>
    <w:rsid w:val="006614DF"/>
    <w:rsid w:val="006614E9"/>
    <w:rsid w:val="006615AE"/>
    <w:rsid w:val="00661942"/>
    <w:rsid w:val="00661B24"/>
    <w:rsid w:val="00661B39"/>
    <w:rsid w:val="00661C66"/>
    <w:rsid w:val="00661FC4"/>
    <w:rsid w:val="006621C8"/>
    <w:rsid w:val="00662269"/>
    <w:rsid w:val="00662352"/>
    <w:rsid w:val="00662421"/>
    <w:rsid w:val="00662519"/>
    <w:rsid w:val="006625D5"/>
    <w:rsid w:val="00662785"/>
    <w:rsid w:val="006627B0"/>
    <w:rsid w:val="0066293F"/>
    <w:rsid w:val="006629A5"/>
    <w:rsid w:val="00662A3B"/>
    <w:rsid w:val="00662A91"/>
    <w:rsid w:val="00662B4F"/>
    <w:rsid w:val="00662CC0"/>
    <w:rsid w:val="00662F00"/>
    <w:rsid w:val="006631D0"/>
    <w:rsid w:val="00663218"/>
    <w:rsid w:val="006633BD"/>
    <w:rsid w:val="006633DE"/>
    <w:rsid w:val="00663440"/>
    <w:rsid w:val="00663490"/>
    <w:rsid w:val="00663555"/>
    <w:rsid w:val="006635BE"/>
    <w:rsid w:val="00663692"/>
    <w:rsid w:val="00663781"/>
    <w:rsid w:val="006637F8"/>
    <w:rsid w:val="00663B24"/>
    <w:rsid w:val="00663BEE"/>
    <w:rsid w:val="00663CDC"/>
    <w:rsid w:val="00663D5B"/>
    <w:rsid w:val="00663E2B"/>
    <w:rsid w:val="00663EB1"/>
    <w:rsid w:val="00663F24"/>
    <w:rsid w:val="00663F63"/>
    <w:rsid w:val="00663F8B"/>
    <w:rsid w:val="006642FE"/>
    <w:rsid w:val="006645BE"/>
    <w:rsid w:val="00664A7D"/>
    <w:rsid w:val="00664B72"/>
    <w:rsid w:val="00664C3A"/>
    <w:rsid w:val="00664C63"/>
    <w:rsid w:val="00664CE2"/>
    <w:rsid w:val="00664CEA"/>
    <w:rsid w:val="00664D29"/>
    <w:rsid w:val="00665092"/>
    <w:rsid w:val="006653E2"/>
    <w:rsid w:val="0066568A"/>
    <w:rsid w:val="0066591A"/>
    <w:rsid w:val="0066597E"/>
    <w:rsid w:val="00665BC6"/>
    <w:rsid w:val="00665C62"/>
    <w:rsid w:val="00665DBC"/>
    <w:rsid w:val="00665F6C"/>
    <w:rsid w:val="00665FFA"/>
    <w:rsid w:val="00666066"/>
    <w:rsid w:val="0066606B"/>
    <w:rsid w:val="0066639C"/>
    <w:rsid w:val="006664CC"/>
    <w:rsid w:val="006665A1"/>
    <w:rsid w:val="006665A8"/>
    <w:rsid w:val="006667CD"/>
    <w:rsid w:val="00666879"/>
    <w:rsid w:val="00666A68"/>
    <w:rsid w:val="00666B21"/>
    <w:rsid w:val="00666BC4"/>
    <w:rsid w:val="00666C0D"/>
    <w:rsid w:val="00666EA8"/>
    <w:rsid w:val="00667154"/>
    <w:rsid w:val="006671F4"/>
    <w:rsid w:val="006672E0"/>
    <w:rsid w:val="00667367"/>
    <w:rsid w:val="0066737E"/>
    <w:rsid w:val="006675D4"/>
    <w:rsid w:val="00667643"/>
    <w:rsid w:val="006676DF"/>
    <w:rsid w:val="006676EF"/>
    <w:rsid w:val="0066772B"/>
    <w:rsid w:val="00667783"/>
    <w:rsid w:val="006677D6"/>
    <w:rsid w:val="006677E6"/>
    <w:rsid w:val="00667848"/>
    <w:rsid w:val="00667AAA"/>
    <w:rsid w:val="00667BA4"/>
    <w:rsid w:val="00667DD4"/>
    <w:rsid w:val="00667F84"/>
    <w:rsid w:val="00667FDE"/>
    <w:rsid w:val="0067016D"/>
    <w:rsid w:val="006701B5"/>
    <w:rsid w:val="006702B9"/>
    <w:rsid w:val="00670375"/>
    <w:rsid w:val="00670529"/>
    <w:rsid w:val="006705B9"/>
    <w:rsid w:val="00670652"/>
    <w:rsid w:val="00670781"/>
    <w:rsid w:val="00670880"/>
    <w:rsid w:val="00670A12"/>
    <w:rsid w:val="00670A54"/>
    <w:rsid w:val="00670AD1"/>
    <w:rsid w:val="00670B10"/>
    <w:rsid w:val="00670C0B"/>
    <w:rsid w:val="00670C71"/>
    <w:rsid w:val="00670E1E"/>
    <w:rsid w:val="00670E4F"/>
    <w:rsid w:val="00670FCD"/>
    <w:rsid w:val="0067106F"/>
    <w:rsid w:val="0067116D"/>
    <w:rsid w:val="006711C1"/>
    <w:rsid w:val="0067124F"/>
    <w:rsid w:val="006713CB"/>
    <w:rsid w:val="00671451"/>
    <w:rsid w:val="0067163B"/>
    <w:rsid w:val="00671794"/>
    <w:rsid w:val="0067185C"/>
    <w:rsid w:val="006718F8"/>
    <w:rsid w:val="00671906"/>
    <w:rsid w:val="00671949"/>
    <w:rsid w:val="006719DA"/>
    <w:rsid w:val="00671A13"/>
    <w:rsid w:val="00671A84"/>
    <w:rsid w:val="00671BFC"/>
    <w:rsid w:val="00671C68"/>
    <w:rsid w:val="00671C71"/>
    <w:rsid w:val="00671F07"/>
    <w:rsid w:val="00671F71"/>
    <w:rsid w:val="00671F88"/>
    <w:rsid w:val="00671FEB"/>
    <w:rsid w:val="0067201F"/>
    <w:rsid w:val="006720CD"/>
    <w:rsid w:val="0067211B"/>
    <w:rsid w:val="0067211C"/>
    <w:rsid w:val="006721B4"/>
    <w:rsid w:val="006721D7"/>
    <w:rsid w:val="00672277"/>
    <w:rsid w:val="00672390"/>
    <w:rsid w:val="006724E5"/>
    <w:rsid w:val="00672623"/>
    <w:rsid w:val="00672727"/>
    <w:rsid w:val="006727A8"/>
    <w:rsid w:val="0067298F"/>
    <w:rsid w:val="00672B1D"/>
    <w:rsid w:val="00672D26"/>
    <w:rsid w:val="00672DB9"/>
    <w:rsid w:val="00672EBB"/>
    <w:rsid w:val="00672F69"/>
    <w:rsid w:val="00672F7F"/>
    <w:rsid w:val="0067302A"/>
    <w:rsid w:val="0067322C"/>
    <w:rsid w:val="0067332D"/>
    <w:rsid w:val="006733AB"/>
    <w:rsid w:val="006734E7"/>
    <w:rsid w:val="00673697"/>
    <w:rsid w:val="0067373C"/>
    <w:rsid w:val="00673790"/>
    <w:rsid w:val="0067384C"/>
    <w:rsid w:val="00673856"/>
    <w:rsid w:val="00673DBC"/>
    <w:rsid w:val="00673EDA"/>
    <w:rsid w:val="0067401F"/>
    <w:rsid w:val="0067409E"/>
    <w:rsid w:val="006740D5"/>
    <w:rsid w:val="0067418B"/>
    <w:rsid w:val="0067422C"/>
    <w:rsid w:val="00674245"/>
    <w:rsid w:val="00674325"/>
    <w:rsid w:val="00674447"/>
    <w:rsid w:val="006744D3"/>
    <w:rsid w:val="0067461C"/>
    <w:rsid w:val="006746E8"/>
    <w:rsid w:val="00674852"/>
    <w:rsid w:val="00674B46"/>
    <w:rsid w:val="00674E28"/>
    <w:rsid w:val="00674EA2"/>
    <w:rsid w:val="00674F77"/>
    <w:rsid w:val="006750FD"/>
    <w:rsid w:val="00675178"/>
    <w:rsid w:val="006751B2"/>
    <w:rsid w:val="00675275"/>
    <w:rsid w:val="006753BB"/>
    <w:rsid w:val="0067544F"/>
    <w:rsid w:val="006754FA"/>
    <w:rsid w:val="00675645"/>
    <w:rsid w:val="0067565B"/>
    <w:rsid w:val="006756C0"/>
    <w:rsid w:val="006756C6"/>
    <w:rsid w:val="0067580C"/>
    <w:rsid w:val="00675931"/>
    <w:rsid w:val="00675936"/>
    <w:rsid w:val="006759A2"/>
    <w:rsid w:val="00675A4F"/>
    <w:rsid w:val="00675EB5"/>
    <w:rsid w:val="006760B7"/>
    <w:rsid w:val="00676411"/>
    <w:rsid w:val="00676674"/>
    <w:rsid w:val="0067669D"/>
    <w:rsid w:val="00676735"/>
    <w:rsid w:val="00676745"/>
    <w:rsid w:val="00676772"/>
    <w:rsid w:val="006767D8"/>
    <w:rsid w:val="00676804"/>
    <w:rsid w:val="00676AE1"/>
    <w:rsid w:val="00676C10"/>
    <w:rsid w:val="00676C6D"/>
    <w:rsid w:val="00676C79"/>
    <w:rsid w:val="00676DAA"/>
    <w:rsid w:val="0067703B"/>
    <w:rsid w:val="00677055"/>
    <w:rsid w:val="00677262"/>
    <w:rsid w:val="0067730E"/>
    <w:rsid w:val="00677402"/>
    <w:rsid w:val="00677434"/>
    <w:rsid w:val="006776C7"/>
    <w:rsid w:val="0067791A"/>
    <w:rsid w:val="00680266"/>
    <w:rsid w:val="0068029A"/>
    <w:rsid w:val="0068034C"/>
    <w:rsid w:val="006803E0"/>
    <w:rsid w:val="006807AF"/>
    <w:rsid w:val="006808F6"/>
    <w:rsid w:val="006809D0"/>
    <w:rsid w:val="00680A35"/>
    <w:rsid w:val="00680A77"/>
    <w:rsid w:val="00680CB6"/>
    <w:rsid w:val="00680D50"/>
    <w:rsid w:val="00680E2E"/>
    <w:rsid w:val="0068111A"/>
    <w:rsid w:val="00681322"/>
    <w:rsid w:val="006813D9"/>
    <w:rsid w:val="0068140D"/>
    <w:rsid w:val="00681489"/>
    <w:rsid w:val="0068152C"/>
    <w:rsid w:val="0068156E"/>
    <w:rsid w:val="00681592"/>
    <w:rsid w:val="0068169A"/>
    <w:rsid w:val="0068172B"/>
    <w:rsid w:val="0068181C"/>
    <w:rsid w:val="0068183F"/>
    <w:rsid w:val="0068192E"/>
    <w:rsid w:val="006819E9"/>
    <w:rsid w:val="00681AD2"/>
    <w:rsid w:val="00681B07"/>
    <w:rsid w:val="00681BBB"/>
    <w:rsid w:val="00681C0C"/>
    <w:rsid w:val="00681CC4"/>
    <w:rsid w:val="00681D2E"/>
    <w:rsid w:val="00681DB6"/>
    <w:rsid w:val="006820A0"/>
    <w:rsid w:val="006821E3"/>
    <w:rsid w:val="0068228D"/>
    <w:rsid w:val="00682338"/>
    <w:rsid w:val="00682559"/>
    <w:rsid w:val="00682660"/>
    <w:rsid w:val="006828FB"/>
    <w:rsid w:val="00682AFC"/>
    <w:rsid w:val="00682BA7"/>
    <w:rsid w:val="00682CF1"/>
    <w:rsid w:val="00682E44"/>
    <w:rsid w:val="00682F0D"/>
    <w:rsid w:val="00683018"/>
    <w:rsid w:val="00683110"/>
    <w:rsid w:val="006831EF"/>
    <w:rsid w:val="006832AD"/>
    <w:rsid w:val="006833B1"/>
    <w:rsid w:val="006835DF"/>
    <w:rsid w:val="006836B0"/>
    <w:rsid w:val="00683877"/>
    <w:rsid w:val="006839B0"/>
    <w:rsid w:val="006839C6"/>
    <w:rsid w:val="00683A28"/>
    <w:rsid w:val="00683AC1"/>
    <w:rsid w:val="00683D65"/>
    <w:rsid w:val="00683EC6"/>
    <w:rsid w:val="00683F92"/>
    <w:rsid w:val="0068406E"/>
    <w:rsid w:val="006841F7"/>
    <w:rsid w:val="0068425F"/>
    <w:rsid w:val="00684532"/>
    <w:rsid w:val="006845C7"/>
    <w:rsid w:val="00684800"/>
    <w:rsid w:val="006848FC"/>
    <w:rsid w:val="00684B3C"/>
    <w:rsid w:val="00684BBC"/>
    <w:rsid w:val="00684BCD"/>
    <w:rsid w:val="00684C4A"/>
    <w:rsid w:val="00684DCD"/>
    <w:rsid w:val="00684EA5"/>
    <w:rsid w:val="00684ED9"/>
    <w:rsid w:val="00685243"/>
    <w:rsid w:val="00685458"/>
    <w:rsid w:val="0068554B"/>
    <w:rsid w:val="00685679"/>
    <w:rsid w:val="00685A77"/>
    <w:rsid w:val="00685C1F"/>
    <w:rsid w:val="00685C62"/>
    <w:rsid w:val="00685D83"/>
    <w:rsid w:val="00685F4E"/>
    <w:rsid w:val="00685FD2"/>
    <w:rsid w:val="00686259"/>
    <w:rsid w:val="0068633F"/>
    <w:rsid w:val="00686412"/>
    <w:rsid w:val="006864B5"/>
    <w:rsid w:val="006865A0"/>
    <w:rsid w:val="00686959"/>
    <w:rsid w:val="006869C0"/>
    <w:rsid w:val="00686E6A"/>
    <w:rsid w:val="00686E89"/>
    <w:rsid w:val="00686EAA"/>
    <w:rsid w:val="00687028"/>
    <w:rsid w:val="0068706D"/>
    <w:rsid w:val="0068725F"/>
    <w:rsid w:val="006872FE"/>
    <w:rsid w:val="00687335"/>
    <w:rsid w:val="006873CF"/>
    <w:rsid w:val="006874F5"/>
    <w:rsid w:val="00687825"/>
    <w:rsid w:val="00687845"/>
    <w:rsid w:val="006878EB"/>
    <w:rsid w:val="00687B67"/>
    <w:rsid w:val="00687FCB"/>
    <w:rsid w:val="006901DC"/>
    <w:rsid w:val="00690269"/>
    <w:rsid w:val="00690286"/>
    <w:rsid w:val="006902CC"/>
    <w:rsid w:val="00690496"/>
    <w:rsid w:val="0069062A"/>
    <w:rsid w:val="006906DC"/>
    <w:rsid w:val="006908B3"/>
    <w:rsid w:val="00690951"/>
    <w:rsid w:val="006909BB"/>
    <w:rsid w:val="00690AAE"/>
    <w:rsid w:val="00690AF9"/>
    <w:rsid w:val="00690B22"/>
    <w:rsid w:val="00690DDF"/>
    <w:rsid w:val="00690DF7"/>
    <w:rsid w:val="00691036"/>
    <w:rsid w:val="00691076"/>
    <w:rsid w:val="0069112D"/>
    <w:rsid w:val="00691313"/>
    <w:rsid w:val="006913FA"/>
    <w:rsid w:val="00691452"/>
    <w:rsid w:val="00691695"/>
    <w:rsid w:val="006916F0"/>
    <w:rsid w:val="00691898"/>
    <w:rsid w:val="00691BE0"/>
    <w:rsid w:val="00691CDC"/>
    <w:rsid w:val="00691DC9"/>
    <w:rsid w:val="00691F65"/>
    <w:rsid w:val="00692216"/>
    <w:rsid w:val="006924B9"/>
    <w:rsid w:val="00692501"/>
    <w:rsid w:val="006925EF"/>
    <w:rsid w:val="00692639"/>
    <w:rsid w:val="006927E4"/>
    <w:rsid w:val="00692A02"/>
    <w:rsid w:val="00692B37"/>
    <w:rsid w:val="00692BA9"/>
    <w:rsid w:val="00692C50"/>
    <w:rsid w:val="00692C63"/>
    <w:rsid w:val="00692CC9"/>
    <w:rsid w:val="00692CD7"/>
    <w:rsid w:val="00692D3D"/>
    <w:rsid w:val="00692D7E"/>
    <w:rsid w:val="00692F00"/>
    <w:rsid w:val="00692F5A"/>
    <w:rsid w:val="00692F98"/>
    <w:rsid w:val="00692FCC"/>
    <w:rsid w:val="00692FDE"/>
    <w:rsid w:val="00693177"/>
    <w:rsid w:val="006931CC"/>
    <w:rsid w:val="00693486"/>
    <w:rsid w:val="006934B6"/>
    <w:rsid w:val="0069362A"/>
    <w:rsid w:val="00693639"/>
    <w:rsid w:val="006937A3"/>
    <w:rsid w:val="006937AC"/>
    <w:rsid w:val="00693944"/>
    <w:rsid w:val="00693C37"/>
    <w:rsid w:val="0069406A"/>
    <w:rsid w:val="006940CE"/>
    <w:rsid w:val="006940D3"/>
    <w:rsid w:val="00694195"/>
    <w:rsid w:val="00694216"/>
    <w:rsid w:val="00694252"/>
    <w:rsid w:val="006945BD"/>
    <w:rsid w:val="006945F3"/>
    <w:rsid w:val="006946C3"/>
    <w:rsid w:val="00694735"/>
    <w:rsid w:val="00694998"/>
    <w:rsid w:val="00694BDA"/>
    <w:rsid w:val="00694D61"/>
    <w:rsid w:val="00694FA7"/>
    <w:rsid w:val="006952B1"/>
    <w:rsid w:val="006952DC"/>
    <w:rsid w:val="006954B1"/>
    <w:rsid w:val="006955AF"/>
    <w:rsid w:val="006956DC"/>
    <w:rsid w:val="006957A4"/>
    <w:rsid w:val="00695983"/>
    <w:rsid w:val="00695A75"/>
    <w:rsid w:val="00695AAA"/>
    <w:rsid w:val="00695B2D"/>
    <w:rsid w:val="00695BE9"/>
    <w:rsid w:val="00695C39"/>
    <w:rsid w:val="00695D4F"/>
    <w:rsid w:val="0069607E"/>
    <w:rsid w:val="00696101"/>
    <w:rsid w:val="0069641F"/>
    <w:rsid w:val="00696465"/>
    <w:rsid w:val="0069660B"/>
    <w:rsid w:val="00696764"/>
    <w:rsid w:val="006967EF"/>
    <w:rsid w:val="0069684D"/>
    <w:rsid w:val="006968C0"/>
    <w:rsid w:val="006968D2"/>
    <w:rsid w:val="00696AA7"/>
    <w:rsid w:val="00696AC3"/>
    <w:rsid w:val="00696B30"/>
    <w:rsid w:val="00696C96"/>
    <w:rsid w:val="00696EDA"/>
    <w:rsid w:val="00697036"/>
    <w:rsid w:val="00697063"/>
    <w:rsid w:val="006970B9"/>
    <w:rsid w:val="006972C2"/>
    <w:rsid w:val="006973CF"/>
    <w:rsid w:val="006973E0"/>
    <w:rsid w:val="00697450"/>
    <w:rsid w:val="006974A2"/>
    <w:rsid w:val="006974F1"/>
    <w:rsid w:val="00697716"/>
    <w:rsid w:val="006977C3"/>
    <w:rsid w:val="00697A74"/>
    <w:rsid w:val="00697B28"/>
    <w:rsid w:val="00697CE6"/>
    <w:rsid w:val="00697D93"/>
    <w:rsid w:val="00697D9E"/>
    <w:rsid w:val="00697F7A"/>
    <w:rsid w:val="00697F7E"/>
    <w:rsid w:val="00697FFD"/>
    <w:rsid w:val="006A0357"/>
    <w:rsid w:val="006A035C"/>
    <w:rsid w:val="006A045D"/>
    <w:rsid w:val="006A0499"/>
    <w:rsid w:val="006A04E5"/>
    <w:rsid w:val="006A062E"/>
    <w:rsid w:val="006A071C"/>
    <w:rsid w:val="006A0D43"/>
    <w:rsid w:val="006A0EA1"/>
    <w:rsid w:val="006A0F95"/>
    <w:rsid w:val="006A1043"/>
    <w:rsid w:val="006A10CC"/>
    <w:rsid w:val="006A10FE"/>
    <w:rsid w:val="006A1285"/>
    <w:rsid w:val="006A1520"/>
    <w:rsid w:val="006A160F"/>
    <w:rsid w:val="006A16B3"/>
    <w:rsid w:val="006A19BC"/>
    <w:rsid w:val="006A19E0"/>
    <w:rsid w:val="006A1B12"/>
    <w:rsid w:val="006A1C9F"/>
    <w:rsid w:val="006A1CA7"/>
    <w:rsid w:val="006A1CF6"/>
    <w:rsid w:val="006A1D5E"/>
    <w:rsid w:val="006A1DAC"/>
    <w:rsid w:val="006A1E2B"/>
    <w:rsid w:val="006A212F"/>
    <w:rsid w:val="006A237C"/>
    <w:rsid w:val="006A23CA"/>
    <w:rsid w:val="006A255E"/>
    <w:rsid w:val="006A27A6"/>
    <w:rsid w:val="006A2800"/>
    <w:rsid w:val="006A2891"/>
    <w:rsid w:val="006A2894"/>
    <w:rsid w:val="006A2A05"/>
    <w:rsid w:val="006A2AE0"/>
    <w:rsid w:val="006A2BC3"/>
    <w:rsid w:val="006A2C27"/>
    <w:rsid w:val="006A2D2A"/>
    <w:rsid w:val="006A2E8A"/>
    <w:rsid w:val="006A308A"/>
    <w:rsid w:val="006A31F7"/>
    <w:rsid w:val="006A31FF"/>
    <w:rsid w:val="006A33CB"/>
    <w:rsid w:val="006A356E"/>
    <w:rsid w:val="006A35BB"/>
    <w:rsid w:val="006A38BB"/>
    <w:rsid w:val="006A39C1"/>
    <w:rsid w:val="006A3A61"/>
    <w:rsid w:val="006A3B92"/>
    <w:rsid w:val="006A3CB0"/>
    <w:rsid w:val="006A3DE2"/>
    <w:rsid w:val="006A3E19"/>
    <w:rsid w:val="006A3F80"/>
    <w:rsid w:val="006A40F1"/>
    <w:rsid w:val="006A41DC"/>
    <w:rsid w:val="006A4227"/>
    <w:rsid w:val="006A447A"/>
    <w:rsid w:val="006A4488"/>
    <w:rsid w:val="006A4545"/>
    <w:rsid w:val="006A4598"/>
    <w:rsid w:val="006A4676"/>
    <w:rsid w:val="006A47AA"/>
    <w:rsid w:val="006A4943"/>
    <w:rsid w:val="006A4994"/>
    <w:rsid w:val="006A49DB"/>
    <w:rsid w:val="006A49F2"/>
    <w:rsid w:val="006A4A8E"/>
    <w:rsid w:val="006A4B3A"/>
    <w:rsid w:val="006A4E7B"/>
    <w:rsid w:val="006A4EB8"/>
    <w:rsid w:val="006A4F19"/>
    <w:rsid w:val="006A5061"/>
    <w:rsid w:val="006A5245"/>
    <w:rsid w:val="006A525E"/>
    <w:rsid w:val="006A5345"/>
    <w:rsid w:val="006A53C4"/>
    <w:rsid w:val="006A543D"/>
    <w:rsid w:val="006A5444"/>
    <w:rsid w:val="006A5697"/>
    <w:rsid w:val="006A57F8"/>
    <w:rsid w:val="006A5C27"/>
    <w:rsid w:val="006A5CC5"/>
    <w:rsid w:val="006A5D70"/>
    <w:rsid w:val="006A5D96"/>
    <w:rsid w:val="006A5E5A"/>
    <w:rsid w:val="006A5EFB"/>
    <w:rsid w:val="006A5FEA"/>
    <w:rsid w:val="006A617A"/>
    <w:rsid w:val="006A6256"/>
    <w:rsid w:val="006A63CC"/>
    <w:rsid w:val="006A6702"/>
    <w:rsid w:val="006A6737"/>
    <w:rsid w:val="006A67D6"/>
    <w:rsid w:val="006A6834"/>
    <w:rsid w:val="006A68B9"/>
    <w:rsid w:val="006A69B8"/>
    <w:rsid w:val="006A6B10"/>
    <w:rsid w:val="006A6C7E"/>
    <w:rsid w:val="006A6CA7"/>
    <w:rsid w:val="006A6D5A"/>
    <w:rsid w:val="006A6D65"/>
    <w:rsid w:val="006A6DAB"/>
    <w:rsid w:val="006A6DC2"/>
    <w:rsid w:val="006A6EA3"/>
    <w:rsid w:val="006A6EB7"/>
    <w:rsid w:val="006A6FDD"/>
    <w:rsid w:val="006A7419"/>
    <w:rsid w:val="006A7429"/>
    <w:rsid w:val="006A75A0"/>
    <w:rsid w:val="006A7784"/>
    <w:rsid w:val="006A7875"/>
    <w:rsid w:val="006A78BC"/>
    <w:rsid w:val="006A78F0"/>
    <w:rsid w:val="006A79CB"/>
    <w:rsid w:val="006A79D6"/>
    <w:rsid w:val="006A7BCF"/>
    <w:rsid w:val="006A7DDA"/>
    <w:rsid w:val="006A7E53"/>
    <w:rsid w:val="006A7E6B"/>
    <w:rsid w:val="006B0050"/>
    <w:rsid w:val="006B00D2"/>
    <w:rsid w:val="006B0127"/>
    <w:rsid w:val="006B0441"/>
    <w:rsid w:val="006B0462"/>
    <w:rsid w:val="006B0471"/>
    <w:rsid w:val="006B052D"/>
    <w:rsid w:val="006B0567"/>
    <w:rsid w:val="006B0582"/>
    <w:rsid w:val="006B05FD"/>
    <w:rsid w:val="006B066B"/>
    <w:rsid w:val="006B066E"/>
    <w:rsid w:val="006B0677"/>
    <w:rsid w:val="006B085B"/>
    <w:rsid w:val="006B089A"/>
    <w:rsid w:val="006B099E"/>
    <w:rsid w:val="006B0B3B"/>
    <w:rsid w:val="006B0C57"/>
    <w:rsid w:val="006B0CC7"/>
    <w:rsid w:val="006B0CED"/>
    <w:rsid w:val="006B0E30"/>
    <w:rsid w:val="006B0EA8"/>
    <w:rsid w:val="006B0F52"/>
    <w:rsid w:val="006B114F"/>
    <w:rsid w:val="006B1259"/>
    <w:rsid w:val="006B1452"/>
    <w:rsid w:val="006B14DC"/>
    <w:rsid w:val="006B160D"/>
    <w:rsid w:val="006B1678"/>
    <w:rsid w:val="006B19BE"/>
    <w:rsid w:val="006B1CF4"/>
    <w:rsid w:val="006B1F48"/>
    <w:rsid w:val="006B1F79"/>
    <w:rsid w:val="006B2214"/>
    <w:rsid w:val="006B22F2"/>
    <w:rsid w:val="006B231F"/>
    <w:rsid w:val="006B2408"/>
    <w:rsid w:val="006B2414"/>
    <w:rsid w:val="006B2430"/>
    <w:rsid w:val="006B2647"/>
    <w:rsid w:val="006B2819"/>
    <w:rsid w:val="006B28CB"/>
    <w:rsid w:val="006B28F9"/>
    <w:rsid w:val="006B2CC1"/>
    <w:rsid w:val="006B2E59"/>
    <w:rsid w:val="006B310D"/>
    <w:rsid w:val="006B3316"/>
    <w:rsid w:val="006B336F"/>
    <w:rsid w:val="006B343D"/>
    <w:rsid w:val="006B3457"/>
    <w:rsid w:val="006B3592"/>
    <w:rsid w:val="006B389B"/>
    <w:rsid w:val="006B391C"/>
    <w:rsid w:val="006B39EA"/>
    <w:rsid w:val="006B3B6B"/>
    <w:rsid w:val="006B3D15"/>
    <w:rsid w:val="006B3DC8"/>
    <w:rsid w:val="006B3E5A"/>
    <w:rsid w:val="006B3E6F"/>
    <w:rsid w:val="006B3FF0"/>
    <w:rsid w:val="006B4379"/>
    <w:rsid w:val="006B43E8"/>
    <w:rsid w:val="006B4473"/>
    <w:rsid w:val="006B4552"/>
    <w:rsid w:val="006B4593"/>
    <w:rsid w:val="006B45C0"/>
    <w:rsid w:val="006B45EF"/>
    <w:rsid w:val="006B460C"/>
    <w:rsid w:val="006B4625"/>
    <w:rsid w:val="006B4664"/>
    <w:rsid w:val="006B47E2"/>
    <w:rsid w:val="006B47F7"/>
    <w:rsid w:val="006B483B"/>
    <w:rsid w:val="006B491A"/>
    <w:rsid w:val="006B493E"/>
    <w:rsid w:val="006B4AE8"/>
    <w:rsid w:val="006B4BB1"/>
    <w:rsid w:val="006B4C61"/>
    <w:rsid w:val="006B4CAE"/>
    <w:rsid w:val="006B4D5B"/>
    <w:rsid w:val="006B4D96"/>
    <w:rsid w:val="006B4DE8"/>
    <w:rsid w:val="006B4E95"/>
    <w:rsid w:val="006B4FFD"/>
    <w:rsid w:val="006B5140"/>
    <w:rsid w:val="006B52DD"/>
    <w:rsid w:val="006B5311"/>
    <w:rsid w:val="006B55FE"/>
    <w:rsid w:val="006B567F"/>
    <w:rsid w:val="006B582E"/>
    <w:rsid w:val="006B589F"/>
    <w:rsid w:val="006B592C"/>
    <w:rsid w:val="006B5ACD"/>
    <w:rsid w:val="006B5BAD"/>
    <w:rsid w:val="006B5C8F"/>
    <w:rsid w:val="006B5CC4"/>
    <w:rsid w:val="006B5D36"/>
    <w:rsid w:val="006B5ED5"/>
    <w:rsid w:val="006B5EFF"/>
    <w:rsid w:val="006B5FC2"/>
    <w:rsid w:val="006B6012"/>
    <w:rsid w:val="006B6088"/>
    <w:rsid w:val="006B61CE"/>
    <w:rsid w:val="006B6482"/>
    <w:rsid w:val="006B68C5"/>
    <w:rsid w:val="006B6ABC"/>
    <w:rsid w:val="006B6B0E"/>
    <w:rsid w:val="006B6FBD"/>
    <w:rsid w:val="006B7130"/>
    <w:rsid w:val="006B715D"/>
    <w:rsid w:val="006B7365"/>
    <w:rsid w:val="006B7683"/>
    <w:rsid w:val="006B7686"/>
    <w:rsid w:val="006B774A"/>
    <w:rsid w:val="006B7805"/>
    <w:rsid w:val="006B787E"/>
    <w:rsid w:val="006B7930"/>
    <w:rsid w:val="006B796F"/>
    <w:rsid w:val="006B7C5B"/>
    <w:rsid w:val="006B7C95"/>
    <w:rsid w:val="006B7CA0"/>
    <w:rsid w:val="006B7CC9"/>
    <w:rsid w:val="006B7D8A"/>
    <w:rsid w:val="006B7EB4"/>
    <w:rsid w:val="006C00AB"/>
    <w:rsid w:val="006C00D1"/>
    <w:rsid w:val="006C0119"/>
    <w:rsid w:val="006C037A"/>
    <w:rsid w:val="006C037E"/>
    <w:rsid w:val="006C03CF"/>
    <w:rsid w:val="006C0460"/>
    <w:rsid w:val="006C05B6"/>
    <w:rsid w:val="006C06CC"/>
    <w:rsid w:val="006C06D7"/>
    <w:rsid w:val="006C0782"/>
    <w:rsid w:val="006C07FF"/>
    <w:rsid w:val="006C093A"/>
    <w:rsid w:val="006C0940"/>
    <w:rsid w:val="006C0A3D"/>
    <w:rsid w:val="006C0E4F"/>
    <w:rsid w:val="006C0EF8"/>
    <w:rsid w:val="006C0FEE"/>
    <w:rsid w:val="006C1152"/>
    <w:rsid w:val="006C1215"/>
    <w:rsid w:val="006C1250"/>
    <w:rsid w:val="006C12AA"/>
    <w:rsid w:val="006C15C3"/>
    <w:rsid w:val="006C184D"/>
    <w:rsid w:val="006C187B"/>
    <w:rsid w:val="006C1920"/>
    <w:rsid w:val="006C19C7"/>
    <w:rsid w:val="006C1D0B"/>
    <w:rsid w:val="006C1D0D"/>
    <w:rsid w:val="006C1D94"/>
    <w:rsid w:val="006C1F17"/>
    <w:rsid w:val="006C20B1"/>
    <w:rsid w:val="006C20CA"/>
    <w:rsid w:val="006C20D2"/>
    <w:rsid w:val="006C228F"/>
    <w:rsid w:val="006C2295"/>
    <w:rsid w:val="006C22E2"/>
    <w:rsid w:val="006C2445"/>
    <w:rsid w:val="006C27BE"/>
    <w:rsid w:val="006C27C9"/>
    <w:rsid w:val="006C28A9"/>
    <w:rsid w:val="006C28C4"/>
    <w:rsid w:val="006C2A02"/>
    <w:rsid w:val="006C2AC5"/>
    <w:rsid w:val="006C2BAC"/>
    <w:rsid w:val="006C2CF1"/>
    <w:rsid w:val="006C2E52"/>
    <w:rsid w:val="006C3114"/>
    <w:rsid w:val="006C3131"/>
    <w:rsid w:val="006C314A"/>
    <w:rsid w:val="006C32FE"/>
    <w:rsid w:val="006C334B"/>
    <w:rsid w:val="006C353F"/>
    <w:rsid w:val="006C3752"/>
    <w:rsid w:val="006C37DF"/>
    <w:rsid w:val="006C3A66"/>
    <w:rsid w:val="006C3A7B"/>
    <w:rsid w:val="006C3AB6"/>
    <w:rsid w:val="006C3BC8"/>
    <w:rsid w:val="006C3CED"/>
    <w:rsid w:val="006C3ECB"/>
    <w:rsid w:val="006C3FDC"/>
    <w:rsid w:val="006C40C2"/>
    <w:rsid w:val="006C428D"/>
    <w:rsid w:val="006C441E"/>
    <w:rsid w:val="006C47E0"/>
    <w:rsid w:val="006C493B"/>
    <w:rsid w:val="006C49F0"/>
    <w:rsid w:val="006C4ADD"/>
    <w:rsid w:val="006C4CCA"/>
    <w:rsid w:val="006C4D2E"/>
    <w:rsid w:val="006C4DD6"/>
    <w:rsid w:val="006C4E43"/>
    <w:rsid w:val="006C4E68"/>
    <w:rsid w:val="006C506F"/>
    <w:rsid w:val="006C51F7"/>
    <w:rsid w:val="006C5351"/>
    <w:rsid w:val="006C540B"/>
    <w:rsid w:val="006C54F4"/>
    <w:rsid w:val="006C5552"/>
    <w:rsid w:val="006C56B2"/>
    <w:rsid w:val="006C574E"/>
    <w:rsid w:val="006C58AC"/>
    <w:rsid w:val="006C5908"/>
    <w:rsid w:val="006C5A0F"/>
    <w:rsid w:val="006C5B40"/>
    <w:rsid w:val="006C5B5D"/>
    <w:rsid w:val="006C6031"/>
    <w:rsid w:val="006C63AF"/>
    <w:rsid w:val="006C6488"/>
    <w:rsid w:val="006C659B"/>
    <w:rsid w:val="006C6606"/>
    <w:rsid w:val="006C6662"/>
    <w:rsid w:val="006C6825"/>
    <w:rsid w:val="006C68C3"/>
    <w:rsid w:val="006C6AFE"/>
    <w:rsid w:val="006C6B5E"/>
    <w:rsid w:val="006C6C2D"/>
    <w:rsid w:val="006C6E36"/>
    <w:rsid w:val="006C6F06"/>
    <w:rsid w:val="006C703E"/>
    <w:rsid w:val="006C70C8"/>
    <w:rsid w:val="006C71C0"/>
    <w:rsid w:val="006C7616"/>
    <w:rsid w:val="006C7759"/>
    <w:rsid w:val="006C775A"/>
    <w:rsid w:val="006C7870"/>
    <w:rsid w:val="006C78C6"/>
    <w:rsid w:val="006C7E84"/>
    <w:rsid w:val="006C7ED9"/>
    <w:rsid w:val="006C7FFA"/>
    <w:rsid w:val="006D006E"/>
    <w:rsid w:val="006D0075"/>
    <w:rsid w:val="006D00A7"/>
    <w:rsid w:val="006D00F7"/>
    <w:rsid w:val="006D01DD"/>
    <w:rsid w:val="006D027A"/>
    <w:rsid w:val="006D03A7"/>
    <w:rsid w:val="006D03C2"/>
    <w:rsid w:val="006D05EF"/>
    <w:rsid w:val="006D0621"/>
    <w:rsid w:val="006D06B3"/>
    <w:rsid w:val="006D079B"/>
    <w:rsid w:val="006D08C5"/>
    <w:rsid w:val="006D090C"/>
    <w:rsid w:val="006D0982"/>
    <w:rsid w:val="006D0A0B"/>
    <w:rsid w:val="006D0A66"/>
    <w:rsid w:val="006D0AEE"/>
    <w:rsid w:val="006D0B19"/>
    <w:rsid w:val="006D0D1B"/>
    <w:rsid w:val="006D0E69"/>
    <w:rsid w:val="006D1183"/>
    <w:rsid w:val="006D1399"/>
    <w:rsid w:val="006D13C5"/>
    <w:rsid w:val="006D16C9"/>
    <w:rsid w:val="006D1739"/>
    <w:rsid w:val="006D19FE"/>
    <w:rsid w:val="006D1AEC"/>
    <w:rsid w:val="006D1B9B"/>
    <w:rsid w:val="006D1BE0"/>
    <w:rsid w:val="006D1C09"/>
    <w:rsid w:val="006D1DEF"/>
    <w:rsid w:val="006D1EA2"/>
    <w:rsid w:val="006D1F1D"/>
    <w:rsid w:val="006D2106"/>
    <w:rsid w:val="006D2191"/>
    <w:rsid w:val="006D21BA"/>
    <w:rsid w:val="006D2315"/>
    <w:rsid w:val="006D246F"/>
    <w:rsid w:val="006D262A"/>
    <w:rsid w:val="006D290E"/>
    <w:rsid w:val="006D29FA"/>
    <w:rsid w:val="006D2A24"/>
    <w:rsid w:val="006D2C31"/>
    <w:rsid w:val="006D2CA2"/>
    <w:rsid w:val="006D2CDC"/>
    <w:rsid w:val="006D2D1C"/>
    <w:rsid w:val="006D2D78"/>
    <w:rsid w:val="006D2E09"/>
    <w:rsid w:val="006D2EB7"/>
    <w:rsid w:val="006D2F9D"/>
    <w:rsid w:val="006D300F"/>
    <w:rsid w:val="006D3363"/>
    <w:rsid w:val="006D348C"/>
    <w:rsid w:val="006D377D"/>
    <w:rsid w:val="006D37D4"/>
    <w:rsid w:val="006D3892"/>
    <w:rsid w:val="006D3B59"/>
    <w:rsid w:val="006D3E70"/>
    <w:rsid w:val="006D3EE5"/>
    <w:rsid w:val="006D3FF2"/>
    <w:rsid w:val="006D4051"/>
    <w:rsid w:val="006D4108"/>
    <w:rsid w:val="006D421B"/>
    <w:rsid w:val="006D42C1"/>
    <w:rsid w:val="006D4311"/>
    <w:rsid w:val="006D435A"/>
    <w:rsid w:val="006D43B9"/>
    <w:rsid w:val="006D43F4"/>
    <w:rsid w:val="006D4455"/>
    <w:rsid w:val="006D4486"/>
    <w:rsid w:val="006D45F6"/>
    <w:rsid w:val="006D467D"/>
    <w:rsid w:val="006D46DB"/>
    <w:rsid w:val="006D4A50"/>
    <w:rsid w:val="006D4B44"/>
    <w:rsid w:val="006D4B51"/>
    <w:rsid w:val="006D4BF2"/>
    <w:rsid w:val="006D4E50"/>
    <w:rsid w:val="006D4EB2"/>
    <w:rsid w:val="006D50D6"/>
    <w:rsid w:val="006D5162"/>
    <w:rsid w:val="006D54B1"/>
    <w:rsid w:val="006D552D"/>
    <w:rsid w:val="006D57DC"/>
    <w:rsid w:val="006D59B4"/>
    <w:rsid w:val="006D59B7"/>
    <w:rsid w:val="006D59E9"/>
    <w:rsid w:val="006D59FD"/>
    <w:rsid w:val="006D5A77"/>
    <w:rsid w:val="006D5B1F"/>
    <w:rsid w:val="006D5BFD"/>
    <w:rsid w:val="006D5DA8"/>
    <w:rsid w:val="006D5DD1"/>
    <w:rsid w:val="006D5E17"/>
    <w:rsid w:val="006D5E44"/>
    <w:rsid w:val="006D6007"/>
    <w:rsid w:val="006D62C2"/>
    <w:rsid w:val="006D6430"/>
    <w:rsid w:val="006D6445"/>
    <w:rsid w:val="006D65CB"/>
    <w:rsid w:val="006D66D3"/>
    <w:rsid w:val="006D6994"/>
    <w:rsid w:val="006D6A54"/>
    <w:rsid w:val="006D6AA4"/>
    <w:rsid w:val="006D6B1D"/>
    <w:rsid w:val="006D6CA1"/>
    <w:rsid w:val="006D6E2B"/>
    <w:rsid w:val="006D6E44"/>
    <w:rsid w:val="006D6ED7"/>
    <w:rsid w:val="006D6F0A"/>
    <w:rsid w:val="006D6FD6"/>
    <w:rsid w:val="006D7083"/>
    <w:rsid w:val="006D721D"/>
    <w:rsid w:val="006D7220"/>
    <w:rsid w:val="006D72A1"/>
    <w:rsid w:val="006D73C3"/>
    <w:rsid w:val="006D7404"/>
    <w:rsid w:val="006D747C"/>
    <w:rsid w:val="006D77D7"/>
    <w:rsid w:val="006D7897"/>
    <w:rsid w:val="006D7898"/>
    <w:rsid w:val="006D7974"/>
    <w:rsid w:val="006D79EA"/>
    <w:rsid w:val="006D7B04"/>
    <w:rsid w:val="006D7B67"/>
    <w:rsid w:val="006D7BB6"/>
    <w:rsid w:val="006D7C2E"/>
    <w:rsid w:val="006D7C8A"/>
    <w:rsid w:val="006D7D0E"/>
    <w:rsid w:val="006D7D8C"/>
    <w:rsid w:val="006D7E61"/>
    <w:rsid w:val="006D7EF5"/>
    <w:rsid w:val="006D7FD0"/>
    <w:rsid w:val="006E013C"/>
    <w:rsid w:val="006E013F"/>
    <w:rsid w:val="006E02AC"/>
    <w:rsid w:val="006E02C5"/>
    <w:rsid w:val="006E040A"/>
    <w:rsid w:val="006E04CC"/>
    <w:rsid w:val="006E0512"/>
    <w:rsid w:val="006E0567"/>
    <w:rsid w:val="006E070F"/>
    <w:rsid w:val="006E0759"/>
    <w:rsid w:val="006E07D4"/>
    <w:rsid w:val="006E08E1"/>
    <w:rsid w:val="006E0A02"/>
    <w:rsid w:val="006E0A51"/>
    <w:rsid w:val="006E0B46"/>
    <w:rsid w:val="006E0B65"/>
    <w:rsid w:val="006E0D30"/>
    <w:rsid w:val="006E0DBA"/>
    <w:rsid w:val="006E0E10"/>
    <w:rsid w:val="006E0E71"/>
    <w:rsid w:val="006E0E73"/>
    <w:rsid w:val="006E0EDB"/>
    <w:rsid w:val="006E10FD"/>
    <w:rsid w:val="006E159E"/>
    <w:rsid w:val="006E15F6"/>
    <w:rsid w:val="006E160B"/>
    <w:rsid w:val="006E16EF"/>
    <w:rsid w:val="006E1705"/>
    <w:rsid w:val="006E1710"/>
    <w:rsid w:val="006E17D0"/>
    <w:rsid w:val="006E1981"/>
    <w:rsid w:val="006E19A8"/>
    <w:rsid w:val="006E1A3A"/>
    <w:rsid w:val="006E1AFA"/>
    <w:rsid w:val="006E1BBB"/>
    <w:rsid w:val="006E20E3"/>
    <w:rsid w:val="006E211E"/>
    <w:rsid w:val="006E21FB"/>
    <w:rsid w:val="006E2290"/>
    <w:rsid w:val="006E22E0"/>
    <w:rsid w:val="006E22F9"/>
    <w:rsid w:val="006E2375"/>
    <w:rsid w:val="006E2612"/>
    <w:rsid w:val="006E26EA"/>
    <w:rsid w:val="006E28CB"/>
    <w:rsid w:val="006E2BEC"/>
    <w:rsid w:val="006E2CE2"/>
    <w:rsid w:val="006E2DA1"/>
    <w:rsid w:val="006E2DED"/>
    <w:rsid w:val="006E2F68"/>
    <w:rsid w:val="006E2FCA"/>
    <w:rsid w:val="006E3052"/>
    <w:rsid w:val="006E30D6"/>
    <w:rsid w:val="006E311F"/>
    <w:rsid w:val="006E3382"/>
    <w:rsid w:val="006E349A"/>
    <w:rsid w:val="006E34D6"/>
    <w:rsid w:val="006E3543"/>
    <w:rsid w:val="006E38F1"/>
    <w:rsid w:val="006E3906"/>
    <w:rsid w:val="006E3A65"/>
    <w:rsid w:val="006E3ABC"/>
    <w:rsid w:val="006E3BDE"/>
    <w:rsid w:val="006E3BEE"/>
    <w:rsid w:val="006E3C0D"/>
    <w:rsid w:val="006E3CE7"/>
    <w:rsid w:val="006E3F97"/>
    <w:rsid w:val="006E3F9E"/>
    <w:rsid w:val="006E417C"/>
    <w:rsid w:val="006E41C6"/>
    <w:rsid w:val="006E4208"/>
    <w:rsid w:val="006E421E"/>
    <w:rsid w:val="006E4227"/>
    <w:rsid w:val="006E4234"/>
    <w:rsid w:val="006E4318"/>
    <w:rsid w:val="006E43EF"/>
    <w:rsid w:val="006E44FD"/>
    <w:rsid w:val="006E4641"/>
    <w:rsid w:val="006E46EB"/>
    <w:rsid w:val="006E49E6"/>
    <w:rsid w:val="006E4AD0"/>
    <w:rsid w:val="006E4B40"/>
    <w:rsid w:val="006E4CCA"/>
    <w:rsid w:val="006E4D75"/>
    <w:rsid w:val="006E4ECB"/>
    <w:rsid w:val="006E5134"/>
    <w:rsid w:val="006E5186"/>
    <w:rsid w:val="006E543A"/>
    <w:rsid w:val="006E598C"/>
    <w:rsid w:val="006E59C5"/>
    <w:rsid w:val="006E59CD"/>
    <w:rsid w:val="006E59F9"/>
    <w:rsid w:val="006E5A42"/>
    <w:rsid w:val="006E5AD9"/>
    <w:rsid w:val="006E5B2A"/>
    <w:rsid w:val="006E5C31"/>
    <w:rsid w:val="006E5CC0"/>
    <w:rsid w:val="006E5D13"/>
    <w:rsid w:val="006E5D39"/>
    <w:rsid w:val="006E5D7F"/>
    <w:rsid w:val="006E5DDC"/>
    <w:rsid w:val="006E606A"/>
    <w:rsid w:val="006E6080"/>
    <w:rsid w:val="006E6178"/>
    <w:rsid w:val="006E6220"/>
    <w:rsid w:val="006E6240"/>
    <w:rsid w:val="006E62AF"/>
    <w:rsid w:val="006E63CF"/>
    <w:rsid w:val="006E64D8"/>
    <w:rsid w:val="006E6514"/>
    <w:rsid w:val="006E6691"/>
    <w:rsid w:val="006E6733"/>
    <w:rsid w:val="006E6754"/>
    <w:rsid w:val="006E67D2"/>
    <w:rsid w:val="006E6B77"/>
    <w:rsid w:val="006E6C33"/>
    <w:rsid w:val="006E6D4D"/>
    <w:rsid w:val="006E6DE9"/>
    <w:rsid w:val="006E6E4A"/>
    <w:rsid w:val="006E6EC6"/>
    <w:rsid w:val="006E6EEC"/>
    <w:rsid w:val="006E738F"/>
    <w:rsid w:val="006E73DA"/>
    <w:rsid w:val="006E7715"/>
    <w:rsid w:val="006E77B3"/>
    <w:rsid w:val="006E787D"/>
    <w:rsid w:val="006E7992"/>
    <w:rsid w:val="006E79E7"/>
    <w:rsid w:val="006E7B0C"/>
    <w:rsid w:val="006E7B63"/>
    <w:rsid w:val="006E7FB9"/>
    <w:rsid w:val="006F00E6"/>
    <w:rsid w:val="006F0112"/>
    <w:rsid w:val="006F01AD"/>
    <w:rsid w:val="006F022A"/>
    <w:rsid w:val="006F0982"/>
    <w:rsid w:val="006F0A0E"/>
    <w:rsid w:val="006F0A44"/>
    <w:rsid w:val="006F0A5F"/>
    <w:rsid w:val="006F0B1D"/>
    <w:rsid w:val="006F0CDF"/>
    <w:rsid w:val="006F0D93"/>
    <w:rsid w:val="006F0E4B"/>
    <w:rsid w:val="006F0FA9"/>
    <w:rsid w:val="006F1046"/>
    <w:rsid w:val="006F116D"/>
    <w:rsid w:val="006F12DD"/>
    <w:rsid w:val="006F1824"/>
    <w:rsid w:val="006F19C4"/>
    <w:rsid w:val="006F1B23"/>
    <w:rsid w:val="006F1C96"/>
    <w:rsid w:val="006F1E15"/>
    <w:rsid w:val="006F1F35"/>
    <w:rsid w:val="006F1F76"/>
    <w:rsid w:val="006F1FBB"/>
    <w:rsid w:val="006F2143"/>
    <w:rsid w:val="006F217A"/>
    <w:rsid w:val="006F24A4"/>
    <w:rsid w:val="006F24B4"/>
    <w:rsid w:val="006F255A"/>
    <w:rsid w:val="006F25E2"/>
    <w:rsid w:val="006F2771"/>
    <w:rsid w:val="006F2902"/>
    <w:rsid w:val="006F2A99"/>
    <w:rsid w:val="006F2C3F"/>
    <w:rsid w:val="006F2E0A"/>
    <w:rsid w:val="006F2F32"/>
    <w:rsid w:val="006F2F3C"/>
    <w:rsid w:val="006F2F84"/>
    <w:rsid w:val="006F2FE5"/>
    <w:rsid w:val="006F2FFC"/>
    <w:rsid w:val="006F3073"/>
    <w:rsid w:val="006F30E7"/>
    <w:rsid w:val="006F32DB"/>
    <w:rsid w:val="006F3305"/>
    <w:rsid w:val="006F3451"/>
    <w:rsid w:val="006F3582"/>
    <w:rsid w:val="006F370F"/>
    <w:rsid w:val="006F3716"/>
    <w:rsid w:val="006F37F7"/>
    <w:rsid w:val="006F3860"/>
    <w:rsid w:val="006F3AEF"/>
    <w:rsid w:val="006F3C53"/>
    <w:rsid w:val="006F3CD0"/>
    <w:rsid w:val="006F3E13"/>
    <w:rsid w:val="006F3ED0"/>
    <w:rsid w:val="006F3EED"/>
    <w:rsid w:val="006F3FD7"/>
    <w:rsid w:val="006F4038"/>
    <w:rsid w:val="006F40DD"/>
    <w:rsid w:val="006F43D2"/>
    <w:rsid w:val="006F4448"/>
    <w:rsid w:val="006F4487"/>
    <w:rsid w:val="006F47C7"/>
    <w:rsid w:val="006F480E"/>
    <w:rsid w:val="006F48FD"/>
    <w:rsid w:val="006F4902"/>
    <w:rsid w:val="006F4A83"/>
    <w:rsid w:val="006F4CC0"/>
    <w:rsid w:val="006F4DA3"/>
    <w:rsid w:val="006F4E46"/>
    <w:rsid w:val="006F4E9C"/>
    <w:rsid w:val="006F4EDA"/>
    <w:rsid w:val="006F4F67"/>
    <w:rsid w:val="006F500C"/>
    <w:rsid w:val="006F500E"/>
    <w:rsid w:val="006F5148"/>
    <w:rsid w:val="006F51CC"/>
    <w:rsid w:val="006F52D2"/>
    <w:rsid w:val="006F53F7"/>
    <w:rsid w:val="006F5465"/>
    <w:rsid w:val="006F54E0"/>
    <w:rsid w:val="006F5559"/>
    <w:rsid w:val="006F56B2"/>
    <w:rsid w:val="006F5836"/>
    <w:rsid w:val="006F5B1C"/>
    <w:rsid w:val="006F5BB1"/>
    <w:rsid w:val="006F5BBE"/>
    <w:rsid w:val="006F5C83"/>
    <w:rsid w:val="006F5CA4"/>
    <w:rsid w:val="006F5E83"/>
    <w:rsid w:val="006F61FE"/>
    <w:rsid w:val="006F6201"/>
    <w:rsid w:val="006F6262"/>
    <w:rsid w:val="006F62C5"/>
    <w:rsid w:val="006F64A3"/>
    <w:rsid w:val="006F67E0"/>
    <w:rsid w:val="006F6A68"/>
    <w:rsid w:val="006F6B75"/>
    <w:rsid w:val="006F6C1D"/>
    <w:rsid w:val="006F6C36"/>
    <w:rsid w:val="006F6D1D"/>
    <w:rsid w:val="006F6EA9"/>
    <w:rsid w:val="006F6F0F"/>
    <w:rsid w:val="006F719F"/>
    <w:rsid w:val="006F7203"/>
    <w:rsid w:val="006F72DC"/>
    <w:rsid w:val="006F73C6"/>
    <w:rsid w:val="006F752F"/>
    <w:rsid w:val="006F76B0"/>
    <w:rsid w:val="006F774F"/>
    <w:rsid w:val="006F7850"/>
    <w:rsid w:val="006F78AD"/>
    <w:rsid w:val="006F7A16"/>
    <w:rsid w:val="006F7CEF"/>
    <w:rsid w:val="006F7DDB"/>
    <w:rsid w:val="006F7EAC"/>
    <w:rsid w:val="006F7F32"/>
    <w:rsid w:val="006F7F59"/>
    <w:rsid w:val="006F7FBF"/>
    <w:rsid w:val="006F7FCE"/>
    <w:rsid w:val="0070020F"/>
    <w:rsid w:val="00700241"/>
    <w:rsid w:val="0070043C"/>
    <w:rsid w:val="0070046D"/>
    <w:rsid w:val="007005BD"/>
    <w:rsid w:val="00700779"/>
    <w:rsid w:val="00700808"/>
    <w:rsid w:val="007009BD"/>
    <w:rsid w:val="00700AEC"/>
    <w:rsid w:val="00700B77"/>
    <w:rsid w:val="00700B90"/>
    <w:rsid w:val="00700B96"/>
    <w:rsid w:val="00700DDE"/>
    <w:rsid w:val="00700FA7"/>
    <w:rsid w:val="00701131"/>
    <w:rsid w:val="0070115C"/>
    <w:rsid w:val="0070152B"/>
    <w:rsid w:val="00701646"/>
    <w:rsid w:val="00701689"/>
    <w:rsid w:val="00701799"/>
    <w:rsid w:val="007017DE"/>
    <w:rsid w:val="00701919"/>
    <w:rsid w:val="0070196E"/>
    <w:rsid w:val="00701A5B"/>
    <w:rsid w:val="00701B2D"/>
    <w:rsid w:val="00701BB7"/>
    <w:rsid w:val="00701D54"/>
    <w:rsid w:val="00701FDB"/>
    <w:rsid w:val="00702078"/>
    <w:rsid w:val="0070212A"/>
    <w:rsid w:val="007022A5"/>
    <w:rsid w:val="007023D2"/>
    <w:rsid w:val="00702406"/>
    <w:rsid w:val="00702468"/>
    <w:rsid w:val="007024A0"/>
    <w:rsid w:val="007025A1"/>
    <w:rsid w:val="007026CD"/>
    <w:rsid w:val="0070274D"/>
    <w:rsid w:val="007027D5"/>
    <w:rsid w:val="007027F6"/>
    <w:rsid w:val="00702A03"/>
    <w:rsid w:val="00702D47"/>
    <w:rsid w:val="00702D97"/>
    <w:rsid w:val="00702DDB"/>
    <w:rsid w:val="00702E50"/>
    <w:rsid w:val="00702EB8"/>
    <w:rsid w:val="00702FE7"/>
    <w:rsid w:val="00703047"/>
    <w:rsid w:val="00703146"/>
    <w:rsid w:val="00703157"/>
    <w:rsid w:val="0070345E"/>
    <w:rsid w:val="0070347D"/>
    <w:rsid w:val="00703659"/>
    <w:rsid w:val="00703774"/>
    <w:rsid w:val="007037D2"/>
    <w:rsid w:val="007038EA"/>
    <w:rsid w:val="007038F7"/>
    <w:rsid w:val="00703A02"/>
    <w:rsid w:val="00703A42"/>
    <w:rsid w:val="00703A4F"/>
    <w:rsid w:val="00703B48"/>
    <w:rsid w:val="00703C55"/>
    <w:rsid w:val="00703DE9"/>
    <w:rsid w:val="00703DF1"/>
    <w:rsid w:val="00703E84"/>
    <w:rsid w:val="00704130"/>
    <w:rsid w:val="00704170"/>
    <w:rsid w:val="007041B3"/>
    <w:rsid w:val="007044DD"/>
    <w:rsid w:val="007046AE"/>
    <w:rsid w:val="007047CA"/>
    <w:rsid w:val="00704928"/>
    <w:rsid w:val="007049D4"/>
    <w:rsid w:val="00704A5A"/>
    <w:rsid w:val="00704DFE"/>
    <w:rsid w:val="00704E0B"/>
    <w:rsid w:val="00704E16"/>
    <w:rsid w:val="00704E3D"/>
    <w:rsid w:val="00704FE7"/>
    <w:rsid w:val="0070516B"/>
    <w:rsid w:val="00705189"/>
    <w:rsid w:val="00705281"/>
    <w:rsid w:val="007052A9"/>
    <w:rsid w:val="00705451"/>
    <w:rsid w:val="007054F9"/>
    <w:rsid w:val="00705549"/>
    <w:rsid w:val="00705560"/>
    <w:rsid w:val="00705727"/>
    <w:rsid w:val="00705829"/>
    <w:rsid w:val="0070588C"/>
    <w:rsid w:val="00705CCB"/>
    <w:rsid w:val="00705DD8"/>
    <w:rsid w:val="00705EEF"/>
    <w:rsid w:val="00705F8E"/>
    <w:rsid w:val="00705FFD"/>
    <w:rsid w:val="00706015"/>
    <w:rsid w:val="00706117"/>
    <w:rsid w:val="007062BD"/>
    <w:rsid w:val="0070630E"/>
    <w:rsid w:val="007063A4"/>
    <w:rsid w:val="0070659B"/>
    <w:rsid w:val="00706628"/>
    <w:rsid w:val="00706A16"/>
    <w:rsid w:val="00706A7B"/>
    <w:rsid w:val="00706C15"/>
    <w:rsid w:val="00706C4C"/>
    <w:rsid w:val="00706F57"/>
    <w:rsid w:val="00707007"/>
    <w:rsid w:val="007070AB"/>
    <w:rsid w:val="007070E9"/>
    <w:rsid w:val="00707172"/>
    <w:rsid w:val="007073FB"/>
    <w:rsid w:val="00707457"/>
    <w:rsid w:val="0070754B"/>
    <w:rsid w:val="00707594"/>
    <w:rsid w:val="007075B9"/>
    <w:rsid w:val="00707753"/>
    <w:rsid w:val="0070775E"/>
    <w:rsid w:val="00707838"/>
    <w:rsid w:val="0070783C"/>
    <w:rsid w:val="00707AC3"/>
    <w:rsid w:val="00707C42"/>
    <w:rsid w:val="00707D00"/>
    <w:rsid w:val="00707DFD"/>
    <w:rsid w:val="00707E1E"/>
    <w:rsid w:val="00707E20"/>
    <w:rsid w:val="00707F8A"/>
    <w:rsid w:val="00710187"/>
    <w:rsid w:val="007101EA"/>
    <w:rsid w:val="0071027F"/>
    <w:rsid w:val="007102E7"/>
    <w:rsid w:val="00710385"/>
    <w:rsid w:val="0071039B"/>
    <w:rsid w:val="007103F0"/>
    <w:rsid w:val="00710516"/>
    <w:rsid w:val="00710695"/>
    <w:rsid w:val="0071082F"/>
    <w:rsid w:val="0071097E"/>
    <w:rsid w:val="00710B06"/>
    <w:rsid w:val="00710B4D"/>
    <w:rsid w:val="00710EA8"/>
    <w:rsid w:val="00710FA8"/>
    <w:rsid w:val="00710FCC"/>
    <w:rsid w:val="007111B1"/>
    <w:rsid w:val="00711309"/>
    <w:rsid w:val="00711325"/>
    <w:rsid w:val="0071132B"/>
    <w:rsid w:val="0071139D"/>
    <w:rsid w:val="007113CE"/>
    <w:rsid w:val="00711422"/>
    <w:rsid w:val="007115CD"/>
    <w:rsid w:val="00711614"/>
    <w:rsid w:val="0071161E"/>
    <w:rsid w:val="00711720"/>
    <w:rsid w:val="0071179D"/>
    <w:rsid w:val="00711AA0"/>
    <w:rsid w:val="00711C12"/>
    <w:rsid w:val="00711CB6"/>
    <w:rsid w:val="00711CEC"/>
    <w:rsid w:val="00711D77"/>
    <w:rsid w:val="00712022"/>
    <w:rsid w:val="00712088"/>
    <w:rsid w:val="007120B3"/>
    <w:rsid w:val="007120C4"/>
    <w:rsid w:val="007121D9"/>
    <w:rsid w:val="00712227"/>
    <w:rsid w:val="00712357"/>
    <w:rsid w:val="0071254F"/>
    <w:rsid w:val="00712785"/>
    <w:rsid w:val="007129BA"/>
    <w:rsid w:val="00712B97"/>
    <w:rsid w:val="00712C43"/>
    <w:rsid w:val="00712D51"/>
    <w:rsid w:val="00713509"/>
    <w:rsid w:val="0071350C"/>
    <w:rsid w:val="00713648"/>
    <w:rsid w:val="00713927"/>
    <w:rsid w:val="00713B3B"/>
    <w:rsid w:val="00713BBA"/>
    <w:rsid w:val="00713C95"/>
    <w:rsid w:val="00713CEC"/>
    <w:rsid w:val="00713D1F"/>
    <w:rsid w:val="00713E35"/>
    <w:rsid w:val="00713FEB"/>
    <w:rsid w:val="00713FF6"/>
    <w:rsid w:val="00714191"/>
    <w:rsid w:val="00714209"/>
    <w:rsid w:val="007143D3"/>
    <w:rsid w:val="007143D4"/>
    <w:rsid w:val="0071447A"/>
    <w:rsid w:val="007145EA"/>
    <w:rsid w:val="0071466A"/>
    <w:rsid w:val="007148FC"/>
    <w:rsid w:val="00714CBD"/>
    <w:rsid w:val="00714FF7"/>
    <w:rsid w:val="00715177"/>
    <w:rsid w:val="00715228"/>
    <w:rsid w:val="0071539E"/>
    <w:rsid w:val="0071562D"/>
    <w:rsid w:val="00715651"/>
    <w:rsid w:val="00715703"/>
    <w:rsid w:val="0071579A"/>
    <w:rsid w:val="00715886"/>
    <w:rsid w:val="007158F1"/>
    <w:rsid w:val="007158F2"/>
    <w:rsid w:val="007159A6"/>
    <w:rsid w:val="00715AB1"/>
    <w:rsid w:val="00715ACB"/>
    <w:rsid w:val="00715BBC"/>
    <w:rsid w:val="00715C28"/>
    <w:rsid w:val="00715E69"/>
    <w:rsid w:val="00715E94"/>
    <w:rsid w:val="00715F24"/>
    <w:rsid w:val="00715FB9"/>
    <w:rsid w:val="00716059"/>
    <w:rsid w:val="0071607B"/>
    <w:rsid w:val="00716277"/>
    <w:rsid w:val="007162A0"/>
    <w:rsid w:val="00716376"/>
    <w:rsid w:val="007163D3"/>
    <w:rsid w:val="00716410"/>
    <w:rsid w:val="007164BE"/>
    <w:rsid w:val="007164BF"/>
    <w:rsid w:val="007165A9"/>
    <w:rsid w:val="007165D6"/>
    <w:rsid w:val="00716612"/>
    <w:rsid w:val="007166A9"/>
    <w:rsid w:val="007166F6"/>
    <w:rsid w:val="0071670B"/>
    <w:rsid w:val="00716928"/>
    <w:rsid w:val="00716A7B"/>
    <w:rsid w:val="00716AA5"/>
    <w:rsid w:val="00716ABB"/>
    <w:rsid w:val="00716B11"/>
    <w:rsid w:val="00716BF3"/>
    <w:rsid w:val="00716C74"/>
    <w:rsid w:val="00716E4D"/>
    <w:rsid w:val="00716F04"/>
    <w:rsid w:val="00716F1C"/>
    <w:rsid w:val="00717077"/>
    <w:rsid w:val="00717154"/>
    <w:rsid w:val="007172C9"/>
    <w:rsid w:val="0071746B"/>
    <w:rsid w:val="00717523"/>
    <w:rsid w:val="00717701"/>
    <w:rsid w:val="007177E2"/>
    <w:rsid w:val="00717813"/>
    <w:rsid w:val="0071782D"/>
    <w:rsid w:val="00717ADA"/>
    <w:rsid w:val="00717B75"/>
    <w:rsid w:val="00717ED6"/>
    <w:rsid w:val="00717EF3"/>
    <w:rsid w:val="00720079"/>
    <w:rsid w:val="00720086"/>
    <w:rsid w:val="007200FF"/>
    <w:rsid w:val="00720138"/>
    <w:rsid w:val="0072021A"/>
    <w:rsid w:val="0072032F"/>
    <w:rsid w:val="0072046F"/>
    <w:rsid w:val="007204F6"/>
    <w:rsid w:val="00720648"/>
    <w:rsid w:val="00720708"/>
    <w:rsid w:val="00720808"/>
    <w:rsid w:val="0072090F"/>
    <w:rsid w:val="00720A1E"/>
    <w:rsid w:val="00720D64"/>
    <w:rsid w:val="00720D6D"/>
    <w:rsid w:val="00720D82"/>
    <w:rsid w:val="00720E46"/>
    <w:rsid w:val="00720EB8"/>
    <w:rsid w:val="00720F40"/>
    <w:rsid w:val="00720FD6"/>
    <w:rsid w:val="00721311"/>
    <w:rsid w:val="0072152B"/>
    <w:rsid w:val="007215BE"/>
    <w:rsid w:val="0072165A"/>
    <w:rsid w:val="007216FD"/>
    <w:rsid w:val="007217A0"/>
    <w:rsid w:val="00721A79"/>
    <w:rsid w:val="00721A91"/>
    <w:rsid w:val="00721B7B"/>
    <w:rsid w:val="00721B7C"/>
    <w:rsid w:val="00721BFC"/>
    <w:rsid w:val="00721E27"/>
    <w:rsid w:val="00721F07"/>
    <w:rsid w:val="00721FB1"/>
    <w:rsid w:val="00722019"/>
    <w:rsid w:val="0072202C"/>
    <w:rsid w:val="0072202F"/>
    <w:rsid w:val="007220DC"/>
    <w:rsid w:val="007221C3"/>
    <w:rsid w:val="0072221D"/>
    <w:rsid w:val="007223D5"/>
    <w:rsid w:val="0072243A"/>
    <w:rsid w:val="007224AA"/>
    <w:rsid w:val="007224C9"/>
    <w:rsid w:val="007224ED"/>
    <w:rsid w:val="00722502"/>
    <w:rsid w:val="00722525"/>
    <w:rsid w:val="00722558"/>
    <w:rsid w:val="0072279B"/>
    <w:rsid w:val="00722926"/>
    <w:rsid w:val="00722933"/>
    <w:rsid w:val="0072299D"/>
    <w:rsid w:val="00722A25"/>
    <w:rsid w:val="00722DC4"/>
    <w:rsid w:val="00722DF3"/>
    <w:rsid w:val="00722EE2"/>
    <w:rsid w:val="00722FC7"/>
    <w:rsid w:val="007230C2"/>
    <w:rsid w:val="007231BC"/>
    <w:rsid w:val="007231FA"/>
    <w:rsid w:val="00723209"/>
    <w:rsid w:val="00723294"/>
    <w:rsid w:val="00723320"/>
    <w:rsid w:val="007233D7"/>
    <w:rsid w:val="0072344E"/>
    <w:rsid w:val="007236CD"/>
    <w:rsid w:val="0072373B"/>
    <w:rsid w:val="00723887"/>
    <w:rsid w:val="00723A2B"/>
    <w:rsid w:val="00723B03"/>
    <w:rsid w:val="00723D8F"/>
    <w:rsid w:val="00723D94"/>
    <w:rsid w:val="00723DCD"/>
    <w:rsid w:val="00723E4D"/>
    <w:rsid w:val="00724004"/>
    <w:rsid w:val="0072401E"/>
    <w:rsid w:val="0072407A"/>
    <w:rsid w:val="0072413A"/>
    <w:rsid w:val="00724198"/>
    <w:rsid w:val="007241D5"/>
    <w:rsid w:val="0072467F"/>
    <w:rsid w:val="007247AC"/>
    <w:rsid w:val="00724A30"/>
    <w:rsid w:val="00724A3E"/>
    <w:rsid w:val="00724AC3"/>
    <w:rsid w:val="00724BC8"/>
    <w:rsid w:val="00724C71"/>
    <w:rsid w:val="00724C95"/>
    <w:rsid w:val="00724CD7"/>
    <w:rsid w:val="00724DA7"/>
    <w:rsid w:val="00724DD3"/>
    <w:rsid w:val="00724DD7"/>
    <w:rsid w:val="00724F95"/>
    <w:rsid w:val="00724FCF"/>
    <w:rsid w:val="00725012"/>
    <w:rsid w:val="007252E9"/>
    <w:rsid w:val="0072537D"/>
    <w:rsid w:val="0072544F"/>
    <w:rsid w:val="00725509"/>
    <w:rsid w:val="00725785"/>
    <w:rsid w:val="00725A8F"/>
    <w:rsid w:val="00725B52"/>
    <w:rsid w:val="00725BE4"/>
    <w:rsid w:val="00725C56"/>
    <w:rsid w:val="00725DAB"/>
    <w:rsid w:val="00726050"/>
    <w:rsid w:val="00726137"/>
    <w:rsid w:val="0072616F"/>
    <w:rsid w:val="007266A6"/>
    <w:rsid w:val="007266FC"/>
    <w:rsid w:val="007268D6"/>
    <w:rsid w:val="007269D5"/>
    <w:rsid w:val="00726B12"/>
    <w:rsid w:val="00726C40"/>
    <w:rsid w:val="00726CD4"/>
    <w:rsid w:val="00726DFD"/>
    <w:rsid w:val="00726E7E"/>
    <w:rsid w:val="00726EB4"/>
    <w:rsid w:val="0072702E"/>
    <w:rsid w:val="00727194"/>
    <w:rsid w:val="00727198"/>
    <w:rsid w:val="0072724C"/>
    <w:rsid w:val="00727426"/>
    <w:rsid w:val="00727520"/>
    <w:rsid w:val="00727820"/>
    <w:rsid w:val="007279FA"/>
    <w:rsid w:val="00727B24"/>
    <w:rsid w:val="00727D6B"/>
    <w:rsid w:val="00730036"/>
    <w:rsid w:val="0073008B"/>
    <w:rsid w:val="007300BD"/>
    <w:rsid w:val="00730249"/>
    <w:rsid w:val="00730291"/>
    <w:rsid w:val="0073034D"/>
    <w:rsid w:val="0073036C"/>
    <w:rsid w:val="0073039C"/>
    <w:rsid w:val="0073041A"/>
    <w:rsid w:val="007307EC"/>
    <w:rsid w:val="00730848"/>
    <w:rsid w:val="007308CF"/>
    <w:rsid w:val="00730C06"/>
    <w:rsid w:val="00730C31"/>
    <w:rsid w:val="00730DB9"/>
    <w:rsid w:val="00730E9E"/>
    <w:rsid w:val="00730FDF"/>
    <w:rsid w:val="00731128"/>
    <w:rsid w:val="00731277"/>
    <w:rsid w:val="007314FD"/>
    <w:rsid w:val="00731512"/>
    <w:rsid w:val="007315AB"/>
    <w:rsid w:val="007315B6"/>
    <w:rsid w:val="00731630"/>
    <w:rsid w:val="007316C3"/>
    <w:rsid w:val="0073185A"/>
    <w:rsid w:val="007318D9"/>
    <w:rsid w:val="007318ED"/>
    <w:rsid w:val="00731A4C"/>
    <w:rsid w:val="00731B6B"/>
    <w:rsid w:val="00731DCD"/>
    <w:rsid w:val="00731DF6"/>
    <w:rsid w:val="00731E7A"/>
    <w:rsid w:val="0073201A"/>
    <w:rsid w:val="00732050"/>
    <w:rsid w:val="007320C0"/>
    <w:rsid w:val="007320D1"/>
    <w:rsid w:val="0073217B"/>
    <w:rsid w:val="00732193"/>
    <w:rsid w:val="007322CB"/>
    <w:rsid w:val="00732337"/>
    <w:rsid w:val="00732376"/>
    <w:rsid w:val="007323BC"/>
    <w:rsid w:val="007324AB"/>
    <w:rsid w:val="007324C4"/>
    <w:rsid w:val="007324EA"/>
    <w:rsid w:val="00732820"/>
    <w:rsid w:val="0073285A"/>
    <w:rsid w:val="007329F0"/>
    <w:rsid w:val="00732A2E"/>
    <w:rsid w:val="00732A86"/>
    <w:rsid w:val="00732CAE"/>
    <w:rsid w:val="00732CB5"/>
    <w:rsid w:val="00732CE4"/>
    <w:rsid w:val="00732DAB"/>
    <w:rsid w:val="00732DFD"/>
    <w:rsid w:val="00732E1A"/>
    <w:rsid w:val="00732ED1"/>
    <w:rsid w:val="00732F64"/>
    <w:rsid w:val="00733186"/>
    <w:rsid w:val="00733195"/>
    <w:rsid w:val="007331E6"/>
    <w:rsid w:val="007332BE"/>
    <w:rsid w:val="00733394"/>
    <w:rsid w:val="00733493"/>
    <w:rsid w:val="007334E9"/>
    <w:rsid w:val="0073357B"/>
    <w:rsid w:val="0073365E"/>
    <w:rsid w:val="0073371D"/>
    <w:rsid w:val="0073384C"/>
    <w:rsid w:val="00733955"/>
    <w:rsid w:val="00733B27"/>
    <w:rsid w:val="00733B92"/>
    <w:rsid w:val="00733BFC"/>
    <w:rsid w:val="00733CF2"/>
    <w:rsid w:val="00733EF4"/>
    <w:rsid w:val="007340D2"/>
    <w:rsid w:val="00734121"/>
    <w:rsid w:val="00734285"/>
    <w:rsid w:val="007342E6"/>
    <w:rsid w:val="007346F6"/>
    <w:rsid w:val="00734780"/>
    <w:rsid w:val="00734A87"/>
    <w:rsid w:val="00734B40"/>
    <w:rsid w:val="00734F24"/>
    <w:rsid w:val="007350BD"/>
    <w:rsid w:val="00735149"/>
    <w:rsid w:val="00735223"/>
    <w:rsid w:val="00735240"/>
    <w:rsid w:val="0073551B"/>
    <w:rsid w:val="007356C6"/>
    <w:rsid w:val="00735802"/>
    <w:rsid w:val="00735969"/>
    <w:rsid w:val="0073596C"/>
    <w:rsid w:val="00735B90"/>
    <w:rsid w:val="00735CA2"/>
    <w:rsid w:val="0073609B"/>
    <w:rsid w:val="0073613A"/>
    <w:rsid w:val="00736140"/>
    <w:rsid w:val="00736147"/>
    <w:rsid w:val="00736183"/>
    <w:rsid w:val="0073624B"/>
    <w:rsid w:val="007363E0"/>
    <w:rsid w:val="00736444"/>
    <w:rsid w:val="007365AF"/>
    <w:rsid w:val="007365CE"/>
    <w:rsid w:val="0073668B"/>
    <w:rsid w:val="007366E2"/>
    <w:rsid w:val="007366FB"/>
    <w:rsid w:val="00736709"/>
    <w:rsid w:val="00736854"/>
    <w:rsid w:val="007368FD"/>
    <w:rsid w:val="0073696C"/>
    <w:rsid w:val="00736A35"/>
    <w:rsid w:val="00736B08"/>
    <w:rsid w:val="00736B53"/>
    <w:rsid w:val="00736C8F"/>
    <w:rsid w:val="0073706A"/>
    <w:rsid w:val="007370BC"/>
    <w:rsid w:val="0073718D"/>
    <w:rsid w:val="007372BD"/>
    <w:rsid w:val="007372D1"/>
    <w:rsid w:val="0073739F"/>
    <w:rsid w:val="007373C4"/>
    <w:rsid w:val="007374F0"/>
    <w:rsid w:val="00737607"/>
    <w:rsid w:val="00737744"/>
    <w:rsid w:val="0073795C"/>
    <w:rsid w:val="00737AE8"/>
    <w:rsid w:val="00737B32"/>
    <w:rsid w:val="00737BA6"/>
    <w:rsid w:val="00737C79"/>
    <w:rsid w:val="00737CEF"/>
    <w:rsid w:val="00740083"/>
    <w:rsid w:val="007401F0"/>
    <w:rsid w:val="0074041C"/>
    <w:rsid w:val="00740583"/>
    <w:rsid w:val="00740598"/>
    <w:rsid w:val="00740668"/>
    <w:rsid w:val="007407B6"/>
    <w:rsid w:val="007408A5"/>
    <w:rsid w:val="00740920"/>
    <w:rsid w:val="007409AF"/>
    <w:rsid w:val="00740B1D"/>
    <w:rsid w:val="00740BAF"/>
    <w:rsid w:val="00740BEE"/>
    <w:rsid w:val="00740CD6"/>
    <w:rsid w:val="00740D45"/>
    <w:rsid w:val="00740E12"/>
    <w:rsid w:val="00740E61"/>
    <w:rsid w:val="00740E66"/>
    <w:rsid w:val="00740E9A"/>
    <w:rsid w:val="00740F73"/>
    <w:rsid w:val="00740F91"/>
    <w:rsid w:val="00741108"/>
    <w:rsid w:val="0074123F"/>
    <w:rsid w:val="007412EC"/>
    <w:rsid w:val="007412ED"/>
    <w:rsid w:val="0074149A"/>
    <w:rsid w:val="00741558"/>
    <w:rsid w:val="007415DD"/>
    <w:rsid w:val="00741689"/>
    <w:rsid w:val="0074168E"/>
    <w:rsid w:val="00741741"/>
    <w:rsid w:val="007419DF"/>
    <w:rsid w:val="00741B5E"/>
    <w:rsid w:val="00741C09"/>
    <w:rsid w:val="00741CE2"/>
    <w:rsid w:val="00741DC8"/>
    <w:rsid w:val="00741E07"/>
    <w:rsid w:val="00741E10"/>
    <w:rsid w:val="00741E9E"/>
    <w:rsid w:val="00741EF2"/>
    <w:rsid w:val="00741FEB"/>
    <w:rsid w:val="007420F7"/>
    <w:rsid w:val="00742300"/>
    <w:rsid w:val="0074233F"/>
    <w:rsid w:val="007423BF"/>
    <w:rsid w:val="007423ED"/>
    <w:rsid w:val="0074280A"/>
    <w:rsid w:val="00742B70"/>
    <w:rsid w:val="00742C23"/>
    <w:rsid w:val="00742DFD"/>
    <w:rsid w:val="00742E82"/>
    <w:rsid w:val="00742EE5"/>
    <w:rsid w:val="00742F13"/>
    <w:rsid w:val="00742F8F"/>
    <w:rsid w:val="0074307D"/>
    <w:rsid w:val="007430D4"/>
    <w:rsid w:val="0074332D"/>
    <w:rsid w:val="0074333A"/>
    <w:rsid w:val="0074338E"/>
    <w:rsid w:val="007434C2"/>
    <w:rsid w:val="00743656"/>
    <w:rsid w:val="0074365D"/>
    <w:rsid w:val="0074366A"/>
    <w:rsid w:val="007436D4"/>
    <w:rsid w:val="00743753"/>
    <w:rsid w:val="0074376B"/>
    <w:rsid w:val="007437CD"/>
    <w:rsid w:val="007437E3"/>
    <w:rsid w:val="00743811"/>
    <w:rsid w:val="0074383C"/>
    <w:rsid w:val="007438BB"/>
    <w:rsid w:val="00743956"/>
    <w:rsid w:val="00743AC2"/>
    <w:rsid w:val="00743AFB"/>
    <w:rsid w:val="00743BB2"/>
    <w:rsid w:val="00743CED"/>
    <w:rsid w:val="00743EC5"/>
    <w:rsid w:val="00743ED2"/>
    <w:rsid w:val="00743F47"/>
    <w:rsid w:val="00743FDA"/>
    <w:rsid w:val="00744017"/>
    <w:rsid w:val="007441F7"/>
    <w:rsid w:val="00744275"/>
    <w:rsid w:val="00744298"/>
    <w:rsid w:val="007442F5"/>
    <w:rsid w:val="00744390"/>
    <w:rsid w:val="00744536"/>
    <w:rsid w:val="00744589"/>
    <w:rsid w:val="007445A5"/>
    <w:rsid w:val="007445A8"/>
    <w:rsid w:val="007445AA"/>
    <w:rsid w:val="00744618"/>
    <w:rsid w:val="0074467A"/>
    <w:rsid w:val="00744811"/>
    <w:rsid w:val="00744917"/>
    <w:rsid w:val="0074498F"/>
    <w:rsid w:val="007449A7"/>
    <w:rsid w:val="007449D5"/>
    <w:rsid w:val="007449DF"/>
    <w:rsid w:val="00744B5A"/>
    <w:rsid w:val="00744B93"/>
    <w:rsid w:val="00744C58"/>
    <w:rsid w:val="00744D66"/>
    <w:rsid w:val="00744E11"/>
    <w:rsid w:val="00745050"/>
    <w:rsid w:val="00745148"/>
    <w:rsid w:val="007451B0"/>
    <w:rsid w:val="00745333"/>
    <w:rsid w:val="0074533C"/>
    <w:rsid w:val="00745399"/>
    <w:rsid w:val="007453A6"/>
    <w:rsid w:val="007454DB"/>
    <w:rsid w:val="0074561D"/>
    <w:rsid w:val="0074564E"/>
    <w:rsid w:val="00745656"/>
    <w:rsid w:val="007457DF"/>
    <w:rsid w:val="00745977"/>
    <w:rsid w:val="007459F4"/>
    <w:rsid w:val="00745A26"/>
    <w:rsid w:val="00745B98"/>
    <w:rsid w:val="00745E06"/>
    <w:rsid w:val="00745F10"/>
    <w:rsid w:val="00745F14"/>
    <w:rsid w:val="00745F66"/>
    <w:rsid w:val="00746097"/>
    <w:rsid w:val="00746172"/>
    <w:rsid w:val="00746200"/>
    <w:rsid w:val="007463F5"/>
    <w:rsid w:val="00746433"/>
    <w:rsid w:val="0074666D"/>
    <w:rsid w:val="007466D5"/>
    <w:rsid w:val="0074672B"/>
    <w:rsid w:val="007469E8"/>
    <w:rsid w:val="00746A79"/>
    <w:rsid w:val="00746E39"/>
    <w:rsid w:val="00747003"/>
    <w:rsid w:val="00747135"/>
    <w:rsid w:val="00747487"/>
    <w:rsid w:val="007474B2"/>
    <w:rsid w:val="007475E0"/>
    <w:rsid w:val="0074768B"/>
    <w:rsid w:val="0074779D"/>
    <w:rsid w:val="00747843"/>
    <w:rsid w:val="007479A3"/>
    <w:rsid w:val="00747A99"/>
    <w:rsid w:val="00747E77"/>
    <w:rsid w:val="00747F96"/>
    <w:rsid w:val="007500F8"/>
    <w:rsid w:val="00750399"/>
    <w:rsid w:val="00750702"/>
    <w:rsid w:val="0075085A"/>
    <w:rsid w:val="0075087E"/>
    <w:rsid w:val="00750975"/>
    <w:rsid w:val="00750A69"/>
    <w:rsid w:val="00750B7A"/>
    <w:rsid w:val="00751129"/>
    <w:rsid w:val="00751357"/>
    <w:rsid w:val="007514FB"/>
    <w:rsid w:val="007516CD"/>
    <w:rsid w:val="007516DA"/>
    <w:rsid w:val="00751786"/>
    <w:rsid w:val="007518DA"/>
    <w:rsid w:val="00751AE5"/>
    <w:rsid w:val="00751AEF"/>
    <w:rsid w:val="00751E3D"/>
    <w:rsid w:val="00751F19"/>
    <w:rsid w:val="00752078"/>
    <w:rsid w:val="007522ED"/>
    <w:rsid w:val="00752390"/>
    <w:rsid w:val="00752618"/>
    <w:rsid w:val="0075269B"/>
    <w:rsid w:val="00752789"/>
    <w:rsid w:val="0075281C"/>
    <w:rsid w:val="00752874"/>
    <w:rsid w:val="00752A6C"/>
    <w:rsid w:val="00752A76"/>
    <w:rsid w:val="00752B18"/>
    <w:rsid w:val="00752B67"/>
    <w:rsid w:val="00752CB4"/>
    <w:rsid w:val="00752CBD"/>
    <w:rsid w:val="00752D22"/>
    <w:rsid w:val="00752E86"/>
    <w:rsid w:val="00752F7D"/>
    <w:rsid w:val="00753003"/>
    <w:rsid w:val="00753178"/>
    <w:rsid w:val="0075326F"/>
    <w:rsid w:val="007534C3"/>
    <w:rsid w:val="00753655"/>
    <w:rsid w:val="00753725"/>
    <w:rsid w:val="00753981"/>
    <w:rsid w:val="00753A9D"/>
    <w:rsid w:val="00753B2D"/>
    <w:rsid w:val="00753C9C"/>
    <w:rsid w:val="00753CCA"/>
    <w:rsid w:val="00753F4C"/>
    <w:rsid w:val="00753FDD"/>
    <w:rsid w:val="007542A2"/>
    <w:rsid w:val="007543EA"/>
    <w:rsid w:val="00754412"/>
    <w:rsid w:val="0075444D"/>
    <w:rsid w:val="007544E1"/>
    <w:rsid w:val="007544F2"/>
    <w:rsid w:val="0075485A"/>
    <w:rsid w:val="00754969"/>
    <w:rsid w:val="00754A1F"/>
    <w:rsid w:val="00754A60"/>
    <w:rsid w:val="00754DF2"/>
    <w:rsid w:val="00754F5C"/>
    <w:rsid w:val="00754F9D"/>
    <w:rsid w:val="00754FDE"/>
    <w:rsid w:val="00754FE4"/>
    <w:rsid w:val="00754FFE"/>
    <w:rsid w:val="007550D0"/>
    <w:rsid w:val="0075514A"/>
    <w:rsid w:val="0075514D"/>
    <w:rsid w:val="007556D7"/>
    <w:rsid w:val="00755741"/>
    <w:rsid w:val="007557EF"/>
    <w:rsid w:val="007559B3"/>
    <w:rsid w:val="00755BBE"/>
    <w:rsid w:val="00755BCA"/>
    <w:rsid w:val="00755C1D"/>
    <w:rsid w:val="00755C71"/>
    <w:rsid w:val="00755DD4"/>
    <w:rsid w:val="00755E0C"/>
    <w:rsid w:val="00755E22"/>
    <w:rsid w:val="0075611A"/>
    <w:rsid w:val="00756743"/>
    <w:rsid w:val="0075683B"/>
    <w:rsid w:val="0075687D"/>
    <w:rsid w:val="00756A15"/>
    <w:rsid w:val="00756A54"/>
    <w:rsid w:val="00756B2C"/>
    <w:rsid w:val="00756FD5"/>
    <w:rsid w:val="00757213"/>
    <w:rsid w:val="0075727C"/>
    <w:rsid w:val="00757383"/>
    <w:rsid w:val="007576A9"/>
    <w:rsid w:val="00757740"/>
    <w:rsid w:val="007579C2"/>
    <w:rsid w:val="00757A3F"/>
    <w:rsid w:val="00757B2D"/>
    <w:rsid w:val="00757F1A"/>
    <w:rsid w:val="00760076"/>
    <w:rsid w:val="00760108"/>
    <w:rsid w:val="007602A7"/>
    <w:rsid w:val="0076037C"/>
    <w:rsid w:val="007603E4"/>
    <w:rsid w:val="00760742"/>
    <w:rsid w:val="0076076B"/>
    <w:rsid w:val="00760860"/>
    <w:rsid w:val="0076086E"/>
    <w:rsid w:val="00760B97"/>
    <w:rsid w:val="00760C22"/>
    <w:rsid w:val="00760ED2"/>
    <w:rsid w:val="0076101E"/>
    <w:rsid w:val="00761306"/>
    <w:rsid w:val="0076146A"/>
    <w:rsid w:val="0076147D"/>
    <w:rsid w:val="00761515"/>
    <w:rsid w:val="007615B6"/>
    <w:rsid w:val="00761766"/>
    <w:rsid w:val="0076179B"/>
    <w:rsid w:val="007617B9"/>
    <w:rsid w:val="0076181A"/>
    <w:rsid w:val="0076186D"/>
    <w:rsid w:val="00761920"/>
    <w:rsid w:val="00761ABA"/>
    <w:rsid w:val="00761AEA"/>
    <w:rsid w:val="00761B33"/>
    <w:rsid w:val="00761DAA"/>
    <w:rsid w:val="00761E34"/>
    <w:rsid w:val="00761E3B"/>
    <w:rsid w:val="00761ED9"/>
    <w:rsid w:val="00762220"/>
    <w:rsid w:val="00762298"/>
    <w:rsid w:val="007622A0"/>
    <w:rsid w:val="00762328"/>
    <w:rsid w:val="007623A4"/>
    <w:rsid w:val="00762421"/>
    <w:rsid w:val="007624A0"/>
    <w:rsid w:val="007627FE"/>
    <w:rsid w:val="00762AA8"/>
    <w:rsid w:val="00762AFC"/>
    <w:rsid w:val="00762B49"/>
    <w:rsid w:val="00762C45"/>
    <w:rsid w:val="00762F2A"/>
    <w:rsid w:val="0076308F"/>
    <w:rsid w:val="007631AF"/>
    <w:rsid w:val="0076320B"/>
    <w:rsid w:val="00763252"/>
    <w:rsid w:val="00763326"/>
    <w:rsid w:val="007633BB"/>
    <w:rsid w:val="00763410"/>
    <w:rsid w:val="00763433"/>
    <w:rsid w:val="007634EC"/>
    <w:rsid w:val="0076350A"/>
    <w:rsid w:val="0076355A"/>
    <w:rsid w:val="007635B7"/>
    <w:rsid w:val="0076361F"/>
    <w:rsid w:val="00763AF4"/>
    <w:rsid w:val="00763B46"/>
    <w:rsid w:val="00763C65"/>
    <w:rsid w:val="00763D4D"/>
    <w:rsid w:val="00763F50"/>
    <w:rsid w:val="007640AF"/>
    <w:rsid w:val="00764170"/>
    <w:rsid w:val="007644B9"/>
    <w:rsid w:val="00764607"/>
    <w:rsid w:val="00764697"/>
    <w:rsid w:val="00764764"/>
    <w:rsid w:val="00764947"/>
    <w:rsid w:val="007649D8"/>
    <w:rsid w:val="00764B04"/>
    <w:rsid w:val="00764B4C"/>
    <w:rsid w:val="00764C5F"/>
    <w:rsid w:val="00764D5F"/>
    <w:rsid w:val="00764E60"/>
    <w:rsid w:val="00765050"/>
    <w:rsid w:val="0076524F"/>
    <w:rsid w:val="00765396"/>
    <w:rsid w:val="00765416"/>
    <w:rsid w:val="0076549B"/>
    <w:rsid w:val="007654A5"/>
    <w:rsid w:val="007655FF"/>
    <w:rsid w:val="0076560B"/>
    <w:rsid w:val="007656BB"/>
    <w:rsid w:val="00765821"/>
    <w:rsid w:val="007658EC"/>
    <w:rsid w:val="00765A26"/>
    <w:rsid w:val="00765B46"/>
    <w:rsid w:val="00765D76"/>
    <w:rsid w:val="00765DDC"/>
    <w:rsid w:val="00765DFE"/>
    <w:rsid w:val="00765E69"/>
    <w:rsid w:val="00765EF8"/>
    <w:rsid w:val="00765F5C"/>
    <w:rsid w:val="0076600C"/>
    <w:rsid w:val="007660C8"/>
    <w:rsid w:val="007664F7"/>
    <w:rsid w:val="00766555"/>
    <w:rsid w:val="00766657"/>
    <w:rsid w:val="00766683"/>
    <w:rsid w:val="007666C4"/>
    <w:rsid w:val="007667BE"/>
    <w:rsid w:val="007667CA"/>
    <w:rsid w:val="00766981"/>
    <w:rsid w:val="007669A3"/>
    <w:rsid w:val="00766AC8"/>
    <w:rsid w:val="00766B09"/>
    <w:rsid w:val="00766B1F"/>
    <w:rsid w:val="00766B49"/>
    <w:rsid w:val="00766B5E"/>
    <w:rsid w:val="00766B69"/>
    <w:rsid w:val="00766B6C"/>
    <w:rsid w:val="00766E74"/>
    <w:rsid w:val="0076702B"/>
    <w:rsid w:val="007670F7"/>
    <w:rsid w:val="00767174"/>
    <w:rsid w:val="00767387"/>
    <w:rsid w:val="007673DC"/>
    <w:rsid w:val="0076746C"/>
    <w:rsid w:val="007674C3"/>
    <w:rsid w:val="00767539"/>
    <w:rsid w:val="0076754B"/>
    <w:rsid w:val="0076761D"/>
    <w:rsid w:val="00767808"/>
    <w:rsid w:val="007678FD"/>
    <w:rsid w:val="00767928"/>
    <w:rsid w:val="00767A1F"/>
    <w:rsid w:val="00767A6F"/>
    <w:rsid w:val="00767B4E"/>
    <w:rsid w:val="00767CBB"/>
    <w:rsid w:val="00767D9D"/>
    <w:rsid w:val="00767E1E"/>
    <w:rsid w:val="00767EB6"/>
    <w:rsid w:val="00767FD0"/>
    <w:rsid w:val="00770114"/>
    <w:rsid w:val="007701C3"/>
    <w:rsid w:val="007702A7"/>
    <w:rsid w:val="00770553"/>
    <w:rsid w:val="00770618"/>
    <w:rsid w:val="007707AD"/>
    <w:rsid w:val="007707DC"/>
    <w:rsid w:val="0077088B"/>
    <w:rsid w:val="007708BA"/>
    <w:rsid w:val="00770A4B"/>
    <w:rsid w:val="00770D2D"/>
    <w:rsid w:val="00770E14"/>
    <w:rsid w:val="00770F36"/>
    <w:rsid w:val="00770FAA"/>
    <w:rsid w:val="007710B5"/>
    <w:rsid w:val="0077124B"/>
    <w:rsid w:val="0077139F"/>
    <w:rsid w:val="007714AD"/>
    <w:rsid w:val="00771612"/>
    <w:rsid w:val="00771661"/>
    <w:rsid w:val="007716EA"/>
    <w:rsid w:val="00771816"/>
    <w:rsid w:val="007718A1"/>
    <w:rsid w:val="00771B91"/>
    <w:rsid w:val="00771F31"/>
    <w:rsid w:val="00771F86"/>
    <w:rsid w:val="00771FCA"/>
    <w:rsid w:val="0077204C"/>
    <w:rsid w:val="007720FA"/>
    <w:rsid w:val="0077226E"/>
    <w:rsid w:val="00772310"/>
    <w:rsid w:val="00772530"/>
    <w:rsid w:val="00772531"/>
    <w:rsid w:val="007725CF"/>
    <w:rsid w:val="0077265E"/>
    <w:rsid w:val="007726EB"/>
    <w:rsid w:val="00772960"/>
    <w:rsid w:val="00772B20"/>
    <w:rsid w:val="00772BEF"/>
    <w:rsid w:val="00772D8A"/>
    <w:rsid w:val="00772EE4"/>
    <w:rsid w:val="00772F1F"/>
    <w:rsid w:val="00772FD4"/>
    <w:rsid w:val="007731D0"/>
    <w:rsid w:val="00773551"/>
    <w:rsid w:val="00773555"/>
    <w:rsid w:val="0077359A"/>
    <w:rsid w:val="007736BA"/>
    <w:rsid w:val="007736C9"/>
    <w:rsid w:val="007736CA"/>
    <w:rsid w:val="007737A8"/>
    <w:rsid w:val="007737C7"/>
    <w:rsid w:val="007739A0"/>
    <w:rsid w:val="007739BD"/>
    <w:rsid w:val="00773AC6"/>
    <w:rsid w:val="00773B45"/>
    <w:rsid w:val="00773B4B"/>
    <w:rsid w:val="00773BE1"/>
    <w:rsid w:val="00773CC8"/>
    <w:rsid w:val="00773E80"/>
    <w:rsid w:val="00773F07"/>
    <w:rsid w:val="00773F25"/>
    <w:rsid w:val="00773F7E"/>
    <w:rsid w:val="00774047"/>
    <w:rsid w:val="0077414B"/>
    <w:rsid w:val="007742E8"/>
    <w:rsid w:val="0077436C"/>
    <w:rsid w:val="00774430"/>
    <w:rsid w:val="007746CD"/>
    <w:rsid w:val="00774A62"/>
    <w:rsid w:val="00774C35"/>
    <w:rsid w:val="00774D3B"/>
    <w:rsid w:val="00774F8D"/>
    <w:rsid w:val="00775218"/>
    <w:rsid w:val="00775245"/>
    <w:rsid w:val="0077534B"/>
    <w:rsid w:val="0077560C"/>
    <w:rsid w:val="0077564E"/>
    <w:rsid w:val="00775695"/>
    <w:rsid w:val="0077571A"/>
    <w:rsid w:val="0077582F"/>
    <w:rsid w:val="00775B12"/>
    <w:rsid w:val="00775BE0"/>
    <w:rsid w:val="00775BF6"/>
    <w:rsid w:val="00775C7F"/>
    <w:rsid w:val="00775C87"/>
    <w:rsid w:val="00775F04"/>
    <w:rsid w:val="00776005"/>
    <w:rsid w:val="00776086"/>
    <w:rsid w:val="00776151"/>
    <w:rsid w:val="007762A1"/>
    <w:rsid w:val="007762E4"/>
    <w:rsid w:val="00776402"/>
    <w:rsid w:val="00776456"/>
    <w:rsid w:val="0077646F"/>
    <w:rsid w:val="00776632"/>
    <w:rsid w:val="007769B7"/>
    <w:rsid w:val="007769EF"/>
    <w:rsid w:val="00776A12"/>
    <w:rsid w:val="00776B00"/>
    <w:rsid w:val="00776DBD"/>
    <w:rsid w:val="00776DF3"/>
    <w:rsid w:val="00776EA0"/>
    <w:rsid w:val="00776EAE"/>
    <w:rsid w:val="007770F3"/>
    <w:rsid w:val="007771AC"/>
    <w:rsid w:val="00777319"/>
    <w:rsid w:val="00777330"/>
    <w:rsid w:val="0077756C"/>
    <w:rsid w:val="00777649"/>
    <w:rsid w:val="00777774"/>
    <w:rsid w:val="007778A4"/>
    <w:rsid w:val="00777A96"/>
    <w:rsid w:val="00777B08"/>
    <w:rsid w:val="00777C17"/>
    <w:rsid w:val="00777DAB"/>
    <w:rsid w:val="00777EFC"/>
    <w:rsid w:val="00777FF9"/>
    <w:rsid w:val="007800EA"/>
    <w:rsid w:val="007800FF"/>
    <w:rsid w:val="007802D7"/>
    <w:rsid w:val="00780444"/>
    <w:rsid w:val="0078049D"/>
    <w:rsid w:val="00780549"/>
    <w:rsid w:val="007805D3"/>
    <w:rsid w:val="0078064D"/>
    <w:rsid w:val="0078066A"/>
    <w:rsid w:val="0078074B"/>
    <w:rsid w:val="007807B0"/>
    <w:rsid w:val="00780865"/>
    <w:rsid w:val="00780988"/>
    <w:rsid w:val="007809AD"/>
    <w:rsid w:val="00780A27"/>
    <w:rsid w:val="00780F6F"/>
    <w:rsid w:val="00781177"/>
    <w:rsid w:val="00781285"/>
    <w:rsid w:val="0078130D"/>
    <w:rsid w:val="00781355"/>
    <w:rsid w:val="00781540"/>
    <w:rsid w:val="00781719"/>
    <w:rsid w:val="00781749"/>
    <w:rsid w:val="00781777"/>
    <w:rsid w:val="00781789"/>
    <w:rsid w:val="007817DA"/>
    <w:rsid w:val="00781905"/>
    <w:rsid w:val="00781961"/>
    <w:rsid w:val="007819CE"/>
    <w:rsid w:val="00781BC8"/>
    <w:rsid w:val="00781D95"/>
    <w:rsid w:val="00781D9C"/>
    <w:rsid w:val="00781E82"/>
    <w:rsid w:val="00781EF1"/>
    <w:rsid w:val="00782222"/>
    <w:rsid w:val="007822E6"/>
    <w:rsid w:val="00782586"/>
    <w:rsid w:val="00782960"/>
    <w:rsid w:val="0078299B"/>
    <w:rsid w:val="007829D3"/>
    <w:rsid w:val="00782B85"/>
    <w:rsid w:val="00782DC4"/>
    <w:rsid w:val="00782F0A"/>
    <w:rsid w:val="00782FAE"/>
    <w:rsid w:val="00782FB2"/>
    <w:rsid w:val="00783161"/>
    <w:rsid w:val="0078316F"/>
    <w:rsid w:val="0078332D"/>
    <w:rsid w:val="00783424"/>
    <w:rsid w:val="00783444"/>
    <w:rsid w:val="0078354D"/>
    <w:rsid w:val="00783807"/>
    <w:rsid w:val="007838DD"/>
    <w:rsid w:val="00783AC9"/>
    <w:rsid w:val="00783B2C"/>
    <w:rsid w:val="00783D00"/>
    <w:rsid w:val="00783DA1"/>
    <w:rsid w:val="00783E35"/>
    <w:rsid w:val="00783F89"/>
    <w:rsid w:val="00783FC1"/>
    <w:rsid w:val="00783FDE"/>
    <w:rsid w:val="0078414D"/>
    <w:rsid w:val="0078418C"/>
    <w:rsid w:val="00784369"/>
    <w:rsid w:val="0078449B"/>
    <w:rsid w:val="00784760"/>
    <w:rsid w:val="0078478A"/>
    <w:rsid w:val="00784860"/>
    <w:rsid w:val="007848B7"/>
    <w:rsid w:val="007848D3"/>
    <w:rsid w:val="007849DC"/>
    <w:rsid w:val="00784AF3"/>
    <w:rsid w:val="00784C05"/>
    <w:rsid w:val="00784CD7"/>
    <w:rsid w:val="00784E48"/>
    <w:rsid w:val="00784EB3"/>
    <w:rsid w:val="00784EE7"/>
    <w:rsid w:val="00784FA9"/>
    <w:rsid w:val="00784FC4"/>
    <w:rsid w:val="00785118"/>
    <w:rsid w:val="00785178"/>
    <w:rsid w:val="007851D4"/>
    <w:rsid w:val="007852CC"/>
    <w:rsid w:val="007853F6"/>
    <w:rsid w:val="00785632"/>
    <w:rsid w:val="00785646"/>
    <w:rsid w:val="0078564E"/>
    <w:rsid w:val="00785880"/>
    <w:rsid w:val="00785A98"/>
    <w:rsid w:val="00785B2C"/>
    <w:rsid w:val="00785BED"/>
    <w:rsid w:val="00785CF0"/>
    <w:rsid w:val="00785DED"/>
    <w:rsid w:val="00785EE5"/>
    <w:rsid w:val="00785F2E"/>
    <w:rsid w:val="00785F94"/>
    <w:rsid w:val="00785FAE"/>
    <w:rsid w:val="00786113"/>
    <w:rsid w:val="007861BC"/>
    <w:rsid w:val="00786252"/>
    <w:rsid w:val="0078628E"/>
    <w:rsid w:val="007865F4"/>
    <w:rsid w:val="007866AD"/>
    <w:rsid w:val="0078670F"/>
    <w:rsid w:val="007867F3"/>
    <w:rsid w:val="0078689D"/>
    <w:rsid w:val="00786A39"/>
    <w:rsid w:val="00786A80"/>
    <w:rsid w:val="00786A9B"/>
    <w:rsid w:val="00786B6F"/>
    <w:rsid w:val="00786D1D"/>
    <w:rsid w:val="00786D7C"/>
    <w:rsid w:val="00786D9F"/>
    <w:rsid w:val="00786DC3"/>
    <w:rsid w:val="00786DF2"/>
    <w:rsid w:val="00786F0C"/>
    <w:rsid w:val="00786FDE"/>
    <w:rsid w:val="00786FF7"/>
    <w:rsid w:val="007871D3"/>
    <w:rsid w:val="00787250"/>
    <w:rsid w:val="0078758B"/>
    <w:rsid w:val="00787690"/>
    <w:rsid w:val="00787783"/>
    <w:rsid w:val="007877A1"/>
    <w:rsid w:val="00787C07"/>
    <w:rsid w:val="00787D8C"/>
    <w:rsid w:val="00787E9B"/>
    <w:rsid w:val="00787F05"/>
    <w:rsid w:val="0079002E"/>
    <w:rsid w:val="00790198"/>
    <w:rsid w:val="00790532"/>
    <w:rsid w:val="00790546"/>
    <w:rsid w:val="00790564"/>
    <w:rsid w:val="0079056C"/>
    <w:rsid w:val="0079056D"/>
    <w:rsid w:val="00790687"/>
    <w:rsid w:val="00790713"/>
    <w:rsid w:val="007909A4"/>
    <w:rsid w:val="00790AD2"/>
    <w:rsid w:val="00790CEF"/>
    <w:rsid w:val="0079107D"/>
    <w:rsid w:val="0079111F"/>
    <w:rsid w:val="0079121C"/>
    <w:rsid w:val="0079121F"/>
    <w:rsid w:val="007912A0"/>
    <w:rsid w:val="00791377"/>
    <w:rsid w:val="007913AE"/>
    <w:rsid w:val="007914E8"/>
    <w:rsid w:val="00791521"/>
    <w:rsid w:val="00791617"/>
    <w:rsid w:val="00791720"/>
    <w:rsid w:val="00791721"/>
    <w:rsid w:val="00791750"/>
    <w:rsid w:val="00791789"/>
    <w:rsid w:val="007917FF"/>
    <w:rsid w:val="007919A8"/>
    <w:rsid w:val="00791A7F"/>
    <w:rsid w:val="00791ADB"/>
    <w:rsid w:val="00791C1E"/>
    <w:rsid w:val="00791CF0"/>
    <w:rsid w:val="00791E2E"/>
    <w:rsid w:val="00791E44"/>
    <w:rsid w:val="007920F4"/>
    <w:rsid w:val="007922AE"/>
    <w:rsid w:val="007924C6"/>
    <w:rsid w:val="007924E7"/>
    <w:rsid w:val="00792545"/>
    <w:rsid w:val="007925AA"/>
    <w:rsid w:val="007925C4"/>
    <w:rsid w:val="00792699"/>
    <w:rsid w:val="007926EF"/>
    <w:rsid w:val="0079277C"/>
    <w:rsid w:val="00792814"/>
    <w:rsid w:val="00792988"/>
    <w:rsid w:val="007929BB"/>
    <w:rsid w:val="00792A24"/>
    <w:rsid w:val="00792A6E"/>
    <w:rsid w:val="00792AB0"/>
    <w:rsid w:val="00792AB5"/>
    <w:rsid w:val="00792ADC"/>
    <w:rsid w:val="00792D7D"/>
    <w:rsid w:val="00792D86"/>
    <w:rsid w:val="00792EB7"/>
    <w:rsid w:val="00792FDE"/>
    <w:rsid w:val="00793264"/>
    <w:rsid w:val="00793332"/>
    <w:rsid w:val="0079346C"/>
    <w:rsid w:val="00793524"/>
    <w:rsid w:val="0079367E"/>
    <w:rsid w:val="00793691"/>
    <w:rsid w:val="00793729"/>
    <w:rsid w:val="0079384C"/>
    <w:rsid w:val="007939DC"/>
    <w:rsid w:val="00793A26"/>
    <w:rsid w:val="00793ACC"/>
    <w:rsid w:val="00793BEE"/>
    <w:rsid w:val="00793CD4"/>
    <w:rsid w:val="00793DDC"/>
    <w:rsid w:val="00793DE0"/>
    <w:rsid w:val="00793E4B"/>
    <w:rsid w:val="00793F74"/>
    <w:rsid w:val="0079406E"/>
    <w:rsid w:val="007940B7"/>
    <w:rsid w:val="007940BA"/>
    <w:rsid w:val="007940C3"/>
    <w:rsid w:val="007940F4"/>
    <w:rsid w:val="00794112"/>
    <w:rsid w:val="00794136"/>
    <w:rsid w:val="007941AA"/>
    <w:rsid w:val="00794203"/>
    <w:rsid w:val="00794283"/>
    <w:rsid w:val="0079447E"/>
    <w:rsid w:val="00794748"/>
    <w:rsid w:val="0079485D"/>
    <w:rsid w:val="0079491E"/>
    <w:rsid w:val="00794A4A"/>
    <w:rsid w:val="00794B95"/>
    <w:rsid w:val="00794CFE"/>
    <w:rsid w:val="00794E0F"/>
    <w:rsid w:val="00794ECA"/>
    <w:rsid w:val="00794F04"/>
    <w:rsid w:val="00794F43"/>
    <w:rsid w:val="00794F54"/>
    <w:rsid w:val="00794FC4"/>
    <w:rsid w:val="007951BF"/>
    <w:rsid w:val="00795217"/>
    <w:rsid w:val="0079526B"/>
    <w:rsid w:val="00795583"/>
    <w:rsid w:val="007955A6"/>
    <w:rsid w:val="007955F4"/>
    <w:rsid w:val="007956C6"/>
    <w:rsid w:val="00795719"/>
    <w:rsid w:val="00795BE5"/>
    <w:rsid w:val="00795D86"/>
    <w:rsid w:val="00795D8B"/>
    <w:rsid w:val="00795DC0"/>
    <w:rsid w:val="00795F36"/>
    <w:rsid w:val="00795F92"/>
    <w:rsid w:val="00795FB0"/>
    <w:rsid w:val="00796080"/>
    <w:rsid w:val="0079619B"/>
    <w:rsid w:val="007961DE"/>
    <w:rsid w:val="007962A5"/>
    <w:rsid w:val="00796496"/>
    <w:rsid w:val="00796497"/>
    <w:rsid w:val="007965E7"/>
    <w:rsid w:val="00796754"/>
    <w:rsid w:val="0079678E"/>
    <w:rsid w:val="007968EF"/>
    <w:rsid w:val="007968F6"/>
    <w:rsid w:val="00796C4C"/>
    <w:rsid w:val="00796C97"/>
    <w:rsid w:val="00796D8B"/>
    <w:rsid w:val="00796F57"/>
    <w:rsid w:val="00796F9D"/>
    <w:rsid w:val="00797041"/>
    <w:rsid w:val="00797103"/>
    <w:rsid w:val="00797142"/>
    <w:rsid w:val="00797182"/>
    <w:rsid w:val="007971FC"/>
    <w:rsid w:val="00797420"/>
    <w:rsid w:val="00797878"/>
    <w:rsid w:val="0079787F"/>
    <w:rsid w:val="007978A1"/>
    <w:rsid w:val="007978B3"/>
    <w:rsid w:val="00797AD2"/>
    <w:rsid w:val="00797F03"/>
    <w:rsid w:val="007A017C"/>
    <w:rsid w:val="007A0251"/>
    <w:rsid w:val="007A03BE"/>
    <w:rsid w:val="007A06DA"/>
    <w:rsid w:val="007A08F3"/>
    <w:rsid w:val="007A0A38"/>
    <w:rsid w:val="007A0C1F"/>
    <w:rsid w:val="007A0C7E"/>
    <w:rsid w:val="007A0CD5"/>
    <w:rsid w:val="007A0DBD"/>
    <w:rsid w:val="007A0F58"/>
    <w:rsid w:val="007A1062"/>
    <w:rsid w:val="007A1093"/>
    <w:rsid w:val="007A12DE"/>
    <w:rsid w:val="007A143D"/>
    <w:rsid w:val="007A14C0"/>
    <w:rsid w:val="007A15BA"/>
    <w:rsid w:val="007A16A6"/>
    <w:rsid w:val="007A1C94"/>
    <w:rsid w:val="007A1D34"/>
    <w:rsid w:val="007A1E38"/>
    <w:rsid w:val="007A1F25"/>
    <w:rsid w:val="007A1F2A"/>
    <w:rsid w:val="007A1F62"/>
    <w:rsid w:val="007A1FED"/>
    <w:rsid w:val="007A1FF7"/>
    <w:rsid w:val="007A201A"/>
    <w:rsid w:val="007A207A"/>
    <w:rsid w:val="007A22F1"/>
    <w:rsid w:val="007A2482"/>
    <w:rsid w:val="007A2514"/>
    <w:rsid w:val="007A273D"/>
    <w:rsid w:val="007A2759"/>
    <w:rsid w:val="007A27FA"/>
    <w:rsid w:val="007A293A"/>
    <w:rsid w:val="007A2977"/>
    <w:rsid w:val="007A2979"/>
    <w:rsid w:val="007A2A74"/>
    <w:rsid w:val="007A2A8D"/>
    <w:rsid w:val="007A2A8F"/>
    <w:rsid w:val="007A2B40"/>
    <w:rsid w:val="007A2BA9"/>
    <w:rsid w:val="007A2BC4"/>
    <w:rsid w:val="007A2DD5"/>
    <w:rsid w:val="007A2E7C"/>
    <w:rsid w:val="007A3141"/>
    <w:rsid w:val="007A322B"/>
    <w:rsid w:val="007A3387"/>
    <w:rsid w:val="007A357F"/>
    <w:rsid w:val="007A360D"/>
    <w:rsid w:val="007A3ADB"/>
    <w:rsid w:val="007A3ADF"/>
    <w:rsid w:val="007A3B4B"/>
    <w:rsid w:val="007A3B81"/>
    <w:rsid w:val="007A40D5"/>
    <w:rsid w:val="007A4225"/>
    <w:rsid w:val="007A4500"/>
    <w:rsid w:val="007A4508"/>
    <w:rsid w:val="007A470E"/>
    <w:rsid w:val="007A48BD"/>
    <w:rsid w:val="007A48C3"/>
    <w:rsid w:val="007A49AB"/>
    <w:rsid w:val="007A49D1"/>
    <w:rsid w:val="007A4D3E"/>
    <w:rsid w:val="007A4D71"/>
    <w:rsid w:val="007A4DD0"/>
    <w:rsid w:val="007A50D3"/>
    <w:rsid w:val="007A50ED"/>
    <w:rsid w:val="007A512F"/>
    <w:rsid w:val="007A5449"/>
    <w:rsid w:val="007A546E"/>
    <w:rsid w:val="007A566F"/>
    <w:rsid w:val="007A568F"/>
    <w:rsid w:val="007A57A3"/>
    <w:rsid w:val="007A57D3"/>
    <w:rsid w:val="007A580E"/>
    <w:rsid w:val="007A58B7"/>
    <w:rsid w:val="007A5A0E"/>
    <w:rsid w:val="007A5B2A"/>
    <w:rsid w:val="007A5B83"/>
    <w:rsid w:val="007A5E53"/>
    <w:rsid w:val="007A5F23"/>
    <w:rsid w:val="007A600C"/>
    <w:rsid w:val="007A6082"/>
    <w:rsid w:val="007A6170"/>
    <w:rsid w:val="007A61D3"/>
    <w:rsid w:val="007A61FD"/>
    <w:rsid w:val="007A63AD"/>
    <w:rsid w:val="007A6800"/>
    <w:rsid w:val="007A69B6"/>
    <w:rsid w:val="007A6C42"/>
    <w:rsid w:val="007A6D0F"/>
    <w:rsid w:val="007A6DB8"/>
    <w:rsid w:val="007A6F17"/>
    <w:rsid w:val="007A7077"/>
    <w:rsid w:val="007A712D"/>
    <w:rsid w:val="007A7145"/>
    <w:rsid w:val="007A71EE"/>
    <w:rsid w:val="007A7213"/>
    <w:rsid w:val="007A7286"/>
    <w:rsid w:val="007A7389"/>
    <w:rsid w:val="007A75EC"/>
    <w:rsid w:val="007A7A4F"/>
    <w:rsid w:val="007A7D97"/>
    <w:rsid w:val="007A7FC6"/>
    <w:rsid w:val="007A7FE9"/>
    <w:rsid w:val="007A7FEE"/>
    <w:rsid w:val="007A7FF2"/>
    <w:rsid w:val="007B00E1"/>
    <w:rsid w:val="007B0152"/>
    <w:rsid w:val="007B030C"/>
    <w:rsid w:val="007B03AA"/>
    <w:rsid w:val="007B0619"/>
    <w:rsid w:val="007B0792"/>
    <w:rsid w:val="007B07DE"/>
    <w:rsid w:val="007B07FC"/>
    <w:rsid w:val="007B0850"/>
    <w:rsid w:val="007B0AD5"/>
    <w:rsid w:val="007B0B3F"/>
    <w:rsid w:val="007B0B94"/>
    <w:rsid w:val="007B0BD2"/>
    <w:rsid w:val="007B0C4C"/>
    <w:rsid w:val="007B0ECA"/>
    <w:rsid w:val="007B0EDD"/>
    <w:rsid w:val="007B10C9"/>
    <w:rsid w:val="007B113B"/>
    <w:rsid w:val="007B12C1"/>
    <w:rsid w:val="007B1577"/>
    <w:rsid w:val="007B15E8"/>
    <w:rsid w:val="007B17FA"/>
    <w:rsid w:val="007B18CB"/>
    <w:rsid w:val="007B197F"/>
    <w:rsid w:val="007B1A2A"/>
    <w:rsid w:val="007B1ABD"/>
    <w:rsid w:val="007B1AD7"/>
    <w:rsid w:val="007B1B28"/>
    <w:rsid w:val="007B1C0B"/>
    <w:rsid w:val="007B1C4D"/>
    <w:rsid w:val="007B1CFC"/>
    <w:rsid w:val="007B1E1F"/>
    <w:rsid w:val="007B203C"/>
    <w:rsid w:val="007B2174"/>
    <w:rsid w:val="007B2178"/>
    <w:rsid w:val="007B21FF"/>
    <w:rsid w:val="007B2362"/>
    <w:rsid w:val="007B2791"/>
    <w:rsid w:val="007B2A07"/>
    <w:rsid w:val="007B2B49"/>
    <w:rsid w:val="007B2DFB"/>
    <w:rsid w:val="007B2E72"/>
    <w:rsid w:val="007B2F45"/>
    <w:rsid w:val="007B2F86"/>
    <w:rsid w:val="007B2FA6"/>
    <w:rsid w:val="007B30AE"/>
    <w:rsid w:val="007B3111"/>
    <w:rsid w:val="007B3175"/>
    <w:rsid w:val="007B3232"/>
    <w:rsid w:val="007B3358"/>
    <w:rsid w:val="007B3396"/>
    <w:rsid w:val="007B33EE"/>
    <w:rsid w:val="007B33F6"/>
    <w:rsid w:val="007B3472"/>
    <w:rsid w:val="007B34A8"/>
    <w:rsid w:val="007B3B4C"/>
    <w:rsid w:val="007B3B7A"/>
    <w:rsid w:val="007B3BD3"/>
    <w:rsid w:val="007B3C6F"/>
    <w:rsid w:val="007B3D6E"/>
    <w:rsid w:val="007B3DB8"/>
    <w:rsid w:val="007B4061"/>
    <w:rsid w:val="007B4155"/>
    <w:rsid w:val="007B4381"/>
    <w:rsid w:val="007B4425"/>
    <w:rsid w:val="007B45A0"/>
    <w:rsid w:val="007B4649"/>
    <w:rsid w:val="007B46E5"/>
    <w:rsid w:val="007B4729"/>
    <w:rsid w:val="007B47A2"/>
    <w:rsid w:val="007B491A"/>
    <w:rsid w:val="007B493E"/>
    <w:rsid w:val="007B4B5E"/>
    <w:rsid w:val="007B4BA3"/>
    <w:rsid w:val="007B4D21"/>
    <w:rsid w:val="007B4EAB"/>
    <w:rsid w:val="007B5091"/>
    <w:rsid w:val="007B5150"/>
    <w:rsid w:val="007B534C"/>
    <w:rsid w:val="007B5471"/>
    <w:rsid w:val="007B548A"/>
    <w:rsid w:val="007B56C2"/>
    <w:rsid w:val="007B5893"/>
    <w:rsid w:val="007B58B6"/>
    <w:rsid w:val="007B5A39"/>
    <w:rsid w:val="007B5A3E"/>
    <w:rsid w:val="007B5B7E"/>
    <w:rsid w:val="007B5CE3"/>
    <w:rsid w:val="007B60F6"/>
    <w:rsid w:val="007B60F8"/>
    <w:rsid w:val="007B60FA"/>
    <w:rsid w:val="007B6230"/>
    <w:rsid w:val="007B627F"/>
    <w:rsid w:val="007B65A5"/>
    <w:rsid w:val="007B6744"/>
    <w:rsid w:val="007B6777"/>
    <w:rsid w:val="007B6825"/>
    <w:rsid w:val="007B6951"/>
    <w:rsid w:val="007B6983"/>
    <w:rsid w:val="007B6AFF"/>
    <w:rsid w:val="007B6C06"/>
    <w:rsid w:val="007B6DA3"/>
    <w:rsid w:val="007B6DBB"/>
    <w:rsid w:val="007B6DD2"/>
    <w:rsid w:val="007B6ED4"/>
    <w:rsid w:val="007B6F4E"/>
    <w:rsid w:val="007B6FF0"/>
    <w:rsid w:val="007B70C5"/>
    <w:rsid w:val="007B75DA"/>
    <w:rsid w:val="007B7892"/>
    <w:rsid w:val="007B78ED"/>
    <w:rsid w:val="007B7918"/>
    <w:rsid w:val="007C017D"/>
    <w:rsid w:val="007C034B"/>
    <w:rsid w:val="007C0406"/>
    <w:rsid w:val="007C04F3"/>
    <w:rsid w:val="007C051F"/>
    <w:rsid w:val="007C05A2"/>
    <w:rsid w:val="007C0651"/>
    <w:rsid w:val="007C072F"/>
    <w:rsid w:val="007C07FC"/>
    <w:rsid w:val="007C0916"/>
    <w:rsid w:val="007C098C"/>
    <w:rsid w:val="007C0A91"/>
    <w:rsid w:val="007C0C05"/>
    <w:rsid w:val="007C0E8D"/>
    <w:rsid w:val="007C10E8"/>
    <w:rsid w:val="007C11E1"/>
    <w:rsid w:val="007C14AF"/>
    <w:rsid w:val="007C1842"/>
    <w:rsid w:val="007C1847"/>
    <w:rsid w:val="007C1888"/>
    <w:rsid w:val="007C19E8"/>
    <w:rsid w:val="007C1A6C"/>
    <w:rsid w:val="007C1B6A"/>
    <w:rsid w:val="007C1B70"/>
    <w:rsid w:val="007C1BB5"/>
    <w:rsid w:val="007C1DB4"/>
    <w:rsid w:val="007C1DDA"/>
    <w:rsid w:val="007C1EC9"/>
    <w:rsid w:val="007C1F6C"/>
    <w:rsid w:val="007C210F"/>
    <w:rsid w:val="007C2243"/>
    <w:rsid w:val="007C23E4"/>
    <w:rsid w:val="007C244D"/>
    <w:rsid w:val="007C24B7"/>
    <w:rsid w:val="007C24C6"/>
    <w:rsid w:val="007C2546"/>
    <w:rsid w:val="007C2577"/>
    <w:rsid w:val="007C26F1"/>
    <w:rsid w:val="007C2860"/>
    <w:rsid w:val="007C28B7"/>
    <w:rsid w:val="007C29BD"/>
    <w:rsid w:val="007C29D0"/>
    <w:rsid w:val="007C2A5A"/>
    <w:rsid w:val="007C2B60"/>
    <w:rsid w:val="007C2B66"/>
    <w:rsid w:val="007C2C71"/>
    <w:rsid w:val="007C2D6B"/>
    <w:rsid w:val="007C2E6E"/>
    <w:rsid w:val="007C2EF2"/>
    <w:rsid w:val="007C355E"/>
    <w:rsid w:val="007C3586"/>
    <w:rsid w:val="007C359E"/>
    <w:rsid w:val="007C35DB"/>
    <w:rsid w:val="007C37E4"/>
    <w:rsid w:val="007C391F"/>
    <w:rsid w:val="007C3975"/>
    <w:rsid w:val="007C3A6D"/>
    <w:rsid w:val="007C3A77"/>
    <w:rsid w:val="007C3BB7"/>
    <w:rsid w:val="007C3C8E"/>
    <w:rsid w:val="007C3D16"/>
    <w:rsid w:val="007C3E8B"/>
    <w:rsid w:val="007C3ED5"/>
    <w:rsid w:val="007C4018"/>
    <w:rsid w:val="007C4345"/>
    <w:rsid w:val="007C438D"/>
    <w:rsid w:val="007C4459"/>
    <w:rsid w:val="007C4686"/>
    <w:rsid w:val="007C46D9"/>
    <w:rsid w:val="007C477A"/>
    <w:rsid w:val="007C485C"/>
    <w:rsid w:val="007C4AE2"/>
    <w:rsid w:val="007C4BC1"/>
    <w:rsid w:val="007C4FA2"/>
    <w:rsid w:val="007C4FBE"/>
    <w:rsid w:val="007C50F8"/>
    <w:rsid w:val="007C5219"/>
    <w:rsid w:val="007C542B"/>
    <w:rsid w:val="007C56DC"/>
    <w:rsid w:val="007C58D7"/>
    <w:rsid w:val="007C59BF"/>
    <w:rsid w:val="007C59F2"/>
    <w:rsid w:val="007C5BAA"/>
    <w:rsid w:val="007C5C35"/>
    <w:rsid w:val="007C5D02"/>
    <w:rsid w:val="007C5E97"/>
    <w:rsid w:val="007C5EA5"/>
    <w:rsid w:val="007C5F9C"/>
    <w:rsid w:val="007C6227"/>
    <w:rsid w:val="007C62EB"/>
    <w:rsid w:val="007C630B"/>
    <w:rsid w:val="007C669E"/>
    <w:rsid w:val="007C68C3"/>
    <w:rsid w:val="007C6AB5"/>
    <w:rsid w:val="007C6AD8"/>
    <w:rsid w:val="007C6B7F"/>
    <w:rsid w:val="007C6BA3"/>
    <w:rsid w:val="007C6D6E"/>
    <w:rsid w:val="007C6E2E"/>
    <w:rsid w:val="007C700C"/>
    <w:rsid w:val="007C7105"/>
    <w:rsid w:val="007C7140"/>
    <w:rsid w:val="007C72BA"/>
    <w:rsid w:val="007C72CC"/>
    <w:rsid w:val="007C734D"/>
    <w:rsid w:val="007C735F"/>
    <w:rsid w:val="007C7391"/>
    <w:rsid w:val="007C7690"/>
    <w:rsid w:val="007C78EE"/>
    <w:rsid w:val="007C79F8"/>
    <w:rsid w:val="007C7A66"/>
    <w:rsid w:val="007C7B0C"/>
    <w:rsid w:val="007C7BBC"/>
    <w:rsid w:val="007C7C15"/>
    <w:rsid w:val="007C7CBF"/>
    <w:rsid w:val="007C7D92"/>
    <w:rsid w:val="007C7DB4"/>
    <w:rsid w:val="007C7F4F"/>
    <w:rsid w:val="007C7FE2"/>
    <w:rsid w:val="007D00D4"/>
    <w:rsid w:val="007D00E3"/>
    <w:rsid w:val="007D077A"/>
    <w:rsid w:val="007D07D0"/>
    <w:rsid w:val="007D07FC"/>
    <w:rsid w:val="007D0817"/>
    <w:rsid w:val="007D09D4"/>
    <w:rsid w:val="007D0A10"/>
    <w:rsid w:val="007D0AE2"/>
    <w:rsid w:val="007D0C09"/>
    <w:rsid w:val="007D0C21"/>
    <w:rsid w:val="007D0D19"/>
    <w:rsid w:val="007D0D9D"/>
    <w:rsid w:val="007D0E86"/>
    <w:rsid w:val="007D0E8E"/>
    <w:rsid w:val="007D1129"/>
    <w:rsid w:val="007D1158"/>
    <w:rsid w:val="007D12D9"/>
    <w:rsid w:val="007D12F1"/>
    <w:rsid w:val="007D1371"/>
    <w:rsid w:val="007D13BC"/>
    <w:rsid w:val="007D13F5"/>
    <w:rsid w:val="007D149D"/>
    <w:rsid w:val="007D152D"/>
    <w:rsid w:val="007D158C"/>
    <w:rsid w:val="007D15EC"/>
    <w:rsid w:val="007D167B"/>
    <w:rsid w:val="007D17BD"/>
    <w:rsid w:val="007D197B"/>
    <w:rsid w:val="007D19B1"/>
    <w:rsid w:val="007D1A7C"/>
    <w:rsid w:val="007D1AEE"/>
    <w:rsid w:val="007D1C9E"/>
    <w:rsid w:val="007D1CF9"/>
    <w:rsid w:val="007D205B"/>
    <w:rsid w:val="007D20C3"/>
    <w:rsid w:val="007D2151"/>
    <w:rsid w:val="007D2169"/>
    <w:rsid w:val="007D220E"/>
    <w:rsid w:val="007D22C6"/>
    <w:rsid w:val="007D2312"/>
    <w:rsid w:val="007D2373"/>
    <w:rsid w:val="007D25EB"/>
    <w:rsid w:val="007D26E8"/>
    <w:rsid w:val="007D26FB"/>
    <w:rsid w:val="007D2726"/>
    <w:rsid w:val="007D2733"/>
    <w:rsid w:val="007D278F"/>
    <w:rsid w:val="007D27F5"/>
    <w:rsid w:val="007D296B"/>
    <w:rsid w:val="007D2994"/>
    <w:rsid w:val="007D2ADE"/>
    <w:rsid w:val="007D2B2C"/>
    <w:rsid w:val="007D2C3E"/>
    <w:rsid w:val="007D2CF9"/>
    <w:rsid w:val="007D2FE0"/>
    <w:rsid w:val="007D31C5"/>
    <w:rsid w:val="007D31F4"/>
    <w:rsid w:val="007D325D"/>
    <w:rsid w:val="007D337C"/>
    <w:rsid w:val="007D35C0"/>
    <w:rsid w:val="007D3613"/>
    <w:rsid w:val="007D368C"/>
    <w:rsid w:val="007D37A7"/>
    <w:rsid w:val="007D3906"/>
    <w:rsid w:val="007D393A"/>
    <w:rsid w:val="007D400C"/>
    <w:rsid w:val="007D4237"/>
    <w:rsid w:val="007D425B"/>
    <w:rsid w:val="007D4322"/>
    <w:rsid w:val="007D4462"/>
    <w:rsid w:val="007D45CE"/>
    <w:rsid w:val="007D463A"/>
    <w:rsid w:val="007D47FD"/>
    <w:rsid w:val="007D4824"/>
    <w:rsid w:val="007D4977"/>
    <w:rsid w:val="007D4A24"/>
    <w:rsid w:val="007D4A57"/>
    <w:rsid w:val="007D4B11"/>
    <w:rsid w:val="007D4B3A"/>
    <w:rsid w:val="007D4C3A"/>
    <w:rsid w:val="007D4C83"/>
    <w:rsid w:val="007D4CF7"/>
    <w:rsid w:val="007D4CFE"/>
    <w:rsid w:val="007D4E81"/>
    <w:rsid w:val="007D4F48"/>
    <w:rsid w:val="007D5025"/>
    <w:rsid w:val="007D5151"/>
    <w:rsid w:val="007D5390"/>
    <w:rsid w:val="007D53A8"/>
    <w:rsid w:val="007D53EA"/>
    <w:rsid w:val="007D55BB"/>
    <w:rsid w:val="007D57EA"/>
    <w:rsid w:val="007D582B"/>
    <w:rsid w:val="007D587D"/>
    <w:rsid w:val="007D5A49"/>
    <w:rsid w:val="007D5AD4"/>
    <w:rsid w:val="007D5C3F"/>
    <w:rsid w:val="007D5C53"/>
    <w:rsid w:val="007D5C70"/>
    <w:rsid w:val="007D5CDC"/>
    <w:rsid w:val="007D5D2F"/>
    <w:rsid w:val="007D5D30"/>
    <w:rsid w:val="007D5D9A"/>
    <w:rsid w:val="007D6084"/>
    <w:rsid w:val="007D6255"/>
    <w:rsid w:val="007D6354"/>
    <w:rsid w:val="007D6378"/>
    <w:rsid w:val="007D63A2"/>
    <w:rsid w:val="007D658F"/>
    <w:rsid w:val="007D65A5"/>
    <w:rsid w:val="007D65B3"/>
    <w:rsid w:val="007D65B8"/>
    <w:rsid w:val="007D665F"/>
    <w:rsid w:val="007D66A1"/>
    <w:rsid w:val="007D6791"/>
    <w:rsid w:val="007D67ED"/>
    <w:rsid w:val="007D688D"/>
    <w:rsid w:val="007D6919"/>
    <w:rsid w:val="007D6922"/>
    <w:rsid w:val="007D6A54"/>
    <w:rsid w:val="007D6AF2"/>
    <w:rsid w:val="007D6C1B"/>
    <w:rsid w:val="007D6CDF"/>
    <w:rsid w:val="007D6D51"/>
    <w:rsid w:val="007D6D90"/>
    <w:rsid w:val="007D6DFB"/>
    <w:rsid w:val="007D6EC7"/>
    <w:rsid w:val="007D70C9"/>
    <w:rsid w:val="007D7341"/>
    <w:rsid w:val="007D7494"/>
    <w:rsid w:val="007D775D"/>
    <w:rsid w:val="007D79E6"/>
    <w:rsid w:val="007D7BEB"/>
    <w:rsid w:val="007D7BF9"/>
    <w:rsid w:val="007D7CC7"/>
    <w:rsid w:val="007D7CD3"/>
    <w:rsid w:val="007D7E45"/>
    <w:rsid w:val="007D7F6F"/>
    <w:rsid w:val="007E002C"/>
    <w:rsid w:val="007E011B"/>
    <w:rsid w:val="007E0288"/>
    <w:rsid w:val="007E0388"/>
    <w:rsid w:val="007E04C8"/>
    <w:rsid w:val="007E0650"/>
    <w:rsid w:val="007E08BC"/>
    <w:rsid w:val="007E090F"/>
    <w:rsid w:val="007E0B02"/>
    <w:rsid w:val="007E0CDD"/>
    <w:rsid w:val="007E0CE7"/>
    <w:rsid w:val="007E0D59"/>
    <w:rsid w:val="007E0D6E"/>
    <w:rsid w:val="007E0DF9"/>
    <w:rsid w:val="007E0E63"/>
    <w:rsid w:val="007E0E76"/>
    <w:rsid w:val="007E0EA2"/>
    <w:rsid w:val="007E0F84"/>
    <w:rsid w:val="007E105B"/>
    <w:rsid w:val="007E112F"/>
    <w:rsid w:val="007E124E"/>
    <w:rsid w:val="007E1502"/>
    <w:rsid w:val="007E166C"/>
    <w:rsid w:val="007E17F9"/>
    <w:rsid w:val="007E188C"/>
    <w:rsid w:val="007E1940"/>
    <w:rsid w:val="007E195D"/>
    <w:rsid w:val="007E1BBA"/>
    <w:rsid w:val="007E1E24"/>
    <w:rsid w:val="007E1E71"/>
    <w:rsid w:val="007E1F87"/>
    <w:rsid w:val="007E2066"/>
    <w:rsid w:val="007E20DC"/>
    <w:rsid w:val="007E23D1"/>
    <w:rsid w:val="007E2556"/>
    <w:rsid w:val="007E256B"/>
    <w:rsid w:val="007E25B0"/>
    <w:rsid w:val="007E2673"/>
    <w:rsid w:val="007E2701"/>
    <w:rsid w:val="007E27C4"/>
    <w:rsid w:val="007E27FE"/>
    <w:rsid w:val="007E293C"/>
    <w:rsid w:val="007E2A45"/>
    <w:rsid w:val="007E2E1A"/>
    <w:rsid w:val="007E2E9E"/>
    <w:rsid w:val="007E308B"/>
    <w:rsid w:val="007E30F1"/>
    <w:rsid w:val="007E31A6"/>
    <w:rsid w:val="007E32F2"/>
    <w:rsid w:val="007E334C"/>
    <w:rsid w:val="007E33EE"/>
    <w:rsid w:val="007E35E7"/>
    <w:rsid w:val="007E36F3"/>
    <w:rsid w:val="007E3824"/>
    <w:rsid w:val="007E383F"/>
    <w:rsid w:val="007E3921"/>
    <w:rsid w:val="007E3A69"/>
    <w:rsid w:val="007E3AC9"/>
    <w:rsid w:val="007E3BC1"/>
    <w:rsid w:val="007E3CFE"/>
    <w:rsid w:val="007E3D59"/>
    <w:rsid w:val="007E3ED7"/>
    <w:rsid w:val="007E3EE4"/>
    <w:rsid w:val="007E3F50"/>
    <w:rsid w:val="007E41A1"/>
    <w:rsid w:val="007E42D4"/>
    <w:rsid w:val="007E430C"/>
    <w:rsid w:val="007E479A"/>
    <w:rsid w:val="007E47BA"/>
    <w:rsid w:val="007E4907"/>
    <w:rsid w:val="007E4A98"/>
    <w:rsid w:val="007E4ACF"/>
    <w:rsid w:val="007E4D82"/>
    <w:rsid w:val="007E522A"/>
    <w:rsid w:val="007E5247"/>
    <w:rsid w:val="007E536C"/>
    <w:rsid w:val="007E53A4"/>
    <w:rsid w:val="007E54B6"/>
    <w:rsid w:val="007E552C"/>
    <w:rsid w:val="007E55D4"/>
    <w:rsid w:val="007E567C"/>
    <w:rsid w:val="007E5713"/>
    <w:rsid w:val="007E57BB"/>
    <w:rsid w:val="007E5A97"/>
    <w:rsid w:val="007E5AD0"/>
    <w:rsid w:val="007E5AD1"/>
    <w:rsid w:val="007E5AF1"/>
    <w:rsid w:val="007E5BAF"/>
    <w:rsid w:val="007E5C3C"/>
    <w:rsid w:val="007E5DE5"/>
    <w:rsid w:val="007E5E48"/>
    <w:rsid w:val="007E5ED6"/>
    <w:rsid w:val="007E5EF4"/>
    <w:rsid w:val="007E5F6C"/>
    <w:rsid w:val="007E6179"/>
    <w:rsid w:val="007E6261"/>
    <w:rsid w:val="007E63CB"/>
    <w:rsid w:val="007E642F"/>
    <w:rsid w:val="007E64C4"/>
    <w:rsid w:val="007E65EE"/>
    <w:rsid w:val="007E674D"/>
    <w:rsid w:val="007E680D"/>
    <w:rsid w:val="007E6834"/>
    <w:rsid w:val="007E68F3"/>
    <w:rsid w:val="007E6902"/>
    <w:rsid w:val="007E6966"/>
    <w:rsid w:val="007E699F"/>
    <w:rsid w:val="007E6D94"/>
    <w:rsid w:val="007E6DD7"/>
    <w:rsid w:val="007E6EAF"/>
    <w:rsid w:val="007E6F7F"/>
    <w:rsid w:val="007E713A"/>
    <w:rsid w:val="007E7231"/>
    <w:rsid w:val="007E7245"/>
    <w:rsid w:val="007E7249"/>
    <w:rsid w:val="007E7254"/>
    <w:rsid w:val="007E739B"/>
    <w:rsid w:val="007E73CE"/>
    <w:rsid w:val="007E7455"/>
    <w:rsid w:val="007E753A"/>
    <w:rsid w:val="007E76BB"/>
    <w:rsid w:val="007E77C1"/>
    <w:rsid w:val="007E7849"/>
    <w:rsid w:val="007E7865"/>
    <w:rsid w:val="007E78A2"/>
    <w:rsid w:val="007E7900"/>
    <w:rsid w:val="007E7A3C"/>
    <w:rsid w:val="007E7A52"/>
    <w:rsid w:val="007E7AF5"/>
    <w:rsid w:val="007E7B4C"/>
    <w:rsid w:val="007E7B75"/>
    <w:rsid w:val="007E7C9D"/>
    <w:rsid w:val="007E7DE7"/>
    <w:rsid w:val="007E7ECB"/>
    <w:rsid w:val="007F00CF"/>
    <w:rsid w:val="007F0331"/>
    <w:rsid w:val="007F038C"/>
    <w:rsid w:val="007F0429"/>
    <w:rsid w:val="007F0496"/>
    <w:rsid w:val="007F05E9"/>
    <w:rsid w:val="007F061B"/>
    <w:rsid w:val="007F06A7"/>
    <w:rsid w:val="007F0704"/>
    <w:rsid w:val="007F0793"/>
    <w:rsid w:val="007F0927"/>
    <w:rsid w:val="007F0A81"/>
    <w:rsid w:val="007F0BA8"/>
    <w:rsid w:val="007F0CBF"/>
    <w:rsid w:val="007F0DBF"/>
    <w:rsid w:val="007F0E02"/>
    <w:rsid w:val="007F0E34"/>
    <w:rsid w:val="007F0E7A"/>
    <w:rsid w:val="007F1037"/>
    <w:rsid w:val="007F10D0"/>
    <w:rsid w:val="007F1163"/>
    <w:rsid w:val="007F1385"/>
    <w:rsid w:val="007F14BC"/>
    <w:rsid w:val="007F15D8"/>
    <w:rsid w:val="007F1A11"/>
    <w:rsid w:val="007F1A88"/>
    <w:rsid w:val="007F1BAF"/>
    <w:rsid w:val="007F1D2D"/>
    <w:rsid w:val="007F1E72"/>
    <w:rsid w:val="007F1F0A"/>
    <w:rsid w:val="007F1F84"/>
    <w:rsid w:val="007F1F90"/>
    <w:rsid w:val="007F209F"/>
    <w:rsid w:val="007F20BD"/>
    <w:rsid w:val="007F217A"/>
    <w:rsid w:val="007F21DD"/>
    <w:rsid w:val="007F231A"/>
    <w:rsid w:val="007F2344"/>
    <w:rsid w:val="007F23AA"/>
    <w:rsid w:val="007F24CF"/>
    <w:rsid w:val="007F2668"/>
    <w:rsid w:val="007F268D"/>
    <w:rsid w:val="007F2723"/>
    <w:rsid w:val="007F2810"/>
    <w:rsid w:val="007F299B"/>
    <w:rsid w:val="007F29AA"/>
    <w:rsid w:val="007F2DE3"/>
    <w:rsid w:val="007F302B"/>
    <w:rsid w:val="007F333C"/>
    <w:rsid w:val="007F3423"/>
    <w:rsid w:val="007F3436"/>
    <w:rsid w:val="007F34BF"/>
    <w:rsid w:val="007F34E5"/>
    <w:rsid w:val="007F352D"/>
    <w:rsid w:val="007F3587"/>
    <w:rsid w:val="007F3628"/>
    <w:rsid w:val="007F37EA"/>
    <w:rsid w:val="007F37F6"/>
    <w:rsid w:val="007F3802"/>
    <w:rsid w:val="007F38FA"/>
    <w:rsid w:val="007F39BB"/>
    <w:rsid w:val="007F3BAA"/>
    <w:rsid w:val="007F3CE4"/>
    <w:rsid w:val="007F3DCD"/>
    <w:rsid w:val="007F3E16"/>
    <w:rsid w:val="007F3E9E"/>
    <w:rsid w:val="007F41FC"/>
    <w:rsid w:val="007F432F"/>
    <w:rsid w:val="007F4410"/>
    <w:rsid w:val="007F4514"/>
    <w:rsid w:val="007F45A2"/>
    <w:rsid w:val="007F4679"/>
    <w:rsid w:val="007F474B"/>
    <w:rsid w:val="007F4836"/>
    <w:rsid w:val="007F48E0"/>
    <w:rsid w:val="007F4949"/>
    <w:rsid w:val="007F4956"/>
    <w:rsid w:val="007F4D06"/>
    <w:rsid w:val="007F4D3D"/>
    <w:rsid w:val="007F4DC4"/>
    <w:rsid w:val="007F4E11"/>
    <w:rsid w:val="007F4E84"/>
    <w:rsid w:val="007F5047"/>
    <w:rsid w:val="007F5195"/>
    <w:rsid w:val="007F51C4"/>
    <w:rsid w:val="007F51F8"/>
    <w:rsid w:val="007F547F"/>
    <w:rsid w:val="007F562E"/>
    <w:rsid w:val="007F5782"/>
    <w:rsid w:val="007F5854"/>
    <w:rsid w:val="007F5862"/>
    <w:rsid w:val="007F59C1"/>
    <w:rsid w:val="007F5AC2"/>
    <w:rsid w:val="007F5AEF"/>
    <w:rsid w:val="007F5BD9"/>
    <w:rsid w:val="007F5C35"/>
    <w:rsid w:val="007F5DB8"/>
    <w:rsid w:val="007F5F37"/>
    <w:rsid w:val="007F5FEA"/>
    <w:rsid w:val="007F625F"/>
    <w:rsid w:val="007F6464"/>
    <w:rsid w:val="007F6579"/>
    <w:rsid w:val="007F66ED"/>
    <w:rsid w:val="007F6736"/>
    <w:rsid w:val="007F67E3"/>
    <w:rsid w:val="007F68B4"/>
    <w:rsid w:val="007F69B5"/>
    <w:rsid w:val="007F6A17"/>
    <w:rsid w:val="007F6AA1"/>
    <w:rsid w:val="007F6FA8"/>
    <w:rsid w:val="007F7190"/>
    <w:rsid w:val="007F7199"/>
    <w:rsid w:val="007F72F2"/>
    <w:rsid w:val="007F7418"/>
    <w:rsid w:val="007F74A2"/>
    <w:rsid w:val="007F76A3"/>
    <w:rsid w:val="007F76C6"/>
    <w:rsid w:val="007F7745"/>
    <w:rsid w:val="007F7825"/>
    <w:rsid w:val="007F7982"/>
    <w:rsid w:val="007F7A9E"/>
    <w:rsid w:val="007F7AF7"/>
    <w:rsid w:val="007F7B91"/>
    <w:rsid w:val="007F7BF0"/>
    <w:rsid w:val="007F7BFB"/>
    <w:rsid w:val="007F7CA6"/>
    <w:rsid w:val="007F7D9B"/>
    <w:rsid w:val="007F7F2F"/>
    <w:rsid w:val="00800139"/>
    <w:rsid w:val="00800170"/>
    <w:rsid w:val="008002A5"/>
    <w:rsid w:val="008002D1"/>
    <w:rsid w:val="00800392"/>
    <w:rsid w:val="00800453"/>
    <w:rsid w:val="008005B6"/>
    <w:rsid w:val="0080073B"/>
    <w:rsid w:val="0080076E"/>
    <w:rsid w:val="008007C4"/>
    <w:rsid w:val="00800838"/>
    <w:rsid w:val="00800917"/>
    <w:rsid w:val="00800BE8"/>
    <w:rsid w:val="00800C47"/>
    <w:rsid w:val="00800CBF"/>
    <w:rsid w:val="00800D90"/>
    <w:rsid w:val="00800E43"/>
    <w:rsid w:val="008010D8"/>
    <w:rsid w:val="008012FA"/>
    <w:rsid w:val="008013F9"/>
    <w:rsid w:val="008013FA"/>
    <w:rsid w:val="00801435"/>
    <w:rsid w:val="00801436"/>
    <w:rsid w:val="008014CF"/>
    <w:rsid w:val="008014F6"/>
    <w:rsid w:val="008016BD"/>
    <w:rsid w:val="008016FF"/>
    <w:rsid w:val="0080176F"/>
    <w:rsid w:val="0080180C"/>
    <w:rsid w:val="008019B4"/>
    <w:rsid w:val="008019BA"/>
    <w:rsid w:val="00801B50"/>
    <w:rsid w:val="00801BCF"/>
    <w:rsid w:val="00801E18"/>
    <w:rsid w:val="008021CA"/>
    <w:rsid w:val="008021F5"/>
    <w:rsid w:val="00802209"/>
    <w:rsid w:val="0080237F"/>
    <w:rsid w:val="00802484"/>
    <w:rsid w:val="0080282B"/>
    <w:rsid w:val="00802875"/>
    <w:rsid w:val="008029D5"/>
    <w:rsid w:val="00802B10"/>
    <w:rsid w:val="00802B2C"/>
    <w:rsid w:val="00802B6C"/>
    <w:rsid w:val="00802C05"/>
    <w:rsid w:val="00802C23"/>
    <w:rsid w:val="00802CC6"/>
    <w:rsid w:val="00802D2A"/>
    <w:rsid w:val="00802D72"/>
    <w:rsid w:val="00802DFB"/>
    <w:rsid w:val="00802E2C"/>
    <w:rsid w:val="00802F13"/>
    <w:rsid w:val="00802F27"/>
    <w:rsid w:val="0080305A"/>
    <w:rsid w:val="0080307A"/>
    <w:rsid w:val="0080312A"/>
    <w:rsid w:val="0080323A"/>
    <w:rsid w:val="0080332F"/>
    <w:rsid w:val="00803413"/>
    <w:rsid w:val="00803594"/>
    <w:rsid w:val="008037A6"/>
    <w:rsid w:val="008037E1"/>
    <w:rsid w:val="00803836"/>
    <w:rsid w:val="00803906"/>
    <w:rsid w:val="00803986"/>
    <w:rsid w:val="008039B4"/>
    <w:rsid w:val="00803A47"/>
    <w:rsid w:val="00803A51"/>
    <w:rsid w:val="00803C70"/>
    <w:rsid w:val="00803FBA"/>
    <w:rsid w:val="00804033"/>
    <w:rsid w:val="00804449"/>
    <w:rsid w:val="00804698"/>
    <w:rsid w:val="00804797"/>
    <w:rsid w:val="008047E7"/>
    <w:rsid w:val="008048DD"/>
    <w:rsid w:val="0080492E"/>
    <w:rsid w:val="008049BB"/>
    <w:rsid w:val="00804A6C"/>
    <w:rsid w:val="00804B4D"/>
    <w:rsid w:val="00804DA0"/>
    <w:rsid w:val="0080506D"/>
    <w:rsid w:val="008050E4"/>
    <w:rsid w:val="008050EF"/>
    <w:rsid w:val="0080524A"/>
    <w:rsid w:val="0080524E"/>
    <w:rsid w:val="008052FF"/>
    <w:rsid w:val="008053C0"/>
    <w:rsid w:val="0080579F"/>
    <w:rsid w:val="008057C9"/>
    <w:rsid w:val="008058F3"/>
    <w:rsid w:val="00805A82"/>
    <w:rsid w:val="00805BE1"/>
    <w:rsid w:val="00805BE2"/>
    <w:rsid w:val="00805CA7"/>
    <w:rsid w:val="00805CBC"/>
    <w:rsid w:val="00805EBA"/>
    <w:rsid w:val="00805F8D"/>
    <w:rsid w:val="0080610E"/>
    <w:rsid w:val="008064D4"/>
    <w:rsid w:val="0080651B"/>
    <w:rsid w:val="00806587"/>
    <w:rsid w:val="00806618"/>
    <w:rsid w:val="00806639"/>
    <w:rsid w:val="00806731"/>
    <w:rsid w:val="008067B8"/>
    <w:rsid w:val="008067D3"/>
    <w:rsid w:val="0080686F"/>
    <w:rsid w:val="00806A1B"/>
    <w:rsid w:val="00806A22"/>
    <w:rsid w:val="00806C3E"/>
    <w:rsid w:val="00806DF8"/>
    <w:rsid w:val="00806F0D"/>
    <w:rsid w:val="0080733F"/>
    <w:rsid w:val="0080738F"/>
    <w:rsid w:val="008073EB"/>
    <w:rsid w:val="00807599"/>
    <w:rsid w:val="008076C8"/>
    <w:rsid w:val="008077C4"/>
    <w:rsid w:val="008077C6"/>
    <w:rsid w:val="00807B15"/>
    <w:rsid w:val="00807C28"/>
    <w:rsid w:val="00807D85"/>
    <w:rsid w:val="00807DDC"/>
    <w:rsid w:val="00807E2F"/>
    <w:rsid w:val="00807E43"/>
    <w:rsid w:val="00807FFB"/>
    <w:rsid w:val="00810084"/>
    <w:rsid w:val="00810493"/>
    <w:rsid w:val="00810762"/>
    <w:rsid w:val="008107A8"/>
    <w:rsid w:val="00810E37"/>
    <w:rsid w:val="00810EDA"/>
    <w:rsid w:val="00810F2B"/>
    <w:rsid w:val="0081108A"/>
    <w:rsid w:val="00811144"/>
    <w:rsid w:val="0081118C"/>
    <w:rsid w:val="0081119B"/>
    <w:rsid w:val="008112A2"/>
    <w:rsid w:val="00811593"/>
    <w:rsid w:val="00811680"/>
    <w:rsid w:val="00811807"/>
    <w:rsid w:val="008118D0"/>
    <w:rsid w:val="0081192B"/>
    <w:rsid w:val="00811B2A"/>
    <w:rsid w:val="00811D23"/>
    <w:rsid w:val="00811DC7"/>
    <w:rsid w:val="00811E10"/>
    <w:rsid w:val="00811E24"/>
    <w:rsid w:val="00812368"/>
    <w:rsid w:val="0081243A"/>
    <w:rsid w:val="0081249D"/>
    <w:rsid w:val="0081253C"/>
    <w:rsid w:val="008126D3"/>
    <w:rsid w:val="00812761"/>
    <w:rsid w:val="008127A6"/>
    <w:rsid w:val="008127BE"/>
    <w:rsid w:val="008127C8"/>
    <w:rsid w:val="008128E5"/>
    <w:rsid w:val="00812B1E"/>
    <w:rsid w:val="00812B75"/>
    <w:rsid w:val="00812B90"/>
    <w:rsid w:val="00812D3C"/>
    <w:rsid w:val="00812D43"/>
    <w:rsid w:val="008130AD"/>
    <w:rsid w:val="008130F7"/>
    <w:rsid w:val="0081323D"/>
    <w:rsid w:val="00813257"/>
    <w:rsid w:val="00813272"/>
    <w:rsid w:val="00813292"/>
    <w:rsid w:val="00813294"/>
    <w:rsid w:val="008132AD"/>
    <w:rsid w:val="008133CB"/>
    <w:rsid w:val="00813477"/>
    <w:rsid w:val="00813486"/>
    <w:rsid w:val="00813591"/>
    <w:rsid w:val="00813819"/>
    <w:rsid w:val="0081384A"/>
    <w:rsid w:val="008138F0"/>
    <w:rsid w:val="008139B0"/>
    <w:rsid w:val="00813AD2"/>
    <w:rsid w:val="00813B47"/>
    <w:rsid w:val="00813BF3"/>
    <w:rsid w:val="00813CA4"/>
    <w:rsid w:val="00813CC8"/>
    <w:rsid w:val="00813CCC"/>
    <w:rsid w:val="00813F95"/>
    <w:rsid w:val="008140E6"/>
    <w:rsid w:val="008143D0"/>
    <w:rsid w:val="00814529"/>
    <w:rsid w:val="008145E0"/>
    <w:rsid w:val="00814669"/>
    <w:rsid w:val="008146F5"/>
    <w:rsid w:val="0081496E"/>
    <w:rsid w:val="00814ADC"/>
    <w:rsid w:val="00814B3C"/>
    <w:rsid w:val="00814B52"/>
    <w:rsid w:val="00814B8A"/>
    <w:rsid w:val="00814CC6"/>
    <w:rsid w:val="00814D37"/>
    <w:rsid w:val="00814E92"/>
    <w:rsid w:val="00814F9E"/>
    <w:rsid w:val="00814FE3"/>
    <w:rsid w:val="00815034"/>
    <w:rsid w:val="008150B6"/>
    <w:rsid w:val="008152D0"/>
    <w:rsid w:val="008153D2"/>
    <w:rsid w:val="00815403"/>
    <w:rsid w:val="00815406"/>
    <w:rsid w:val="008154DE"/>
    <w:rsid w:val="008157E5"/>
    <w:rsid w:val="00815A27"/>
    <w:rsid w:val="00815CEB"/>
    <w:rsid w:val="00815CF4"/>
    <w:rsid w:val="0081605B"/>
    <w:rsid w:val="008160A6"/>
    <w:rsid w:val="00816112"/>
    <w:rsid w:val="0081611F"/>
    <w:rsid w:val="008162F3"/>
    <w:rsid w:val="008163A1"/>
    <w:rsid w:val="00816829"/>
    <w:rsid w:val="00816B6F"/>
    <w:rsid w:val="00816C64"/>
    <w:rsid w:val="00816CB5"/>
    <w:rsid w:val="00816E0D"/>
    <w:rsid w:val="00816EB3"/>
    <w:rsid w:val="00816FEF"/>
    <w:rsid w:val="00817086"/>
    <w:rsid w:val="008170B5"/>
    <w:rsid w:val="00817235"/>
    <w:rsid w:val="008172AC"/>
    <w:rsid w:val="008172C4"/>
    <w:rsid w:val="00817311"/>
    <w:rsid w:val="0081732D"/>
    <w:rsid w:val="0081736F"/>
    <w:rsid w:val="00817754"/>
    <w:rsid w:val="0081785B"/>
    <w:rsid w:val="008179EB"/>
    <w:rsid w:val="00817A19"/>
    <w:rsid w:val="00817B59"/>
    <w:rsid w:val="00817CAF"/>
    <w:rsid w:val="00817DB4"/>
    <w:rsid w:val="00817F0F"/>
    <w:rsid w:val="00817FA4"/>
    <w:rsid w:val="00817FB4"/>
    <w:rsid w:val="00820111"/>
    <w:rsid w:val="008202B5"/>
    <w:rsid w:val="008203F1"/>
    <w:rsid w:val="0082058C"/>
    <w:rsid w:val="00820729"/>
    <w:rsid w:val="0082094D"/>
    <w:rsid w:val="00820994"/>
    <w:rsid w:val="008209B3"/>
    <w:rsid w:val="00820AAF"/>
    <w:rsid w:val="00820B17"/>
    <w:rsid w:val="00820B7B"/>
    <w:rsid w:val="00820B7F"/>
    <w:rsid w:val="00820D75"/>
    <w:rsid w:val="00820D8E"/>
    <w:rsid w:val="00820E21"/>
    <w:rsid w:val="0082101B"/>
    <w:rsid w:val="0082109E"/>
    <w:rsid w:val="008210CE"/>
    <w:rsid w:val="00821406"/>
    <w:rsid w:val="008214D0"/>
    <w:rsid w:val="008214FD"/>
    <w:rsid w:val="0082154C"/>
    <w:rsid w:val="00821696"/>
    <w:rsid w:val="008216C1"/>
    <w:rsid w:val="008216D0"/>
    <w:rsid w:val="00821713"/>
    <w:rsid w:val="00821867"/>
    <w:rsid w:val="00821B85"/>
    <w:rsid w:val="00821C28"/>
    <w:rsid w:val="00821DC0"/>
    <w:rsid w:val="00821DF5"/>
    <w:rsid w:val="00821E25"/>
    <w:rsid w:val="00821E90"/>
    <w:rsid w:val="00821EF1"/>
    <w:rsid w:val="00822047"/>
    <w:rsid w:val="008220F0"/>
    <w:rsid w:val="00822143"/>
    <w:rsid w:val="00822302"/>
    <w:rsid w:val="0082243F"/>
    <w:rsid w:val="0082247A"/>
    <w:rsid w:val="00822500"/>
    <w:rsid w:val="0082250F"/>
    <w:rsid w:val="008226CE"/>
    <w:rsid w:val="008228DF"/>
    <w:rsid w:val="00822964"/>
    <w:rsid w:val="00822A83"/>
    <w:rsid w:val="00822B32"/>
    <w:rsid w:val="00822BB2"/>
    <w:rsid w:val="00822D01"/>
    <w:rsid w:val="00822E25"/>
    <w:rsid w:val="00822EE7"/>
    <w:rsid w:val="00822F31"/>
    <w:rsid w:val="00822F5A"/>
    <w:rsid w:val="00822FD7"/>
    <w:rsid w:val="00823469"/>
    <w:rsid w:val="008234B0"/>
    <w:rsid w:val="008234B3"/>
    <w:rsid w:val="00823881"/>
    <w:rsid w:val="008238A6"/>
    <w:rsid w:val="008238BB"/>
    <w:rsid w:val="00823A6A"/>
    <w:rsid w:val="00823B06"/>
    <w:rsid w:val="00823BDA"/>
    <w:rsid w:val="00823D0A"/>
    <w:rsid w:val="00823D30"/>
    <w:rsid w:val="00823D78"/>
    <w:rsid w:val="00823DF8"/>
    <w:rsid w:val="00823F34"/>
    <w:rsid w:val="008240DB"/>
    <w:rsid w:val="00824214"/>
    <w:rsid w:val="0082423D"/>
    <w:rsid w:val="00824292"/>
    <w:rsid w:val="0082442C"/>
    <w:rsid w:val="00824507"/>
    <w:rsid w:val="00824517"/>
    <w:rsid w:val="008245E4"/>
    <w:rsid w:val="00824674"/>
    <w:rsid w:val="00824752"/>
    <w:rsid w:val="008249C3"/>
    <w:rsid w:val="00824BA4"/>
    <w:rsid w:val="00824DA1"/>
    <w:rsid w:val="00824E79"/>
    <w:rsid w:val="008250AF"/>
    <w:rsid w:val="008250C6"/>
    <w:rsid w:val="008250DD"/>
    <w:rsid w:val="008250E7"/>
    <w:rsid w:val="008250F4"/>
    <w:rsid w:val="00825217"/>
    <w:rsid w:val="0082526B"/>
    <w:rsid w:val="00825320"/>
    <w:rsid w:val="00825333"/>
    <w:rsid w:val="00825477"/>
    <w:rsid w:val="0082550F"/>
    <w:rsid w:val="00825662"/>
    <w:rsid w:val="00825715"/>
    <w:rsid w:val="008257BA"/>
    <w:rsid w:val="0082589A"/>
    <w:rsid w:val="00825990"/>
    <w:rsid w:val="008259C4"/>
    <w:rsid w:val="008259F7"/>
    <w:rsid w:val="00825D48"/>
    <w:rsid w:val="00825D69"/>
    <w:rsid w:val="0082615C"/>
    <w:rsid w:val="00826183"/>
    <w:rsid w:val="008262C4"/>
    <w:rsid w:val="00826344"/>
    <w:rsid w:val="0082636A"/>
    <w:rsid w:val="00826655"/>
    <w:rsid w:val="008266BA"/>
    <w:rsid w:val="00826B20"/>
    <w:rsid w:val="00826C23"/>
    <w:rsid w:val="00826C75"/>
    <w:rsid w:val="00826E22"/>
    <w:rsid w:val="00826EE0"/>
    <w:rsid w:val="008270C5"/>
    <w:rsid w:val="00827219"/>
    <w:rsid w:val="0082778A"/>
    <w:rsid w:val="0082782B"/>
    <w:rsid w:val="008279CC"/>
    <w:rsid w:val="00827D40"/>
    <w:rsid w:val="00830094"/>
    <w:rsid w:val="00830135"/>
    <w:rsid w:val="00830196"/>
    <w:rsid w:val="00830786"/>
    <w:rsid w:val="008308E2"/>
    <w:rsid w:val="008309E1"/>
    <w:rsid w:val="00830B33"/>
    <w:rsid w:val="00830BDC"/>
    <w:rsid w:val="00830D97"/>
    <w:rsid w:val="00830DF9"/>
    <w:rsid w:val="00830DFE"/>
    <w:rsid w:val="00830E77"/>
    <w:rsid w:val="00830F03"/>
    <w:rsid w:val="00830F48"/>
    <w:rsid w:val="00830FB1"/>
    <w:rsid w:val="0083128B"/>
    <w:rsid w:val="00831393"/>
    <w:rsid w:val="00831406"/>
    <w:rsid w:val="008314CE"/>
    <w:rsid w:val="0083175F"/>
    <w:rsid w:val="00831788"/>
    <w:rsid w:val="00831872"/>
    <w:rsid w:val="0083188C"/>
    <w:rsid w:val="008318E5"/>
    <w:rsid w:val="008319C0"/>
    <w:rsid w:val="00831AFF"/>
    <w:rsid w:val="00831BFB"/>
    <w:rsid w:val="00831C5E"/>
    <w:rsid w:val="00831EB9"/>
    <w:rsid w:val="00832214"/>
    <w:rsid w:val="0083229F"/>
    <w:rsid w:val="00832322"/>
    <w:rsid w:val="0083248C"/>
    <w:rsid w:val="0083255F"/>
    <w:rsid w:val="00832582"/>
    <w:rsid w:val="008326B6"/>
    <w:rsid w:val="00832756"/>
    <w:rsid w:val="00832791"/>
    <w:rsid w:val="00832886"/>
    <w:rsid w:val="008328F3"/>
    <w:rsid w:val="00832AB3"/>
    <w:rsid w:val="00832B6C"/>
    <w:rsid w:val="00832CFD"/>
    <w:rsid w:val="00832FB1"/>
    <w:rsid w:val="00832FDE"/>
    <w:rsid w:val="00832FFB"/>
    <w:rsid w:val="00833177"/>
    <w:rsid w:val="008331B3"/>
    <w:rsid w:val="008331D0"/>
    <w:rsid w:val="008333FB"/>
    <w:rsid w:val="008336D2"/>
    <w:rsid w:val="00833723"/>
    <w:rsid w:val="00833937"/>
    <w:rsid w:val="008339EF"/>
    <w:rsid w:val="00833B50"/>
    <w:rsid w:val="00833BFD"/>
    <w:rsid w:val="00833CAD"/>
    <w:rsid w:val="00833D9B"/>
    <w:rsid w:val="00833ED3"/>
    <w:rsid w:val="00833F1E"/>
    <w:rsid w:val="00833F6E"/>
    <w:rsid w:val="00834083"/>
    <w:rsid w:val="00834247"/>
    <w:rsid w:val="0083432B"/>
    <w:rsid w:val="008343D0"/>
    <w:rsid w:val="008344E3"/>
    <w:rsid w:val="00834579"/>
    <w:rsid w:val="008346D9"/>
    <w:rsid w:val="0083472C"/>
    <w:rsid w:val="008347B0"/>
    <w:rsid w:val="008347B3"/>
    <w:rsid w:val="0083482A"/>
    <w:rsid w:val="00834870"/>
    <w:rsid w:val="008348F1"/>
    <w:rsid w:val="0083496E"/>
    <w:rsid w:val="00834B06"/>
    <w:rsid w:val="00834B89"/>
    <w:rsid w:val="00834BF0"/>
    <w:rsid w:val="00834C37"/>
    <w:rsid w:val="00834C7F"/>
    <w:rsid w:val="00834CAE"/>
    <w:rsid w:val="00834CB4"/>
    <w:rsid w:val="00834E7B"/>
    <w:rsid w:val="00834F2E"/>
    <w:rsid w:val="0083500D"/>
    <w:rsid w:val="0083507C"/>
    <w:rsid w:val="008351C6"/>
    <w:rsid w:val="0083521F"/>
    <w:rsid w:val="0083522D"/>
    <w:rsid w:val="0083541A"/>
    <w:rsid w:val="00835472"/>
    <w:rsid w:val="0083557E"/>
    <w:rsid w:val="0083582A"/>
    <w:rsid w:val="00835841"/>
    <w:rsid w:val="00835883"/>
    <w:rsid w:val="00835A9B"/>
    <w:rsid w:val="00835AD3"/>
    <w:rsid w:val="00835D25"/>
    <w:rsid w:val="00835DBF"/>
    <w:rsid w:val="00835E2C"/>
    <w:rsid w:val="00835E70"/>
    <w:rsid w:val="00835FA9"/>
    <w:rsid w:val="00836057"/>
    <w:rsid w:val="00836230"/>
    <w:rsid w:val="00836292"/>
    <w:rsid w:val="00836293"/>
    <w:rsid w:val="008363F8"/>
    <w:rsid w:val="0083672E"/>
    <w:rsid w:val="0083673A"/>
    <w:rsid w:val="008368E2"/>
    <w:rsid w:val="00836AC7"/>
    <w:rsid w:val="00836B16"/>
    <w:rsid w:val="00836F41"/>
    <w:rsid w:val="00836FB3"/>
    <w:rsid w:val="00836FF5"/>
    <w:rsid w:val="00837172"/>
    <w:rsid w:val="00837277"/>
    <w:rsid w:val="00837324"/>
    <w:rsid w:val="00837584"/>
    <w:rsid w:val="008375EB"/>
    <w:rsid w:val="0083766A"/>
    <w:rsid w:val="008376EB"/>
    <w:rsid w:val="00837778"/>
    <w:rsid w:val="008377BF"/>
    <w:rsid w:val="00837989"/>
    <w:rsid w:val="00837A46"/>
    <w:rsid w:val="00837C43"/>
    <w:rsid w:val="00837CD7"/>
    <w:rsid w:val="00837D26"/>
    <w:rsid w:val="00837F20"/>
    <w:rsid w:val="00840165"/>
    <w:rsid w:val="00840323"/>
    <w:rsid w:val="008403E8"/>
    <w:rsid w:val="008406BF"/>
    <w:rsid w:val="00840796"/>
    <w:rsid w:val="008407C8"/>
    <w:rsid w:val="008407CA"/>
    <w:rsid w:val="008407D0"/>
    <w:rsid w:val="0084096A"/>
    <w:rsid w:val="00840AA9"/>
    <w:rsid w:val="00840D8B"/>
    <w:rsid w:val="00840E4C"/>
    <w:rsid w:val="00840EC5"/>
    <w:rsid w:val="00841084"/>
    <w:rsid w:val="00841201"/>
    <w:rsid w:val="00841439"/>
    <w:rsid w:val="00841441"/>
    <w:rsid w:val="008417D4"/>
    <w:rsid w:val="008418E2"/>
    <w:rsid w:val="0084192A"/>
    <w:rsid w:val="00841A8C"/>
    <w:rsid w:val="00841AE7"/>
    <w:rsid w:val="00841C26"/>
    <w:rsid w:val="00841D86"/>
    <w:rsid w:val="00841FA5"/>
    <w:rsid w:val="00842135"/>
    <w:rsid w:val="0084236C"/>
    <w:rsid w:val="00842422"/>
    <w:rsid w:val="0084244E"/>
    <w:rsid w:val="008424D2"/>
    <w:rsid w:val="0084253C"/>
    <w:rsid w:val="0084256E"/>
    <w:rsid w:val="00842571"/>
    <w:rsid w:val="008425AF"/>
    <w:rsid w:val="0084264F"/>
    <w:rsid w:val="00842880"/>
    <w:rsid w:val="00842AC3"/>
    <w:rsid w:val="00842AFC"/>
    <w:rsid w:val="00842B6C"/>
    <w:rsid w:val="00842EEB"/>
    <w:rsid w:val="00842EFC"/>
    <w:rsid w:val="00842FC5"/>
    <w:rsid w:val="00843062"/>
    <w:rsid w:val="00843067"/>
    <w:rsid w:val="008430B6"/>
    <w:rsid w:val="00843221"/>
    <w:rsid w:val="0084331B"/>
    <w:rsid w:val="00843393"/>
    <w:rsid w:val="0084343F"/>
    <w:rsid w:val="0084355B"/>
    <w:rsid w:val="0084359B"/>
    <w:rsid w:val="00843700"/>
    <w:rsid w:val="00843806"/>
    <w:rsid w:val="00843A9E"/>
    <w:rsid w:val="00843B85"/>
    <w:rsid w:val="00843D62"/>
    <w:rsid w:val="00843F09"/>
    <w:rsid w:val="00844000"/>
    <w:rsid w:val="0084408B"/>
    <w:rsid w:val="0084428A"/>
    <w:rsid w:val="008442AB"/>
    <w:rsid w:val="00844393"/>
    <w:rsid w:val="00844693"/>
    <w:rsid w:val="008448A4"/>
    <w:rsid w:val="008448DD"/>
    <w:rsid w:val="00844B59"/>
    <w:rsid w:val="00844BCE"/>
    <w:rsid w:val="00844C62"/>
    <w:rsid w:val="00844D15"/>
    <w:rsid w:val="00844D66"/>
    <w:rsid w:val="00844D88"/>
    <w:rsid w:val="00844E7A"/>
    <w:rsid w:val="00844EF6"/>
    <w:rsid w:val="00844F0E"/>
    <w:rsid w:val="00844F1F"/>
    <w:rsid w:val="00844FAF"/>
    <w:rsid w:val="00845205"/>
    <w:rsid w:val="0084537B"/>
    <w:rsid w:val="00845435"/>
    <w:rsid w:val="0084550C"/>
    <w:rsid w:val="008455A7"/>
    <w:rsid w:val="008457D2"/>
    <w:rsid w:val="008458BD"/>
    <w:rsid w:val="008458C3"/>
    <w:rsid w:val="008459DA"/>
    <w:rsid w:val="00845A15"/>
    <w:rsid w:val="00845A18"/>
    <w:rsid w:val="00845A97"/>
    <w:rsid w:val="00845B97"/>
    <w:rsid w:val="00845C7D"/>
    <w:rsid w:val="00845CA1"/>
    <w:rsid w:val="00845CD3"/>
    <w:rsid w:val="00845CEB"/>
    <w:rsid w:val="00845F15"/>
    <w:rsid w:val="00845FA3"/>
    <w:rsid w:val="00846016"/>
    <w:rsid w:val="008460E8"/>
    <w:rsid w:val="0084613B"/>
    <w:rsid w:val="008463A1"/>
    <w:rsid w:val="00846415"/>
    <w:rsid w:val="0084681D"/>
    <w:rsid w:val="00846965"/>
    <w:rsid w:val="00846974"/>
    <w:rsid w:val="00846A2E"/>
    <w:rsid w:val="00846B72"/>
    <w:rsid w:val="00846C62"/>
    <w:rsid w:val="00846DB2"/>
    <w:rsid w:val="00846E17"/>
    <w:rsid w:val="00846EA8"/>
    <w:rsid w:val="00846EF4"/>
    <w:rsid w:val="00846F73"/>
    <w:rsid w:val="00846FF7"/>
    <w:rsid w:val="00847066"/>
    <w:rsid w:val="00847158"/>
    <w:rsid w:val="00847214"/>
    <w:rsid w:val="00847366"/>
    <w:rsid w:val="0084743A"/>
    <w:rsid w:val="00847570"/>
    <w:rsid w:val="00847B4B"/>
    <w:rsid w:val="00847B9A"/>
    <w:rsid w:val="00847CEA"/>
    <w:rsid w:val="00847CEE"/>
    <w:rsid w:val="0085029B"/>
    <w:rsid w:val="008502A5"/>
    <w:rsid w:val="0085036B"/>
    <w:rsid w:val="00850388"/>
    <w:rsid w:val="008503EE"/>
    <w:rsid w:val="00850615"/>
    <w:rsid w:val="00850682"/>
    <w:rsid w:val="008507FF"/>
    <w:rsid w:val="0085086E"/>
    <w:rsid w:val="00850ADC"/>
    <w:rsid w:val="00850BCC"/>
    <w:rsid w:val="00850CC5"/>
    <w:rsid w:val="00850CCC"/>
    <w:rsid w:val="00850EB4"/>
    <w:rsid w:val="00850EEE"/>
    <w:rsid w:val="00850F97"/>
    <w:rsid w:val="00851065"/>
    <w:rsid w:val="00851068"/>
    <w:rsid w:val="00851132"/>
    <w:rsid w:val="0085123C"/>
    <w:rsid w:val="00851593"/>
    <w:rsid w:val="0085159A"/>
    <w:rsid w:val="008516A7"/>
    <w:rsid w:val="0085170E"/>
    <w:rsid w:val="00851EA7"/>
    <w:rsid w:val="00851FED"/>
    <w:rsid w:val="00852143"/>
    <w:rsid w:val="0085225E"/>
    <w:rsid w:val="008523A5"/>
    <w:rsid w:val="008523FC"/>
    <w:rsid w:val="00852422"/>
    <w:rsid w:val="00852508"/>
    <w:rsid w:val="00852758"/>
    <w:rsid w:val="008528F4"/>
    <w:rsid w:val="00852BAC"/>
    <w:rsid w:val="00852BD5"/>
    <w:rsid w:val="00852F1F"/>
    <w:rsid w:val="00852F98"/>
    <w:rsid w:val="008533E1"/>
    <w:rsid w:val="00853488"/>
    <w:rsid w:val="008534E9"/>
    <w:rsid w:val="008535DA"/>
    <w:rsid w:val="008535F2"/>
    <w:rsid w:val="008535F9"/>
    <w:rsid w:val="00853B20"/>
    <w:rsid w:val="00853C51"/>
    <w:rsid w:val="00853D29"/>
    <w:rsid w:val="00853DDE"/>
    <w:rsid w:val="00854089"/>
    <w:rsid w:val="0085413A"/>
    <w:rsid w:val="0085425C"/>
    <w:rsid w:val="00854500"/>
    <w:rsid w:val="008545C1"/>
    <w:rsid w:val="0085460B"/>
    <w:rsid w:val="00854714"/>
    <w:rsid w:val="00854764"/>
    <w:rsid w:val="00854869"/>
    <w:rsid w:val="008548B1"/>
    <w:rsid w:val="008548D7"/>
    <w:rsid w:val="0085497F"/>
    <w:rsid w:val="00854BB1"/>
    <w:rsid w:val="00854D79"/>
    <w:rsid w:val="00854E38"/>
    <w:rsid w:val="00854ECB"/>
    <w:rsid w:val="00854FBC"/>
    <w:rsid w:val="0085522A"/>
    <w:rsid w:val="0085523F"/>
    <w:rsid w:val="0085527A"/>
    <w:rsid w:val="00855282"/>
    <w:rsid w:val="008552F7"/>
    <w:rsid w:val="00855384"/>
    <w:rsid w:val="00855449"/>
    <w:rsid w:val="00855477"/>
    <w:rsid w:val="00855646"/>
    <w:rsid w:val="00855655"/>
    <w:rsid w:val="0085578F"/>
    <w:rsid w:val="00855875"/>
    <w:rsid w:val="008558B0"/>
    <w:rsid w:val="00855AE6"/>
    <w:rsid w:val="00855BAB"/>
    <w:rsid w:val="00855DD2"/>
    <w:rsid w:val="00855F65"/>
    <w:rsid w:val="00855FB0"/>
    <w:rsid w:val="00856119"/>
    <w:rsid w:val="0085617B"/>
    <w:rsid w:val="00856377"/>
    <w:rsid w:val="008564E6"/>
    <w:rsid w:val="00856539"/>
    <w:rsid w:val="008565FE"/>
    <w:rsid w:val="0085677D"/>
    <w:rsid w:val="00856811"/>
    <w:rsid w:val="00856C50"/>
    <w:rsid w:val="00856DE0"/>
    <w:rsid w:val="00856E3C"/>
    <w:rsid w:val="00857103"/>
    <w:rsid w:val="00857176"/>
    <w:rsid w:val="00857375"/>
    <w:rsid w:val="00857561"/>
    <w:rsid w:val="00857614"/>
    <w:rsid w:val="00857635"/>
    <w:rsid w:val="0085794D"/>
    <w:rsid w:val="00857A81"/>
    <w:rsid w:val="00857B11"/>
    <w:rsid w:val="00857C5E"/>
    <w:rsid w:val="00857D03"/>
    <w:rsid w:val="00857EDE"/>
    <w:rsid w:val="00857FEF"/>
    <w:rsid w:val="00860067"/>
    <w:rsid w:val="00860160"/>
    <w:rsid w:val="0086024D"/>
    <w:rsid w:val="00860289"/>
    <w:rsid w:val="0086045E"/>
    <w:rsid w:val="008605A8"/>
    <w:rsid w:val="0086086B"/>
    <w:rsid w:val="00860930"/>
    <w:rsid w:val="00860A16"/>
    <w:rsid w:val="00860A88"/>
    <w:rsid w:val="00860B5E"/>
    <w:rsid w:val="00860BF9"/>
    <w:rsid w:val="00860D4C"/>
    <w:rsid w:val="00860E2E"/>
    <w:rsid w:val="00860F0A"/>
    <w:rsid w:val="00860F61"/>
    <w:rsid w:val="0086110F"/>
    <w:rsid w:val="008611F1"/>
    <w:rsid w:val="0086129B"/>
    <w:rsid w:val="00861305"/>
    <w:rsid w:val="008614A3"/>
    <w:rsid w:val="00861667"/>
    <w:rsid w:val="00861725"/>
    <w:rsid w:val="008617FC"/>
    <w:rsid w:val="00861942"/>
    <w:rsid w:val="00861943"/>
    <w:rsid w:val="008619A5"/>
    <w:rsid w:val="00861A85"/>
    <w:rsid w:val="00861B47"/>
    <w:rsid w:val="00861D33"/>
    <w:rsid w:val="00861D88"/>
    <w:rsid w:val="00861D8C"/>
    <w:rsid w:val="00861E02"/>
    <w:rsid w:val="00861F66"/>
    <w:rsid w:val="008621BB"/>
    <w:rsid w:val="0086220A"/>
    <w:rsid w:val="008622E0"/>
    <w:rsid w:val="008626FE"/>
    <w:rsid w:val="0086288A"/>
    <w:rsid w:val="008628A7"/>
    <w:rsid w:val="008628DB"/>
    <w:rsid w:val="008628F8"/>
    <w:rsid w:val="00862B2F"/>
    <w:rsid w:val="00862CA3"/>
    <w:rsid w:val="00862EAA"/>
    <w:rsid w:val="00862FE1"/>
    <w:rsid w:val="00863139"/>
    <w:rsid w:val="008631CD"/>
    <w:rsid w:val="008631FE"/>
    <w:rsid w:val="0086323F"/>
    <w:rsid w:val="00863639"/>
    <w:rsid w:val="00863705"/>
    <w:rsid w:val="0086386B"/>
    <w:rsid w:val="00863915"/>
    <w:rsid w:val="00863B3D"/>
    <w:rsid w:val="00863E5D"/>
    <w:rsid w:val="00863F74"/>
    <w:rsid w:val="00863FE7"/>
    <w:rsid w:val="00864245"/>
    <w:rsid w:val="008645EF"/>
    <w:rsid w:val="00864676"/>
    <w:rsid w:val="008647D4"/>
    <w:rsid w:val="00864872"/>
    <w:rsid w:val="008649D6"/>
    <w:rsid w:val="008649FE"/>
    <w:rsid w:val="00864DBB"/>
    <w:rsid w:val="00864FE0"/>
    <w:rsid w:val="0086505B"/>
    <w:rsid w:val="00865076"/>
    <w:rsid w:val="00865081"/>
    <w:rsid w:val="00865250"/>
    <w:rsid w:val="0086525C"/>
    <w:rsid w:val="0086532D"/>
    <w:rsid w:val="00865471"/>
    <w:rsid w:val="00865573"/>
    <w:rsid w:val="008655A0"/>
    <w:rsid w:val="008656C6"/>
    <w:rsid w:val="0086583C"/>
    <w:rsid w:val="00865A61"/>
    <w:rsid w:val="00865B29"/>
    <w:rsid w:val="00865B87"/>
    <w:rsid w:val="00865B8F"/>
    <w:rsid w:val="00865BFB"/>
    <w:rsid w:val="00865C54"/>
    <w:rsid w:val="00865C83"/>
    <w:rsid w:val="00865E2D"/>
    <w:rsid w:val="00865EA6"/>
    <w:rsid w:val="00865EE0"/>
    <w:rsid w:val="00865FB1"/>
    <w:rsid w:val="008660E2"/>
    <w:rsid w:val="008660E8"/>
    <w:rsid w:val="00866135"/>
    <w:rsid w:val="008663E5"/>
    <w:rsid w:val="00866617"/>
    <w:rsid w:val="00866619"/>
    <w:rsid w:val="008666A3"/>
    <w:rsid w:val="00866829"/>
    <w:rsid w:val="00866838"/>
    <w:rsid w:val="00866846"/>
    <w:rsid w:val="00866961"/>
    <w:rsid w:val="008669B6"/>
    <w:rsid w:val="00866A1B"/>
    <w:rsid w:val="00866B22"/>
    <w:rsid w:val="00866D42"/>
    <w:rsid w:val="00866F80"/>
    <w:rsid w:val="00867041"/>
    <w:rsid w:val="008673A9"/>
    <w:rsid w:val="008676DA"/>
    <w:rsid w:val="008677C8"/>
    <w:rsid w:val="008677F4"/>
    <w:rsid w:val="008677F6"/>
    <w:rsid w:val="008678F4"/>
    <w:rsid w:val="008679C1"/>
    <w:rsid w:val="00867A22"/>
    <w:rsid w:val="00867B91"/>
    <w:rsid w:val="00867DEC"/>
    <w:rsid w:val="00867E60"/>
    <w:rsid w:val="0087018A"/>
    <w:rsid w:val="0087031E"/>
    <w:rsid w:val="008703BC"/>
    <w:rsid w:val="008704D8"/>
    <w:rsid w:val="008709A0"/>
    <w:rsid w:val="00870BCB"/>
    <w:rsid w:val="00870C7C"/>
    <w:rsid w:val="00870D92"/>
    <w:rsid w:val="00870DA0"/>
    <w:rsid w:val="00870E57"/>
    <w:rsid w:val="00870E5F"/>
    <w:rsid w:val="00870F50"/>
    <w:rsid w:val="00870FCE"/>
    <w:rsid w:val="008712D8"/>
    <w:rsid w:val="008714A1"/>
    <w:rsid w:val="00871624"/>
    <w:rsid w:val="00871880"/>
    <w:rsid w:val="00871988"/>
    <w:rsid w:val="008719B3"/>
    <w:rsid w:val="00871BBD"/>
    <w:rsid w:val="00871BF3"/>
    <w:rsid w:val="00871C5B"/>
    <w:rsid w:val="00871C63"/>
    <w:rsid w:val="00871D39"/>
    <w:rsid w:val="00871E7B"/>
    <w:rsid w:val="00871F3F"/>
    <w:rsid w:val="00872262"/>
    <w:rsid w:val="008723EE"/>
    <w:rsid w:val="00872657"/>
    <w:rsid w:val="0087267A"/>
    <w:rsid w:val="00872738"/>
    <w:rsid w:val="00872778"/>
    <w:rsid w:val="008727C3"/>
    <w:rsid w:val="00872883"/>
    <w:rsid w:val="008729D1"/>
    <w:rsid w:val="00872DA6"/>
    <w:rsid w:val="00872ED5"/>
    <w:rsid w:val="00872F1B"/>
    <w:rsid w:val="00873039"/>
    <w:rsid w:val="0087310A"/>
    <w:rsid w:val="008731AF"/>
    <w:rsid w:val="00873336"/>
    <w:rsid w:val="008736F1"/>
    <w:rsid w:val="00873CE0"/>
    <w:rsid w:val="00873D12"/>
    <w:rsid w:val="00873DDB"/>
    <w:rsid w:val="00873F6D"/>
    <w:rsid w:val="008742D0"/>
    <w:rsid w:val="0087438D"/>
    <w:rsid w:val="0087442C"/>
    <w:rsid w:val="0087455D"/>
    <w:rsid w:val="0087490D"/>
    <w:rsid w:val="00874A9D"/>
    <w:rsid w:val="00874B12"/>
    <w:rsid w:val="00874D49"/>
    <w:rsid w:val="00874F22"/>
    <w:rsid w:val="008750E0"/>
    <w:rsid w:val="0087515E"/>
    <w:rsid w:val="00875193"/>
    <w:rsid w:val="0087529A"/>
    <w:rsid w:val="008753C8"/>
    <w:rsid w:val="0087544D"/>
    <w:rsid w:val="008754C5"/>
    <w:rsid w:val="008754E8"/>
    <w:rsid w:val="00875862"/>
    <w:rsid w:val="0087593C"/>
    <w:rsid w:val="008759FC"/>
    <w:rsid w:val="00875BB2"/>
    <w:rsid w:val="00875C86"/>
    <w:rsid w:val="00875E5F"/>
    <w:rsid w:val="00875FB9"/>
    <w:rsid w:val="00876102"/>
    <w:rsid w:val="00876204"/>
    <w:rsid w:val="008762BF"/>
    <w:rsid w:val="00876579"/>
    <w:rsid w:val="008765BA"/>
    <w:rsid w:val="008767E5"/>
    <w:rsid w:val="008767EA"/>
    <w:rsid w:val="00876865"/>
    <w:rsid w:val="00876B3F"/>
    <w:rsid w:val="00876DF1"/>
    <w:rsid w:val="00876EB6"/>
    <w:rsid w:val="00876FFE"/>
    <w:rsid w:val="00877066"/>
    <w:rsid w:val="008770BA"/>
    <w:rsid w:val="008773E7"/>
    <w:rsid w:val="0087776C"/>
    <w:rsid w:val="00877837"/>
    <w:rsid w:val="00877894"/>
    <w:rsid w:val="008778BB"/>
    <w:rsid w:val="008779F1"/>
    <w:rsid w:val="00877B48"/>
    <w:rsid w:val="00877CA4"/>
    <w:rsid w:val="00877CEB"/>
    <w:rsid w:val="00877DA7"/>
    <w:rsid w:val="00880098"/>
    <w:rsid w:val="008801B9"/>
    <w:rsid w:val="00880335"/>
    <w:rsid w:val="0088035C"/>
    <w:rsid w:val="00880366"/>
    <w:rsid w:val="008806D1"/>
    <w:rsid w:val="00880763"/>
    <w:rsid w:val="00880766"/>
    <w:rsid w:val="00880BBC"/>
    <w:rsid w:val="00881062"/>
    <w:rsid w:val="0088115D"/>
    <w:rsid w:val="00881320"/>
    <w:rsid w:val="008814E3"/>
    <w:rsid w:val="0088172B"/>
    <w:rsid w:val="00881773"/>
    <w:rsid w:val="0088182D"/>
    <w:rsid w:val="008819EE"/>
    <w:rsid w:val="00881AD5"/>
    <w:rsid w:val="00881B48"/>
    <w:rsid w:val="00881C7B"/>
    <w:rsid w:val="00881CE7"/>
    <w:rsid w:val="00881D11"/>
    <w:rsid w:val="00881D1E"/>
    <w:rsid w:val="00881E64"/>
    <w:rsid w:val="00881F6B"/>
    <w:rsid w:val="00882070"/>
    <w:rsid w:val="0088226B"/>
    <w:rsid w:val="008824CE"/>
    <w:rsid w:val="00882572"/>
    <w:rsid w:val="008825A8"/>
    <w:rsid w:val="008825D5"/>
    <w:rsid w:val="00882740"/>
    <w:rsid w:val="008827B8"/>
    <w:rsid w:val="0088288D"/>
    <w:rsid w:val="008828E4"/>
    <w:rsid w:val="00882A68"/>
    <w:rsid w:val="00882AA2"/>
    <w:rsid w:val="00882BA8"/>
    <w:rsid w:val="00882C09"/>
    <w:rsid w:val="00882C3D"/>
    <w:rsid w:val="00882E42"/>
    <w:rsid w:val="00882E9D"/>
    <w:rsid w:val="00882FB1"/>
    <w:rsid w:val="008830A1"/>
    <w:rsid w:val="008830D4"/>
    <w:rsid w:val="00883109"/>
    <w:rsid w:val="00883277"/>
    <w:rsid w:val="00883372"/>
    <w:rsid w:val="008836E7"/>
    <w:rsid w:val="008837D0"/>
    <w:rsid w:val="008839BF"/>
    <w:rsid w:val="00883BC1"/>
    <w:rsid w:val="00883D23"/>
    <w:rsid w:val="00883D8A"/>
    <w:rsid w:val="00883E39"/>
    <w:rsid w:val="00883EBB"/>
    <w:rsid w:val="0088407D"/>
    <w:rsid w:val="00884220"/>
    <w:rsid w:val="00884362"/>
    <w:rsid w:val="008843CF"/>
    <w:rsid w:val="008845DF"/>
    <w:rsid w:val="008845F3"/>
    <w:rsid w:val="0088476E"/>
    <w:rsid w:val="008847C5"/>
    <w:rsid w:val="0088485A"/>
    <w:rsid w:val="0088489E"/>
    <w:rsid w:val="008848A0"/>
    <w:rsid w:val="008848C7"/>
    <w:rsid w:val="00884A18"/>
    <w:rsid w:val="00884B82"/>
    <w:rsid w:val="00884BD4"/>
    <w:rsid w:val="00884C53"/>
    <w:rsid w:val="00884D4F"/>
    <w:rsid w:val="00884E12"/>
    <w:rsid w:val="00884ED2"/>
    <w:rsid w:val="00884F87"/>
    <w:rsid w:val="00885052"/>
    <w:rsid w:val="008851B4"/>
    <w:rsid w:val="008851C1"/>
    <w:rsid w:val="00885310"/>
    <w:rsid w:val="0088540D"/>
    <w:rsid w:val="0088547D"/>
    <w:rsid w:val="008855DC"/>
    <w:rsid w:val="0088587C"/>
    <w:rsid w:val="00885921"/>
    <w:rsid w:val="00885A43"/>
    <w:rsid w:val="00885A5A"/>
    <w:rsid w:val="00885C69"/>
    <w:rsid w:val="00885EDB"/>
    <w:rsid w:val="00885F04"/>
    <w:rsid w:val="00885F5C"/>
    <w:rsid w:val="008860AA"/>
    <w:rsid w:val="008862FB"/>
    <w:rsid w:val="00886423"/>
    <w:rsid w:val="008865DE"/>
    <w:rsid w:val="008866C9"/>
    <w:rsid w:val="00886773"/>
    <w:rsid w:val="0088680D"/>
    <w:rsid w:val="008868F6"/>
    <w:rsid w:val="00886C73"/>
    <w:rsid w:val="00886CA3"/>
    <w:rsid w:val="00886D53"/>
    <w:rsid w:val="00886F6E"/>
    <w:rsid w:val="008870AC"/>
    <w:rsid w:val="00887136"/>
    <w:rsid w:val="00887251"/>
    <w:rsid w:val="00887402"/>
    <w:rsid w:val="00887583"/>
    <w:rsid w:val="00887731"/>
    <w:rsid w:val="0088776A"/>
    <w:rsid w:val="008879CA"/>
    <w:rsid w:val="00887A91"/>
    <w:rsid w:val="00887BAA"/>
    <w:rsid w:val="00887D6A"/>
    <w:rsid w:val="00887DF6"/>
    <w:rsid w:val="00887E10"/>
    <w:rsid w:val="008900D7"/>
    <w:rsid w:val="0089011C"/>
    <w:rsid w:val="008901E7"/>
    <w:rsid w:val="008901FF"/>
    <w:rsid w:val="00890270"/>
    <w:rsid w:val="008905D9"/>
    <w:rsid w:val="008905F2"/>
    <w:rsid w:val="00890AA6"/>
    <w:rsid w:val="00890B09"/>
    <w:rsid w:val="00890B42"/>
    <w:rsid w:val="00890C3F"/>
    <w:rsid w:val="00890E01"/>
    <w:rsid w:val="00890E6D"/>
    <w:rsid w:val="00890FA5"/>
    <w:rsid w:val="00891173"/>
    <w:rsid w:val="00891413"/>
    <w:rsid w:val="00891456"/>
    <w:rsid w:val="0089152F"/>
    <w:rsid w:val="00891552"/>
    <w:rsid w:val="008915B9"/>
    <w:rsid w:val="008916A6"/>
    <w:rsid w:val="00891725"/>
    <w:rsid w:val="00891867"/>
    <w:rsid w:val="00891899"/>
    <w:rsid w:val="008918A3"/>
    <w:rsid w:val="008918F4"/>
    <w:rsid w:val="0089190F"/>
    <w:rsid w:val="00891A8F"/>
    <w:rsid w:val="00891AFC"/>
    <w:rsid w:val="00891B26"/>
    <w:rsid w:val="00891BE0"/>
    <w:rsid w:val="00891DCF"/>
    <w:rsid w:val="00891DF2"/>
    <w:rsid w:val="00891FB5"/>
    <w:rsid w:val="00892010"/>
    <w:rsid w:val="00892012"/>
    <w:rsid w:val="008921A0"/>
    <w:rsid w:val="0089225C"/>
    <w:rsid w:val="00892561"/>
    <w:rsid w:val="0089259E"/>
    <w:rsid w:val="008925F9"/>
    <w:rsid w:val="008926B7"/>
    <w:rsid w:val="00892A94"/>
    <w:rsid w:val="00892AE4"/>
    <w:rsid w:val="00892B5F"/>
    <w:rsid w:val="00892C21"/>
    <w:rsid w:val="00892D0A"/>
    <w:rsid w:val="00892D1D"/>
    <w:rsid w:val="00892D2C"/>
    <w:rsid w:val="00892D54"/>
    <w:rsid w:val="00892E19"/>
    <w:rsid w:val="00892ECB"/>
    <w:rsid w:val="00893089"/>
    <w:rsid w:val="0089357F"/>
    <w:rsid w:val="0089386B"/>
    <w:rsid w:val="00893897"/>
    <w:rsid w:val="00893AA8"/>
    <w:rsid w:val="00893B83"/>
    <w:rsid w:val="00893C6F"/>
    <w:rsid w:val="00893D2B"/>
    <w:rsid w:val="00893D52"/>
    <w:rsid w:val="00893E14"/>
    <w:rsid w:val="00893FE5"/>
    <w:rsid w:val="008940A3"/>
    <w:rsid w:val="008940C5"/>
    <w:rsid w:val="00894139"/>
    <w:rsid w:val="00894193"/>
    <w:rsid w:val="0089445D"/>
    <w:rsid w:val="0089453E"/>
    <w:rsid w:val="00894592"/>
    <w:rsid w:val="00894722"/>
    <w:rsid w:val="0089495D"/>
    <w:rsid w:val="00894990"/>
    <w:rsid w:val="00894AE9"/>
    <w:rsid w:val="00894BD5"/>
    <w:rsid w:val="00894D4E"/>
    <w:rsid w:val="00894D9D"/>
    <w:rsid w:val="00894ED3"/>
    <w:rsid w:val="00894F10"/>
    <w:rsid w:val="00894FE7"/>
    <w:rsid w:val="00895012"/>
    <w:rsid w:val="00895046"/>
    <w:rsid w:val="008951BF"/>
    <w:rsid w:val="0089529C"/>
    <w:rsid w:val="008952CC"/>
    <w:rsid w:val="0089543E"/>
    <w:rsid w:val="0089551A"/>
    <w:rsid w:val="00895552"/>
    <w:rsid w:val="00895A3A"/>
    <w:rsid w:val="00895A3D"/>
    <w:rsid w:val="00895A4F"/>
    <w:rsid w:val="00896028"/>
    <w:rsid w:val="00896080"/>
    <w:rsid w:val="0089640C"/>
    <w:rsid w:val="008964A6"/>
    <w:rsid w:val="008966AC"/>
    <w:rsid w:val="00896757"/>
    <w:rsid w:val="0089676C"/>
    <w:rsid w:val="00896936"/>
    <w:rsid w:val="008969C4"/>
    <w:rsid w:val="00896A07"/>
    <w:rsid w:val="00896A75"/>
    <w:rsid w:val="00896D59"/>
    <w:rsid w:val="00896FD1"/>
    <w:rsid w:val="00896FF8"/>
    <w:rsid w:val="0089711A"/>
    <w:rsid w:val="008971E8"/>
    <w:rsid w:val="00897484"/>
    <w:rsid w:val="00897554"/>
    <w:rsid w:val="00897609"/>
    <w:rsid w:val="008977EE"/>
    <w:rsid w:val="008978C1"/>
    <w:rsid w:val="0089794D"/>
    <w:rsid w:val="008979B8"/>
    <w:rsid w:val="00897A34"/>
    <w:rsid w:val="00897AA7"/>
    <w:rsid w:val="00897B1C"/>
    <w:rsid w:val="00897C2A"/>
    <w:rsid w:val="00897DA2"/>
    <w:rsid w:val="00897FA5"/>
    <w:rsid w:val="00897FF2"/>
    <w:rsid w:val="008A00F7"/>
    <w:rsid w:val="008A0177"/>
    <w:rsid w:val="008A035E"/>
    <w:rsid w:val="008A048A"/>
    <w:rsid w:val="008A053C"/>
    <w:rsid w:val="008A063A"/>
    <w:rsid w:val="008A0860"/>
    <w:rsid w:val="008A0953"/>
    <w:rsid w:val="008A0A1B"/>
    <w:rsid w:val="008A0A44"/>
    <w:rsid w:val="008A0AEB"/>
    <w:rsid w:val="008A0BB2"/>
    <w:rsid w:val="008A0BEA"/>
    <w:rsid w:val="008A0C30"/>
    <w:rsid w:val="008A0CF4"/>
    <w:rsid w:val="008A0CF9"/>
    <w:rsid w:val="008A0F0D"/>
    <w:rsid w:val="008A0F7B"/>
    <w:rsid w:val="008A1009"/>
    <w:rsid w:val="008A1035"/>
    <w:rsid w:val="008A1046"/>
    <w:rsid w:val="008A104F"/>
    <w:rsid w:val="008A1205"/>
    <w:rsid w:val="008A12F7"/>
    <w:rsid w:val="008A137D"/>
    <w:rsid w:val="008A1488"/>
    <w:rsid w:val="008A1566"/>
    <w:rsid w:val="008A15B8"/>
    <w:rsid w:val="008A17CB"/>
    <w:rsid w:val="008A17ED"/>
    <w:rsid w:val="008A18CC"/>
    <w:rsid w:val="008A19BF"/>
    <w:rsid w:val="008A1A95"/>
    <w:rsid w:val="008A1B65"/>
    <w:rsid w:val="008A1C49"/>
    <w:rsid w:val="008A1DFB"/>
    <w:rsid w:val="008A1E85"/>
    <w:rsid w:val="008A1FDA"/>
    <w:rsid w:val="008A224C"/>
    <w:rsid w:val="008A2446"/>
    <w:rsid w:val="008A24B2"/>
    <w:rsid w:val="008A2870"/>
    <w:rsid w:val="008A28F5"/>
    <w:rsid w:val="008A2A83"/>
    <w:rsid w:val="008A2AC4"/>
    <w:rsid w:val="008A2B28"/>
    <w:rsid w:val="008A2D3C"/>
    <w:rsid w:val="008A2F49"/>
    <w:rsid w:val="008A32A3"/>
    <w:rsid w:val="008A32B8"/>
    <w:rsid w:val="008A33E5"/>
    <w:rsid w:val="008A34D8"/>
    <w:rsid w:val="008A353A"/>
    <w:rsid w:val="008A3570"/>
    <w:rsid w:val="008A374C"/>
    <w:rsid w:val="008A3823"/>
    <w:rsid w:val="008A38AB"/>
    <w:rsid w:val="008A3948"/>
    <w:rsid w:val="008A3ADE"/>
    <w:rsid w:val="008A3B28"/>
    <w:rsid w:val="008A3C50"/>
    <w:rsid w:val="008A3CFF"/>
    <w:rsid w:val="008A3E58"/>
    <w:rsid w:val="008A3FED"/>
    <w:rsid w:val="008A4052"/>
    <w:rsid w:val="008A410C"/>
    <w:rsid w:val="008A42C5"/>
    <w:rsid w:val="008A4411"/>
    <w:rsid w:val="008A4416"/>
    <w:rsid w:val="008A44B0"/>
    <w:rsid w:val="008A46BB"/>
    <w:rsid w:val="008A4885"/>
    <w:rsid w:val="008A4997"/>
    <w:rsid w:val="008A4C69"/>
    <w:rsid w:val="008A4DFA"/>
    <w:rsid w:val="008A5028"/>
    <w:rsid w:val="008A5071"/>
    <w:rsid w:val="008A508C"/>
    <w:rsid w:val="008A5183"/>
    <w:rsid w:val="008A5248"/>
    <w:rsid w:val="008A52AD"/>
    <w:rsid w:val="008A539F"/>
    <w:rsid w:val="008A5435"/>
    <w:rsid w:val="008A5439"/>
    <w:rsid w:val="008A55BB"/>
    <w:rsid w:val="008A55E5"/>
    <w:rsid w:val="008A5988"/>
    <w:rsid w:val="008A59B4"/>
    <w:rsid w:val="008A5A91"/>
    <w:rsid w:val="008A5ADD"/>
    <w:rsid w:val="008A5BD7"/>
    <w:rsid w:val="008A5D7B"/>
    <w:rsid w:val="008A5DA0"/>
    <w:rsid w:val="008A60E1"/>
    <w:rsid w:val="008A6337"/>
    <w:rsid w:val="008A6447"/>
    <w:rsid w:val="008A6497"/>
    <w:rsid w:val="008A67CD"/>
    <w:rsid w:val="008A6A7A"/>
    <w:rsid w:val="008A6E76"/>
    <w:rsid w:val="008A7080"/>
    <w:rsid w:val="008A70C6"/>
    <w:rsid w:val="008A7151"/>
    <w:rsid w:val="008A71DB"/>
    <w:rsid w:val="008A723A"/>
    <w:rsid w:val="008A72F5"/>
    <w:rsid w:val="008A72FE"/>
    <w:rsid w:val="008A75D1"/>
    <w:rsid w:val="008A77A3"/>
    <w:rsid w:val="008A7844"/>
    <w:rsid w:val="008A78A6"/>
    <w:rsid w:val="008A78E5"/>
    <w:rsid w:val="008A7961"/>
    <w:rsid w:val="008A7969"/>
    <w:rsid w:val="008A79C2"/>
    <w:rsid w:val="008A7A3C"/>
    <w:rsid w:val="008A7C2E"/>
    <w:rsid w:val="008A7CC6"/>
    <w:rsid w:val="008A7CCE"/>
    <w:rsid w:val="008A7E10"/>
    <w:rsid w:val="008A7FB4"/>
    <w:rsid w:val="008B0012"/>
    <w:rsid w:val="008B0048"/>
    <w:rsid w:val="008B0207"/>
    <w:rsid w:val="008B020F"/>
    <w:rsid w:val="008B02A2"/>
    <w:rsid w:val="008B037C"/>
    <w:rsid w:val="008B0487"/>
    <w:rsid w:val="008B0601"/>
    <w:rsid w:val="008B08DE"/>
    <w:rsid w:val="008B0B39"/>
    <w:rsid w:val="008B0B6B"/>
    <w:rsid w:val="008B0C98"/>
    <w:rsid w:val="008B0D14"/>
    <w:rsid w:val="008B0E99"/>
    <w:rsid w:val="008B0EBE"/>
    <w:rsid w:val="008B0F2A"/>
    <w:rsid w:val="008B10A7"/>
    <w:rsid w:val="008B1117"/>
    <w:rsid w:val="008B120E"/>
    <w:rsid w:val="008B1214"/>
    <w:rsid w:val="008B1222"/>
    <w:rsid w:val="008B14C1"/>
    <w:rsid w:val="008B1546"/>
    <w:rsid w:val="008B1555"/>
    <w:rsid w:val="008B16DF"/>
    <w:rsid w:val="008B16F7"/>
    <w:rsid w:val="008B17A9"/>
    <w:rsid w:val="008B1848"/>
    <w:rsid w:val="008B1889"/>
    <w:rsid w:val="008B1B6A"/>
    <w:rsid w:val="008B1B9D"/>
    <w:rsid w:val="008B1C0D"/>
    <w:rsid w:val="008B1C5E"/>
    <w:rsid w:val="008B1CB1"/>
    <w:rsid w:val="008B1D0D"/>
    <w:rsid w:val="008B1D41"/>
    <w:rsid w:val="008B1D9C"/>
    <w:rsid w:val="008B1DDF"/>
    <w:rsid w:val="008B2037"/>
    <w:rsid w:val="008B20FD"/>
    <w:rsid w:val="008B211E"/>
    <w:rsid w:val="008B22A2"/>
    <w:rsid w:val="008B2312"/>
    <w:rsid w:val="008B2439"/>
    <w:rsid w:val="008B2544"/>
    <w:rsid w:val="008B2674"/>
    <w:rsid w:val="008B274E"/>
    <w:rsid w:val="008B2832"/>
    <w:rsid w:val="008B285C"/>
    <w:rsid w:val="008B28DF"/>
    <w:rsid w:val="008B2B62"/>
    <w:rsid w:val="008B2C36"/>
    <w:rsid w:val="008B2CBD"/>
    <w:rsid w:val="008B2DFC"/>
    <w:rsid w:val="008B306B"/>
    <w:rsid w:val="008B322B"/>
    <w:rsid w:val="008B330B"/>
    <w:rsid w:val="008B3381"/>
    <w:rsid w:val="008B33FD"/>
    <w:rsid w:val="008B345B"/>
    <w:rsid w:val="008B358D"/>
    <w:rsid w:val="008B3599"/>
    <w:rsid w:val="008B36B2"/>
    <w:rsid w:val="008B37CC"/>
    <w:rsid w:val="008B37EB"/>
    <w:rsid w:val="008B3900"/>
    <w:rsid w:val="008B39BD"/>
    <w:rsid w:val="008B3B97"/>
    <w:rsid w:val="008B3BCD"/>
    <w:rsid w:val="008B3C02"/>
    <w:rsid w:val="008B3C47"/>
    <w:rsid w:val="008B3E81"/>
    <w:rsid w:val="008B3EB9"/>
    <w:rsid w:val="008B3F66"/>
    <w:rsid w:val="008B4067"/>
    <w:rsid w:val="008B41B0"/>
    <w:rsid w:val="008B4229"/>
    <w:rsid w:val="008B426F"/>
    <w:rsid w:val="008B4469"/>
    <w:rsid w:val="008B46A4"/>
    <w:rsid w:val="008B4985"/>
    <w:rsid w:val="008B49DF"/>
    <w:rsid w:val="008B4A3E"/>
    <w:rsid w:val="008B4B29"/>
    <w:rsid w:val="008B4C38"/>
    <w:rsid w:val="008B4C56"/>
    <w:rsid w:val="008B4C94"/>
    <w:rsid w:val="008B4D4B"/>
    <w:rsid w:val="008B4D5F"/>
    <w:rsid w:val="008B4DCA"/>
    <w:rsid w:val="008B4DFA"/>
    <w:rsid w:val="008B4E24"/>
    <w:rsid w:val="008B4FD7"/>
    <w:rsid w:val="008B5080"/>
    <w:rsid w:val="008B509F"/>
    <w:rsid w:val="008B50AB"/>
    <w:rsid w:val="008B50D4"/>
    <w:rsid w:val="008B52F6"/>
    <w:rsid w:val="008B5362"/>
    <w:rsid w:val="008B53D6"/>
    <w:rsid w:val="008B569C"/>
    <w:rsid w:val="008B56C5"/>
    <w:rsid w:val="008B57D2"/>
    <w:rsid w:val="008B58DD"/>
    <w:rsid w:val="008B5A18"/>
    <w:rsid w:val="008B5A3F"/>
    <w:rsid w:val="008B5C60"/>
    <w:rsid w:val="008B5DDA"/>
    <w:rsid w:val="008B5E4F"/>
    <w:rsid w:val="008B5EA3"/>
    <w:rsid w:val="008B5F3B"/>
    <w:rsid w:val="008B5F43"/>
    <w:rsid w:val="008B5F97"/>
    <w:rsid w:val="008B60D9"/>
    <w:rsid w:val="008B6192"/>
    <w:rsid w:val="008B62AD"/>
    <w:rsid w:val="008B631E"/>
    <w:rsid w:val="008B6364"/>
    <w:rsid w:val="008B641B"/>
    <w:rsid w:val="008B6420"/>
    <w:rsid w:val="008B6728"/>
    <w:rsid w:val="008B6895"/>
    <w:rsid w:val="008B6960"/>
    <w:rsid w:val="008B697C"/>
    <w:rsid w:val="008B6AB0"/>
    <w:rsid w:val="008B6B7F"/>
    <w:rsid w:val="008B6B8D"/>
    <w:rsid w:val="008B6DA4"/>
    <w:rsid w:val="008B6EFA"/>
    <w:rsid w:val="008B6FE8"/>
    <w:rsid w:val="008B70A5"/>
    <w:rsid w:val="008B72C9"/>
    <w:rsid w:val="008B73D7"/>
    <w:rsid w:val="008B75E3"/>
    <w:rsid w:val="008B7665"/>
    <w:rsid w:val="008B76E4"/>
    <w:rsid w:val="008B7859"/>
    <w:rsid w:val="008B78CC"/>
    <w:rsid w:val="008B79E5"/>
    <w:rsid w:val="008B7B7F"/>
    <w:rsid w:val="008B7BA8"/>
    <w:rsid w:val="008B7D75"/>
    <w:rsid w:val="008B7DA2"/>
    <w:rsid w:val="008B7DA9"/>
    <w:rsid w:val="008B7DBF"/>
    <w:rsid w:val="008B7E8C"/>
    <w:rsid w:val="008B7EB3"/>
    <w:rsid w:val="008C004A"/>
    <w:rsid w:val="008C004C"/>
    <w:rsid w:val="008C03C2"/>
    <w:rsid w:val="008C03D8"/>
    <w:rsid w:val="008C0581"/>
    <w:rsid w:val="008C0806"/>
    <w:rsid w:val="008C0973"/>
    <w:rsid w:val="008C0982"/>
    <w:rsid w:val="008C09C3"/>
    <w:rsid w:val="008C09DC"/>
    <w:rsid w:val="008C0BA7"/>
    <w:rsid w:val="008C0C66"/>
    <w:rsid w:val="008C0D74"/>
    <w:rsid w:val="008C0F9C"/>
    <w:rsid w:val="008C10CF"/>
    <w:rsid w:val="008C112E"/>
    <w:rsid w:val="008C1160"/>
    <w:rsid w:val="008C1358"/>
    <w:rsid w:val="008C1377"/>
    <w:rsid w:val="008C1666"/>
    <w:rsid w:val="008C16AB"/>
    <w:rsid w:val="008C16FA"/>
    <w:rsid w:val="008C1798"/>
    <w:rsid w:val="008C1819"/>
    <w:rsid w:val="008C183C"/>
    <w:rsid w:val="008C189B"/>
    <w:rsid w:val="008C18FF"/>
    <w:rsid w:val="008C1974"/>
    <w:rsid w:val="008C19C0"/>
    <w:rsid w:val="008C1BC1"/>
    <w:rsid w:val="008C1CBA"/>
    <w:rsid w:val="008C1D76"/>
    <w:rsid w:val="008C1DB6"/>
    <w:rsid w:val="008C1FA6"/>
    <w:rsid w:val="008C202C"/>
    <w:rsid w:val="008C20C3"/>
    <w:rsid w:val="008C2368"/>
    <w:rsid w:val="008C23A1"/>
    <w:rsid w:val="008C2942"/>
    <w:rsid w:val="008C2B9E"/>
    <w:rsid w:val="008C2BB5"/>
    <w:rsid w:val="008C2BFE"/>
    <w:rsid w:val="008C2D7C"/>
    <w:rsid w:val="008C2DC6"/>
    <w:rsid w:val="008C2F70"/>
    <w:rsid w:val="008C303A"/>
    <w:rsid w:val="008C307E"/>
    <w:rsid w:val="008C3167"/>
    <w:rsid w:val="008C32E4"/>
    <w:rsid w:val="008C3413"/>
    <w:rsid w:val="008C3459"/>
    <w:rsid w:val="008C34C4"/>
    <w:rsid w:val="008C3543"/>
    <w:rsid w:val="008C35CF"/>
    <w:rsid w:val="008C36AA"/>
    <w:rsid w:val="008C36C9"/>
    <w:rsid w:val="008C36F7"/>
    <w:rsid w:val="008C3835"/>
    <w:rsid w:val="008C38FB"/>
    <w:rsid w:val="008C3973"/>
    <w:rsid w:val="008C3A0E"/>
    <w:rsid w:val="008C3A5A"/>
    <w:rsid w:val="008C3AF7"/>
    <w:rsid w:val="008C3B0E"/>
    <w:rsid w:val="008C3C4E"/>
    <w:rsid w:val="008C3CC4"/>
    <w:rsid w:val="008C3DFB"/>
    <w:rsid w:val="008C3FE8"/>
    <w:rsid w:val="008C404E"/>
    <w:rsid w:val="008C406A"/>
    <w:rsid w:val="008C4253"/>
    <w:rsid w:val="008C43FF"/>
    <w:rsid w:val="008C443A"/>
    <w:rsid w:val="008C4571"/>
    <w:rsid w:val="008C4714"/>
    <w:rsid w:val="008C4744"/>
    <w:rsid w:val="008C48B6"/>
    <w:rsid w:val="008C4B13"/>
    <w:rsid w:val="008C4BA9"/>
    <w:rsid w:val="008C4BDD"/>
    <w:rsid w:val="008C4DAA"/>
    <w:rsid w:val="008C52D0"/>
    <w:rsid w:val="008C5453"/>
    <w:rsid w:val="008C56C7"/>
    <w:rsid w:val="008C584D"/>
    <w:rsid w:val="008C58D1"/>
    <w:rsid w:val="008C5A26"/>
    <w:rsid w:val="008C5A30"/>
    <w:rsid w:val="008C5BA7"/>
    <w:rsid w:val="008C5BD8"/>
    <w:rsid w:val="008C5C88"/>
    <w:rsid w:val="008C5EAE"/>
    <w:rsid w:val="008C5EF8"/>
    <w:rsid w:val="008C6036"/>
    <w:rsid w:val="008C608E"/>
    <w:rsid w:val="008C6101"/>
    <w:rsid w:val="008C62D5"/>
    <w:rsid w:val="008C6352"/>
    <w:rsid w:val="008C637B"/>
    <w:rsid w:val="008C6567"/>
    <w:rsid w:val="008C6A81"/>
    <w:rsid w:val="008C6B52"/>
    <w:rsid w:val="008C6BB4"/>
    <w:rsid w:val="008C6E1E"/>
    <w:rsid w:val="008C6E23"/>
    <w:rsid w:val="008C7148"/>
    <w:rsid w:val="008C71D2"/>
    <w:rsid w:val="008C74AA"/>
    <w:rsid w:val="008C74F9"/>
    <w:rsid w:val="008C7658"/>
    <w:rsid w:val="008C772F"/>
    <w:rsid w:val="008C773E"/>
    <w:rsid w:val="008C78D2"/>
    <w:rsid w:val="008C7A42"/>
    <w:rsid w:val="008C7BE5"/>
    <w:rsid w:val="008C7C61"/>
    <w:rsid w:val="008C7FB5"/>
    <w:rsid w:val="008D0065"/>
    <w:rsid w:val="008D01B7"/>
    <w:rsid w:val="008D039E"/>
    <w:rsid w:val="008D05A6"/>
    <w:rsid w:val="008D0621"/>
    <w:rsid w:val="008D0663"/>
    <w:rsid w:val="008D06B0"/>
    <w:rsid w:val="008D07C9"/>
    <w:rsid w:val="008D082D"/>
    <w:rsid w:val="008D09D4"/>
    <w:rsid w:val="008D0A14"/>
    <w:rsid w:val="008D0A99"/>
    <w:rsid w:val="008D0AEB"/>
    <w:rsid w:val="008D0BB6"/>
    <w:rsid w:val="008D0C35"/>
    <w:rsid w:val="008D0D55"/>
    <w:rsid w:val="008D0D85"/>
    <w:rsid w:val="008D10E2"/>
    <w:rsid w:val="008D1100"/>
    <w:rsid w:val="008D1157"/>
    <w:rsid w:val="008D1221"/>
    <w:rsid w:val="008D126D"/>
    <w:rsid w:val="008D12A4"/>
    <w:rsid w:val="008D12BC"/>
    <w:rsid w:val="008D1437"/>
    <w:rsid w:val="008D1483"/>
    <w:rsid w:val="008D158A"/>
    <w:rsid w:val="008D15E1"/>
    <w:rsid w:val="008D16C5"/>
    <w:rsid w:val="008D1771"/>
    <w:rsid w:val="008D18FB"/>
    <w:rsid w:val="008D19EF"/>
    <w:rsid w:val="008D1AAB"/>
    <w:rsid w:val="008D1B1C"/>
    <w:rsid w:val="008D1B93"/>
    <w:rsid w:val="008D1C26"/>
    <w:rsid w:val="008D1D67"/>
    <w:rsid w:val="008D1D7D"/>
    <w:rsid w:val="008D1DCF"/>
    <w:rsid w:val="008D1E16"/>
    <w:rsid w:val="008D1E2D"/>
    <w:rsid w:val="008D1EAD"/>
    <w:rsid w:val="008D1ECE"/>
    <w:rsid w:val="008D1EFF"/>
    <w:rsid w:val="008D1F61"/>
    <w:rsid w:val="008D1F87"/>
    <w:rsid w:val="008D1FBE"/>
    <w:rsid w:val="008D2000"/>
    <w:rsid w:val="008D20A8"/>
    <w:rsid w:val="008D21D4"/>
    <w:rsid w:val="008D21F1"/>
    <w:rsid w:val="008D2274"/>
    <w:rsid w:val="008D22A2"/>
    <w:rsid w:val="008D22A8"/>
    <w:rsid w:val="008D2341"/>
    <w:rsid w:val="008D23B8"/>
    <w:rsid w:val="008D25D3"/>
    <w:rsid w:val="008D2883"/>
    <w:rsid w:val="008D29F4"/>
    <w:rsid w:val="008D2A0E"/>
    <w:rsid w:val="008D2B1A"/>
    <w:rsid w:val="008D2B60"/>
    <w:rsid w:val="008D2BDC"/>
    <w:rsid w:val="008D2BF9"/>
    <w:rsid w:val="008D2C52"/>
    <w:rsid w:val="008D2DAF"/>
    <w:rsid w:val="008D2DD4"/>
    <w:rsid w:val="008D2FA3"/>
    <w:rsid w:val="008D316D"/>
    <w:rsid w:val="008D341F"/>
    <w:rsid w:val="008D3467"/>
    <w:rsid w:val="008D34C2"/>
    <w:rsid w:val="008D35F0"/>
    <w:rsid w:val="008D360E"/>
    <w:rsid w:val="008D37CC"/>
    <w:rsid w:val="008D3914"/>
    <w:rsid w:val="008D3B49"/>
    <w:rsid w:val="008D3E08"/>
    <w:rsid w:val="008D3EAF"/>
    <w:rsid w:val="008D3F99"/>
    <w:rsid w:val="008D3F9A"/>
    <w:rsid w:val="008D4154"/>
    <w:rsid w:val="008D457C"/>
    <w:rsid w:val="008D45ED"/>
    <w:rsid w:val="008D47B5"/>
    <w:rsid w:val="008D480B"/>
    <w:rsid w:val="008D4866"/>
    <w:rsid w:val="008D4984"/>
    <w:rsid w:val="008D498F"/>
    <w:rsid w:val="008D4C0D"/>
    <w:rsid w:val="008D4E5D"/>
    <w:rsid w:val="008D4FB9"/>
    <w:rsid w:val="008D504D"/>
    <w:rsid w:val="008D50E0"/>
    <w:rsid w:val="008D547D"/>
    <w:rsid w:val="008D56A3"/>
    <w:rsid w:val="008D589C"/>
    <w:rsid w:val="008D58E9"/>
    <w:rsid w:val="008D5982"/>
    <w:rsid w:val="008D59B3"/>
    <w:rsid w:val="008D59B8"/>
    <w:rsid w:val="008D59E0"/>
    <w:rsid w:val="008D5B56"/>
    <w:rsid w:val="008D5B94"/>
    <w:rsid w:val="008D5BE0"/>
    <w:rsid w:val="008D5D61"/>
    <w:rsid w:val="008D5DCB"/>
    <w:rsid w:val="008D5F19"/>
    <w:rsid w:val="008D603E"/>
    <w:rsid w:val="008D60FC"/>
    <w:rsid w:val="008D61B5"/>
    <w:rsid w:val="008D6310"/>
    <w:rsid w:val="008D636D"/>
    <w:rsid w:val="008D6654"/>
    <w:rsid w:val="008D6689"/>
    <w:rsid w:val="008D66C0"/>
    <w:rsid w:val="008D696D"/>
    <w:rsid w:val="008D6BEA"/>
    <w:rsid w:val="008D6DCF"/>
    <w:rsid w:val="008D6E99"/>
    <w:rsid w:val="008D6EEB"/>
    <w:rsid w:val="008D6F4A"/>
    <w:rsid w:val="008D6F8D"/>
    <w:rsid w:val="008D6FD0"/>
    <w:rsid w:val="008D70F1"/>
    <w:rsid w:val="008D7246"/>
    <w:rsid w:val="008D72D4"/>
    <w:rsid w:val="008D7319"/>
    <w:rsid w:val="008D7328"/>
    <w:rsid w:val="008D73A3"/>
    <w:rsid w:val="008D73AC"/>
    <w:rsid w:val="008D75B5"/>
    <w:rsid w:val="008D75F0"/>
    <w:rsid w:val="008D763D"/>
    <w:rsid w:val="008D76F3"/>
    <w:rsid w:val="008D7729"/>
    <w:rsid w:val="008D788F"/>
    <w:rsid w:val="008D7B3E"/>
    <w:rsid w:val="008D7B5A"/>
    <w:rsid w:val="008D7C41"/>
    <w:rsid w:val="008D7C79"/>
    <w:rsid w:val="008D7C8E"/>
    <w:rsid w:val="008D7C98"/>
    <w:rsid w:val="008D7F17"/>
    <w:rsid w:val="008E011F"/>
    <w:rsid w:val="008E024E"/>
    <w:rsid w:val="008E02DD"/>
    <w:rsid w:val="008E031A"/>
    <w:rsid w:val="008E0689"/>
    <w:rsid w:val="008E0715"/>
    <w:rsid w:val="008E09FB"/>
    <w:rsid w:val="008E0B08"/>
    <w:rsid w:val="008E0D5A"/>
    <w:rsid w:val="008E0DD1"/>
    <w:rsid w:val="008E0E04"/>
    <w:rsid w:val="008E0E3D"/>
    <w:rsid w:val="008E0EF8"/>
    <w:rsid w:val="008E1314"/>
    <w:rsid w:val="008E1443"/>
    <w:rsid w:val="008E1451"/>
    <w:rsid w:val="008E1461"/>
    <w:rsid w:val="008E17C9"/>
    <w:rsid w:val="008E1829"/>
    <w:rsid w:val="008E189C"/>
    <w:rsid w:val="008E1A12"/>
    <w:rsid w:val="008E1A1B"/>
    <w:rsid w:val="008E1B0F"/>
    <w:rsid w:val="008E1CCB"/>
    <w:rsid w:val="008E1D72"/>
    <w:rsid w:val="008E1ED0"/>
    <w:rsid w:val="008E1FE0"/>
    <w:rsid w:val="008E2158"/>
    <w:rsid w:val="008E2203"/>
    <w:rsid w:val="008E22B1"/>
    <w:rsid w:val="008E22DF"/>
    <w:rsid w:val="008E2456"/>
    <w:rsid w:val="008E24EA"/>
    <w:rsid w:val="008E26EC"/>
    <w:rsid w:val="008E26FF"/>
    <w:rsid w:val="008E28DA"/>
    <w:rsid w:val="008E29D5"/>
    <w:rsid w:val="008E2A65"/>
    <w:rsid w:val="008E2B96"/>
    <w:rsid w:val="008E2C5C"/>
    <w:rsid w:val="008E2C74"/>
    <w:rsid w:val="008E2DDE"/>
    <w:rsid w:val="008E2E1F"/>
    <w:rsid w:val="008E2E55"/>
    <w:rsid w:val="008E2EEB"/>
    <w:rsid w:val="008E301D"/>
    <w:rsid w:val="008E3064"/>
    <w:rsid w:val="008E355E"/>
    <w:rsid w:val="008E3569"/>
    <w:rsid w:val="008E3626"/>
    <w:rsid w:val="008E373B"/>
    <w:rsid w:val="008E37B5"/>
    <w:rsid w:val="008E3B98"/>
    <w:rsid w:val="008E3CC1"/>
    <w:rsid w:val="008E3E92"/>
    <w:rsid w:val="008E3EF8"/>
    <w:rsid w:val="008E401C"/>
    <w:rsid w:val="008E40BC"/>
    <w:rsid w:val="008E40CA"/>
    <w:rsid w:val="008E412E"/>
    <w:rsid w:val="008E431E"/>
    <w:rsid w:val="008E435C"/>
    <w:rsid w:val="008E43D2"/>
    <w:rsid w:val="008E43E8"/>
    <w:rsid w:val="008E4438"/>
    <w:rsid w:val="008E4656"/>
    <w:rsid w:val="008E4796"/>
    <w:rsid w:val="008E479C"/>
    <w:rsid w:val="008E486F"/>
    <w:rsid w:val="008E48CF"/>
    <w:rsid w:val="008E4A8D"/>
    <w:rsid w:val="008E4AA7"/>
    <w:rsid w:val="008E4C33"/>
    <w:rsid w:val="008E4D31"/>
    <w:rsid w:val="008E4DA2"/>
    <w:rsid w:val="008E4DC3"/>
    <w:rsid w:val="008E4E5D"/>
    <w:rsid w:val="008E4FDA"/>
    <w:rsid w:val="008E4FF3"/>
    <w:rsid w:val="008E5047"/>
    <w:rsid w:val="008E5176"/>
    <w:rsid w:val="008E5190"/>
    <w:rsid w:val="008E5291"/>
    <w:rsid w:val="008E53F4"/>
    <w:rsid w:val="008E570A"/>
    <w:rsid w:val="008E58EA"/>
    <w:rsid w:val="008E59C6"/>
    <w:rsid w:val="008E5BB6"/>
    <w:rsid w:val="008E5DE0"/>
    <w:rsid w:val="008E5DF1"/>
    <w:rsid w:val="008E5E87"/>
    <w:rsid w:val="008E5F42"/>
    <w:rsid w:val="008E603F"/>
    <w:rsid w:val="008E60AA"/>
    <w:rsid w:val="008E6220"/>
    <w:rsid w:val="008E623D"/>
    <w:rsid w:val="008E624E"/>
    <w:rsid w:val="008E63C9"/>
    <w:rsid w:val="008E63ED"/>
    <w:rsid w:val="008E6452"/>
    <w:rsid w:val="008E6550"/>
    <w:rsid w:val="008E65C3"/>
    <w:rsid w:val="008E66B1"/>
    <w:rsid w:val="008E6791"/>
    <w:rsid w:val="008E67DC"/>
    <w:rsid w:val="008E688C"/>
    <w:rsid w:val="008E690D"/>
    <w:rsid w:val="008E6C22"/>
    <w:rsid w:val="008E6C8D"/>
    <w:rsid w:val="008E6CC5"/>
    <w:rsid w:val="008E6CE9"/>
    <w:rsid w:val="008E6E5B"/>
    <w:rsid w:val="008E6EAF"/>
    <w:rsid w:val="008E6F1C"/>
    <w:rsid w:val="008E6F5B"/>
    <w:rsid w:val="008E6FF0"/>
    <w:rsid w:val="008E701A"/>
    <w:rsid w:val="008E7084"/>
    <w:rsid w:val="008E7166"/>
    <w:rsid w:val="008E7259"/>
    <w:rsid w:val="008E73AE"/>
    <w:rsid w:val="008E73D3"/>
    <w:rsid w:val="008E740F"/>
    <w:rsid w:val="008E74E1"/>
    <w:rsid w:val="008E755E"/>
    <w:rsid w:val="008E75BD"/>
    <w:rsid w:val="008E7697"/>
    <w:rsid w:val="008E76C2"/>
    <w:rsid w:val="008E78A3"/>
    <w:rsid w:val="008E7A00"/>
    <w:rsid w:val="008E7A21"/>
    <w:rsid w:val="008E7A77"/>
    <w:rsid w:val="008E7ABF"/>
    <w:rsid w:val="008E7B0C"/>
    <w:rsid w:val="008E7D15"/>
    <w:rsid w:val="008E7DC5"/>
    <w:rsid w:val="008E7DE0"/>
    <w:rsid w:val="008E7F20"/>
    <w:rsid w:val="008E7F6A"/>
    <w:rsid w:val="008F03B2"/>
    <w:rsid w:val="008F0445"/>
    <w:rsid w:val="008F04EC"/>
    <w:rsid w:val="008F052A"/>
    <w:rsid w:val="008F056F"/>
    <w:rsid w:val="008F05E6"/>
    <w:rsid w:val="008F065B"/>
    <w:rsid w:val="008F06FD"/>
    <w:rsid w:val="008F085F"/>
    <w:rsid w:val="008F09BC"/>
    <w:rsid w:val="008F09D1"/>
    <w:rsid w:val="008F0AB3"/>
    <w:rsid w:val="008F0C1F"/>
    <w:rsid w:val="008F0CF5"/>
    <w:rsid w:val="008F0F18"/>
    <w:rsid w:val="008F103C"/>
    <w:rsid w:val="008F12C6"/>
    <w:rsid w:val="008F1346"/>
    <w:rsid w:val="008F1392"/>
    <w:rsid w:val="008F1522"/>
    <w:rsid w:val="008F16A4"/>
    <w:rsid w:val="008F1874"/>
    <w:rsid w:val="008F1D02"/>
    <w:rsid w:val="008F1D0F"/>
    <w:rsid w:val="008F1D2B"/>
    <w:rsid w:val="008F1D86"/>
    <w:rsid w:val="008F1E6E"/>
    <w:rsid w:val="008F1EDB"/>
    <w:rsid w:val="008F1F38"/>
    <w:rsid w:val="008F20A6"/>
    <w:rsid w:val="008F243B"/>
    <w:rsid w:val="008F24BC"/>
    <w:rsid w:val="008F25F9"/>
    <w:rsid w:val="008F2696"/>
    <w:rsid w:val="008F2744"/>
    <w:rsid w:val="008F2828"/>
    <w:rsid w:val="008F28EB"/>
    <w:rsid w:val="008F2987"/>
    <w:rsid w:val="008F29BA"/>
    <w:rsid w:val="008F2A93"/>
    <w:rsid w:val="008F2D7B"/>
    <w:rsid w:val="008F2F37"/>
    <w:rsid w:val="008F2F3F"/>
    <w:rsid w:val="008F30B8"/>
    <w:rsid w:val="008F30C7"/>
    <w:rsid w:val="008F31A7"/>
    <w:rsid w:val="008F32C8"/>
    <w:rsid w:val="008F32F5"/>
    <w:rsid w:val="008F3304"/>
    <w:rsid w:val="008F3360"/>
    <w:rsid w:val="008F34DB"/>
    <w:rsid w:val="008F357F"/>
    <w:rsid w:val="008F369B"/>
    <w:rsid w:val="008F38C8"/>
    <w:rsid w:val="008F3BFA"/>
    <w:rsid w:val="008F3CDA"/>
    <w:rsid w:val="008F3DC9"/>
    <w:rsid w:val="008F3EFB"/>
    <w:rsid w:val="008F40F8"/>
    <w:rsid w:val="008F410D"/>
    <w:rsid w:val="008F419C"/>
    <w:rsid w:val="008F4370"/>
    <w:rsid w:val="008F4410"/>
    <w:rsid w:val="008F44DD"/>
    <w:rsid w:val="008F44E4"/>
    <w:rsid w:val="008F4530"/>
    <w:rsid w:val="008F46F6"/>
    <w:rsid w:val="008F46FC"/>
    <w:rsid w:val="008F47EF"/>
    <w:rsid w:val="008F49C9"/>
    <w:rsid w:val="008F4BC6"/>
    <w:rsid w:val="008F4BFD"/>
    <w:rsid w:val="008F4C69"/>
    <w:rsid w:val="008F4E51"/>
    <w:rsid w:val="008F4ECA"/>
    <w:rsid w:val="008F4F5D"/>
    <w:rsid w:val="008F50FF"/>
    <w:rsid w:val="008F51BF"/>
    <w:rsid w:val="008F538A"/>
    <w:rsid w:val="008F54FA"/>
    <w:rsid w:val="008F558C"/>
    <w:rsid w:val="008F56F9"/>
    <w:rsid w:val="008F590D"/>
    <w:rsid w:val="008F5B70"/>
    <w:rsid w:val="008F5BB9"/>
    <w:rsid w:val="008F5C69"/>
    <w:rsid w:val="008F5FF3"/>
    <w:rsid w:val="008F604C"/>
    <w:rsid w:val="008F618A"/>
    <w:rsid w:val="008F618B"/>
    <w:rsid w:val="008F630A"/>
    <w:rsid w:val="008F6321"/>
    <w:rsid w:val="008F63CC"/>
    <w:rsid w:val="008F647A"/>
    <w:rsid w:val="008F6664"/>
    <w:rsid w:val="008F66AF"/>
    <w:rsid w:val="008F66F6"/>
    <w:rsid w:val="008F698C"/>
    <w:rsid w:val="008F6AF9"/>
    <w:rsid w:val="008F6B5A"/>
    <w:rsid w:val="008F6C43"/>
    <w:rsid w:val="008F6D24"/>
    <w:rsid w:val="008F6D8D"/>
    <w:rsid w:val="008F6DCA"/>
    <w:rsid w:val="008F6DEF"/>
    <w:rsid w:val="008F6E34"/>
    <w:rsid w:val="008F6EFE"/>
    <w:rsid w:val="008F6F15"/>
    <w:rsid w:val="008F6F20"/>
    <w:rsid w:val="008F7017"/>
    <w:rsid w:val="008F71D8"/>
    <w:rsid w:val="008F72E4"/>
    <w:rsid w:val="008F7386"/>
    <w:rsid w:val="008F74BD"/>
    <w:rsid w:val="008F75EE"/>
    <w:rsid w:val="008F77DA"/>
    <w:rsid w:val="008F77FD"/>
    <w:rsid w:val="008F7896"/>
    <w:rsid w:val="008F7BEC"/>
    <w:rsid w:val="008F7DB6"/>
    <w:rsid w:val="008F7DFD"/>
    <w:rsid w:val="008F7FDD"/>
    <w:rsid w:val="00900017"/>
    <w:rsid w:val="009000BB"/>
    <w:rsid w:val="00900101"/>
    <w:rsid w:val="0090013C"/>
    <w:rsid w:val="0090015A"/>
    <w:rsid w:val="0090019A"/>
    <w:rsid w:val="009003E6"/>
    <w:rsid w:val="0090055E"/>
    <w:rsid w:val="009005C1"/>
    <w:rsid w:val="0090076B"/>
    <w:rsid w:val="009007FB"/>
    <w:rsid w:val="00900819"/>
    <w:rsid w:val="00900A06"/>
    <w:rsid w:val="00900DF5"/>
    <w:rsid w:val="00900E8F"/>
    <w:rsid w:val="00900F04"/>
    <w:rsid w:val="00900FDF"/>
    <w:rsid w:val="0090114C"/>
    <w:rsid w:val="0090129B"/>
    <w:rsid w:val="009013B1"/>
    <w:rsid w:val="009013E1"/>
    <w:rsid w:val="009014B6"/>
    <w:rsid w:val="0090159B"/>
    <w:rsid w:val="00901710"/>
    <w:rsid w:val="00901764"/>
    <w:rsid w:val="00901869"/>
    <w:rsid w:val="00901ABF"/>
    <w:rsid w:val="00901C6E"/>
    <w:rsid w:val="00901DCF"/>
    <w:rsid w:val="00901E42"/>
    <w:rsid w:val="00902092"/>
    <w:rsid w:val="009021AF"/>
    <w:rsid w:val="009022F7"/>
    <w:rsid w:val="0090245B"/>
    <w:rsid w:val="009024F6"/>
    <w:rsid w:val="009025B1"/>
    <w:rsid w:val="009027C4"/>
    <w:rsid w:val="00902961"/>
    <w:rsid w:val="00902A35"/>
    <w:rsid w:val="00902BE8"/>
    <w:rsid w:val="00902D5E"/>
    <w:rsid w:val="00902F36"/>
    <w:rsid w:val="00902F78"/>
    <w:rsid w:val="009030D9"/>
    <w:rsid w:val="0090313F"/>
    <w:rsid w:val="00903408"/>
    <w:rsid w:val="0090347B"/>
    <w:rsid w:val="0090360E"/>
    <w:rsid w:val="009037EA"/>
    <w:rsid w:val="009038F8"/>
    <w:rsid w:val="009038FE"/>
    <w:rsid w:val="00903AE5"/>
    <w:rsid w:val="00903BDF"/>
    <w:rsid w:val="00903C37"/>
    <w:rsid w:val="00903E9A"/>
    <w:rsid w:val="00903EF5"/>
    <w:rsid w:val="00903F3F"/>
    <w:rsid w:val="0090401C"/>
    <w:rsid w:val="0090408E"/>
    <w:rsid w:val="009042A3"/>
    <w:rsid w:val="009043B7"/>
    <w:rsid w:val="0090441A"/>
    <w:rsid w:val="0090457D"/>
    <w:rsid w:val="00904861"/>
    <w:rsid w:val="009049C4"/>
    <w:rsid w:val="00904C26"/>
    <w:rsid w:val="00904D73"/>
    <w:rsid w:val="00904E62"/>
    <w:rsid w:val="00904F2F"/>
    <w:rsid w:val="00904F65"/>
    <w:rsid w:val="0090503E"/>
    <w:rsid w:val="009051A3"/>
    <w:rsid w:val="009051FE"/>
    <w:rsid w:val="0090529B"/>
    <w:rsid w:val="009052BE"/>
    <w:rsid w:val="00905338"/>
    <w:rsid w:val="0090543C"/>
    <w:rsid w:val="009054B3"/>
    <w:rsid w:val="009057C1"/>
    <w:rsid w:val="0090584B"/>
    <w:rsid w:val="009058DF"/>
    <w:rsid w:val="00905CBD"/>
    <w:rsid w:val="00905D4E"/>
    <w:rsid w:val="00905DFD"/>
    <w:rsid w:val="00905E81"/>
    <w:rsid w:val="00905FEB"/>
    <w:rsid w:val="0090617A"/>
    <w:rsid w:val="00906185"/>
    <w:rsid w:val="0090625F"/>
    <w:rsid w:val="00906434"/>
    <w:rsid w:val="0090649C"/>
    <w:rsid w:val="00906509"/>
    <w:rsid w:val="0090652F"/>
    <w:rsid w:val="009066A9"/>
    <w:rsid w:val="009066BA"/>
    <w:rsid w:val="00906894"/>
    <w:rsid w:val="00907020"/>
    <w:rsid w:val="00907188"/>
    <w:rsid w:val="0090730F"/>
    <w:rsid w:val="009073CF"/>
    <w:rsid w:val="009073FD"/>
    <w:rsid w:val="009074B3"/>
    <w:rsid w:val="00907549"/>
    <w:rsid w:val="0090754D"/>
    <w:rsid w:val="00907686"/>
    <w:rsid w:val="0090782B"/>
    <w:rsid w:val="00907926"/>
    <w:rsid w:val="009079B1"/>
    <w:rsid w:val="00907AC8"/>
    <w:rsid w:val="00907B4F"/>
    <w:rsid w:val="00907B6E"/>
    <w:rsid w:val="00907B9B"/>
    <w:rsid w:val="00907D5E"/>
    <w:rsid w:val="00907DAB"/>
    <w:rsid w:val="00907F32"/>
    <w:rsid w:val="00907FAB"/>
    <w:rsid w:val="00907FFB"/>
    <w:rsid w:val="009100CD"/>
    <w:rsid w:val="00910103"/>
    <w:rsid w:val="0091023C"/>
    <w:rsid w:val="00910448"/>
    <w:rsid w:val="009108EC"/>
    <w:rsid w:val="0091093A"/>
    <w:rsid w:val="00910A7D"/>
    <w:rsid w:val="00910C5F"/>
    <w:rsid w:val="00910D11"/>
    <w:rsid w:val="00910D17"/>
    <w:rsid w:val="00910D45"/>
    <w:rsid w:val="00910F07"/>
    <w:rsid w:val="00910F45"/>
    <w:rsid w:val="00910F71"/>
    <w:rsid w:val="00911017"/>
    <w:rsid w:val="0091102A"/>
    <w:rsid w:val="00911089"/>
    <w:rsid w:val="0091116D"/>
    <w:rsid w:val="0091131D"/>
    <w:rsid w:val="00911344"/>
    <w:rsid w:val="0091142A"/>
    <w:rsid w:val="0091148C"/>
    <w:rsid w:val="009115CF"/>
    <w:rsid w:val="00911674"/>
    <w:rsid w:val="0091169C"/>
    <w:rsid w:val="009116DD"/>
    <w:rsid w:val="0091177A"/>
    <w:rsid w:val="009117E3"/>
    <w:rsid w:val="00911883"/>
    <w:rsid w:val="00911AC9"/>
    <w:rsid w:val="00911B40"/>
    <w:rsid w:val="00911B55"/>
    <w:rsid w:val="00911C42"/>
    <w:rsid w:val="00911D1D"/>
    <w:rsid w:val="00911E69"/>
    <w:rsid w:val="00912025"/>
    <w:rsid w:val="00912070"/>
    <w:rsid w:val="009120C0"/>
    <w:rsid w:val="009120EA"/>
    <w:rsid w:val="0091236C"/>
    <w:rsid w:val="009124F7"/>
    <w:rsid w:val="00912538"/>
    <w:rsid w:val="00912594"/>
    <w:rsid w:val="00912974"/>
    <w:rsid w:val="00912A7A"/>
    <w:rsid w:val="00912CEB"/>
    <w:rsid w:val="00912E86"/>
    <w:rsid w:val="00912F97"/>
    <w:rsid w:val="0091304A"/>
    <w:rsid w:val="009131B9"/>
    <w:rsid w:val="0091321F"/>
    <w:rsid w:val="009132C3"/>
    <w:rsid w:val="00913300"/>
    <w:rsid w:val="00913404"/>
    <w:rsid w:val="00913426"/>
    <w:rsid w:val="00913493"/>
    <w:rsid w:val="0091375E"/>
    <w:rsid w:val="00913B18"/>
    <w:rsid w:val="00913B5E"/>
    <w:rsid w:val="00913D08"/>
    <w:rsid w:val="00913D4D"/>
    <w:rsid w:val="00913E8A"/>
    <w:rsid w:val="00913E92"/>
    <w:rsid w:val="00913FA3"/>
    <w:rsid w:val="009142B0"/>
    <w:rsid w:val="00914408"/>
    <w:rsid w:val="009144F5"/>
    <w:rsid w:val="0091450A"/>
    <w:rsid w:val="009145CA"/>
    <w:rsid w:val="009145F6"/>
    <w:rsid w:val="0091467D"/>
    <w:rsid w:val="00914768"/>
    <w:rsid w:val="009147A2"/>
    <w:rsid w:val="009147B7"/>
    <w:rsid w:val="009147C8"/>
    <w:rsid w:val="0091481A"/>
    <w:rsid w:val="00914890"/>
    <w:rsid w:val="0091494F"/>
    <w:rsid w:val="00914A16"/>
    <w:rsid w:val="00914B1D"/>
    <w:rsid w:val="00914B71"/>
    <w:rsid w:val="00914CB4"/>
    <w:rsid w:val="00914E0F"/>
    <w:rsid w:val="00915005"/>
    <w:rsid w:val="00915447"/>
    <w:rsid w:val="009155D8"/>
    <w:rsid w:val="00915689"/>
    <w:rsid w:val="009158B9"/>
    <w:rsid w:val="009158CD"/>
    <w:rsid w:val="00915900"/>
    <w:rsid w:val="00915A01"/>
    <w:rsid w:val="00915A9C"/>
    <w:rsid w:val="00915B0C"/>
    <w:rsid w:val="00915BCB"/>
    <w:rsid w:val="00915BD6"/>
    <w:rsid w:val="00915CDA"/>
    <w:rsid w:val="00915E35"/>
    <w:rsid w:val="00916085"/>
    <w:rsid w:val="009160BD"/>
    <w:rsid w:val="0091625F"/>
    <w:rsid w:val="00916454"/>
    <w:rsid w:val="00916476"/>
    <w:rsid w:val="0091656A"/>
    <w:rsid w:val="00916853"/>
    <w:rsid w:val="00916863"/>
    <w:rsid w:val="009168DE"/>
    <w:rsid w:val="00916B4A"/>
    <w:rsid w:val="00916BC6"/>
    <w:rsid w:val="00916CA8"/>
    <w:rsid w:val="00916CE4"/>
    <w:rsid w:val="00916D52"/>
    <w:rsid w:val="00916F8F"/>
    <w:rsid w:val="0091733A"/>
    <w:rsid w:val="00917583"/>
    <w:rsid w:val="009179E4"/>
    <w:rsid w:val="00917B4A"/>
    <w:rsid w:val="00917B59"/>
    <w:rsid w:val="00917D9C"/>
    <w:rsid w:val="00917E2B"/>
    <w:rsid w:val="00917FE9"/>
    <w:rsid w:val="00920069"/>
    <w:rsid w:val="00920151"/>
    <w:rsid w:val="0092016D"/>
    <w:rsid w:val="009201C9"/>
    <w:rsid w:val="009205C1"/>
    <w:rsid w:val="009207A9"/>
    <w:rsid w:val="009207EC"/>
    <w:rsid w:val="0092086E"/>
    <w:rsid w:val="00920893"/>
    <w:rsid w:val="00920961"/>
    <w:rsid w:val="00920978"/>
    <w:rsid w:val="0092097D"/>
    <w:rsid w:val="00920A8B"/>
    <w:rsid w:val="00920D4C"/>
    <w:rsid w:val="00920E59"/>
    <w:rsid w:val="00920F62"/>
    <w:rsid w:val="00920FCD"/>
    <w:rsid w:val="009210F4"/>
    <w:rsid w:val="0092125D"/>
    <w:rsid w:val="00921365"/>
    <w:rsid w:val="00921372"/>
    <w:rsid w:val="00921378"/>
    <w:rsid w:val="009214D4"/>
    <w:rsid w:val="0092165B"/>
    <w:rsid w:val="00921715"/>
    <w:rsid w:val="00921775"/>
    <w:rsid w:val="00921829"/>
    <w:rsid w:val="009218DC"/>
    <w:rsid w:val="009219AD"/>
    <w:rsid w:val="00921AE1"/>
    <w:rsid w:val="00921D15"/>
    <w:rsid w:val="00921D7C"/>
    <w:rsid w:val="00921D88"/>
    <w:rsid w:val="00921E59"/>
    <w:rsid w:val="00922155"/>
    <w:rsid w:val="0092229F"/>
    <w:rsid w:val="009223CF"/>
    <w:rsid w:val="009228DB"/>
    <w:rsid w:val="00922954"/>
    <w:rsid w:val="00922AD4"/>
    <w:rsid w:val="00922EAA"/>
    <w:rsid w:val="00922EFF"/>
    <w:rsid w:val="00923023"/>
    <w:rsid w:val="009230B7"/>
    <w:rsid w:val="009230DA"/>
    <w:rsid w:val="009234FA"/>
    <w:rsid w:val="00923542"/>
    <w:rsid w:val="009236FA"/>
    <w:rsid w:val="0092374A"/>
    <w:rsid w:val="0092386A"/>
    <w:rsid w:val="0092396E"/>
    <w:rsid w:val="009239CA"/>
    <w:rsid w:val="00923A84"/>
    <w:rsid w:val="00923AAD"/>
    <w:rsid w:val="00923B12"/>
    <w:rsid w:val="00923CDE"/>
    <w:rsid w:val="00923D6A"/>
    <w:rsid w:val="00923E29"/>
    <w:rsid w:val="00923E2C"/>
    <w:rsid w:val="00923E4D"/>
    <w:rsid w:val="00923F9E"/>
    <w:rsid w:val="00923F9F"/>
    <w:rsid w:val="00924081"/>
    <w:rsid w:val="009241C3"/>
    <w:rsid w:val="00924295"/>
    <w:rsid w:val="009242DF"/>
    <w:rsid w:val="00924493"/>
    <w:rsid w:val="009244E5"/>
    <w:rsid w:val="009246D1"/>
    <w:rsid w:val="009247B4"/>
    <w:rsid w:val="009247FF"/>
    <w:rsid w:val="0092483A"/>
    <w:rsid w:val="009249F2"/>
    <w:rsid w:val="00924AEC"/>
    <w:rsid w:val="00924E6C"/>
    <w:rsid w:val="00924EAB"/>
    <w:rsid w:val="00924FAE"/>
    <w:rsid w:val="00924FD8"/>
    <w:rsid w:val="0092506C"/>
    <w:rsid w:val="009251FD"/>
    <w:rsid w:val="009252D2"/>
    <w:rsid w:val="00925396"/>
    <w:rsid w:val="009253DB"/>
    <w:rsid w:val="00925440"/>
    <w:rsid w:val="009255CD"/>
    <w:rsid w:val="009255FA"/>
    <w:rsid w:val="00925659"/>
    <w:rsid w:val="009257B5"/>
    <w:rsid w:val="00925AC5"/>
    <w:rsid w:val="00925BCC"/>
    <w:rsid w:val="00925D07"/>
    <w:rsid w:val="00925D40"/>
    <w:rsid w:val="00925D50"/>
    <w:rsid w:val="00925E3B"/>
    <w:rsid w:val="00925F21"/>
    <w:rsid w:val="00925F36"/>
    <w:rsid w:val="00925FFD"/>
    <w:rsid w:val="009261DA"/>
    <w:rsid w:val="0092620F"/>
    <w:rsid w:val="0092627C"/>
    <w:rsid w:val="00926355"/>
    <w:rsid w:val="00926588"/>
    <w:rsid w:val="0092659B"/>
    <w:rsid w:val="009265B9"/>
    <w:rsid w:val="009265E8"/>
    <w:rsid w:val="00926868"/>
    <w:rsid w:val="00926AF0"/>
    <w:rsid w:val="00926B2F"/>
    <w:rsid w:val="00926B69"/>
    <w:rsid w:val="00926C1C"/>
    <w:rsid w:val="00926C9D"/>
    <w:rsid w:val="00926D87"/>
    <w:rsid w:val="00926DB9"/>
    <w:rsid w:val="0092702F"/>
    <w:rsid w:val="0092703C"/>
    <w:rsid w:val="00927044"/>
    <w:rsid w:val="0092708A"/>
    <w:rsid w:val="0092708D"/>
    <w:rsid w:val="009270EF"/>
    <w:rsid w:val="009272CC"/>
    <w:rsid w:val="00927438"/>
    <w:rsid w:val="0092748A"/>
    <w:rsid w:val="009274DF"/>
    <w:rsid w:val="0092751F"/>
    <w:rsid w:val="00927610"/>
    <w:rsid w:val="009276BE"/>
    <w:rsid w:val="00927862"/>
    <w:rsid w:val="00927890"/>
    <w:rsid w:val="00927DA0"/>
    <w:rsid w:val="00927EB5"/>
    <w:rsid w:val="00927F39"/>
    <w:rsid w:val="00930395"/>
    <w:rsid w:val="009303E4"/>
    <w:rsid w:val="0093040C"/>
    <w:rsid w:val="009304F4"/>
    <w:rsid w:val="00930533"/>
    <w:rsid w:val="009306C7"/>
    <w:rsid w:val="009308CC"/>
    <w:rsid w:val="00930A3E"/>
    <w:rsid w:val="00930B28"/>
    <w:rsid w:val="00930C8E"/>
    <w:rsid w:val="00930F5D"/>
    <w:rsid w:val="00931002"/>
    <w:rsid w:val="00931020"/>
    <w:rsid w:val="00931382"/>
    <w:rsid w:val="00931394"/>
    <w:rsid w:val="00931412"/>
    <w:rsid w:val="009314B3"/>
    <w:rsid w:val="009314F4"/>
    <w:rsid w:val="00931661"/>
    <w:rsid w:val="009316A6"/>
    <w:rsid w:val="00931807"/>
    <w:rsid w:val="009318AF"/>
    <w:rsid w:val="009318C9"/>
    <w:rsid w:val="009318F5"/>
    <w:rsid w:val="00931B3A"/>
    <w:rsid w:val="00931B3C"/>
    <w:rsid w:val="00931CE0"/>
    <w:rsid w:val="00931D92"/>
    <w:rsid w:val="00931E34"/>
    <w:rsid w:val="00931F57"/>
    <w:rsid w:val="009320AD"/>
    <w:rsid w:val="00932159"/>
    <w:rsid w:val="00932210"/>
    <w:rsid w:val="00932219"/>
    <w:rsid w:val="00932267"/>
    <w:rsid w:val="009324C0"/>
    <w:rsid w:val="00932536"/>
    <w:rsid w:val="00932607"/>
    <w:rsid w:val="00932639"/>
    <w:rsid w:val="00932655"/>
    <w:rsid w:val="009327DC"/>
    <w:rsid w:val="0093280C"/>
    <w:rsid w:val="00932928"/>
    <w:rsid w:val="0093292D"/>
    <w:rsid w:val="00932A13"/>
    <w:rsid w:val="00932C87"/>
    <w:rsid w:val="00932E00"/>
    <w:rsid w:val="00932F62"/>
    <w:rsid w:val="009330AF"/>
    <w:rsid w:val="009330DE"/>
    <w:rsid w:val="009330F8"/>
    <w:rsid w:val="0093316F"/>
    <w:rsid w:val="009332D4"/>
    <w:rsid w:val="0093344C"/>
    <w:rsid w:val="009335C5"/>
    <w:rsid w:val="00933696"/>
    <w:rsid w:val="0093398D"/>
    <w:rsid w:val="00933994"/>
    <w:rsid w:val="00933C35"/>
    <w:rsid w:val="00933D33"/>
    <w:rsid w:val="00933EA0"/>
    <w:rsid w:val="00933ECB"/>
    <w:rsid w:val="00933F59"/>
    <w:rsid w:val="009340B3"/>
    <w:rsid w:val="00934152"/>
    <w:rsid w:val="00934580"/>
    <w:rsid w:val="009347A4"/>
    <w:rsid w:val="009347B0"/>
    <w:rsid w:val="0093491A"/>
    <w:rsid w:val="00934A0B"/>
    <w:rsid w:val="00934B14"/>
    <w:rsid w:val="00934BF7"/>
    <w:rsid w:val="00934DFF"/>
    <w:rsid w:val="00934E20"/>
    <w:rsid w:val="00934EA7"/>
    <w:rsid w:val="00934F9D"/>
    <w:rsid w:val="00935016"/>
    <w:rsid w:val="0093501F"/>
    <w:rsid w:val="009350E5"/>
    <w:rsid w:val="00935168"/>
    <w:rsid w:val="0093518B"/>
    <w:rsid w:val="009352C0"/>
    <w:rsid w:val="00935444"/>
    <w:rsid w:val="009357C8"/>
    <w:rsid w:val="009358ED"/>
    <w:rsid w:val="00935903"/>
    <w:rsid w:val="00935B79"/>
    <w:rsid w:val="00935B96"/>
    <w:rsid w:val="00935D7D"/>
    <w:rsid w:val="00935DAA"/>
    <w:rsid w:val="00936055"/>
    <w:rsid w:val="0093612F"/>
    <w:rsid w:val="00936190"/>
    <w:rsid w:val="0093631E"/>
    <w:rsid w:val="00936351"/>
    <w:rsid w:val="009365AD"/>
    <w:rsid w:val="009366AC"/>
    <w:rsid w:val="00936724"/>
    <w:rsid w:val="0093688C"/>
    <w:rsid w:val="00936AC4"/>
    <w:rsid w:val="00936B4D"/>
    <w:rsid w:val="00936F3D"/>
    <w:rsid w:val="00937061"/>
    <w:rsid w:val="00937099"/>
    <w:rsid w:val="009371EB"/>
    <w:rsid w:val="0093724F"/>
    <w:rsid w:val="009374AB"/>
    <w:rsid w:val="00937514"/>
    <w:rsid w:val="00937587"/>
    <w:rsid w:val="00937725"/>
    <w:rsid w:val="009377C5"/>
    <w:rsid w:val="00937884"/>
    <w:rsid w:val="00937B6E"/>
    <w:rsid w:val="00937C17"/>
    <w:rsid w:val="00937DC6"/>
    <w:rsid w:val="00937F36"/>
    <w:rsid w:val="00937F95"/>
    <w:rsid w:val="00937FE0"/>
    <w:rsid w:val="00940120"/>
    <w:rsid w:val="00940263"/>
    <w:rsid w:val="009402C5"/>
    <w:rsid w:val="00940359"/>
    <w:rsid w:val="0094046B"/>
    <w:rsid w:val="009404D2"/>
    <w:rsid w:val="0094050D"/>
    <w:rsid w:val="00940523"/>
    <w:rsid w:val="0094066E"/>
    <w:rsid w:val="00940742"/>
    <w:rsid w:val="00940970"/>
    <w:rsid w:val="00940AA5"/>
    <w:rsid w:val="00940B39"/>
    <w:rsid w:val="00940BDE"/>
    <w:rsid w:val="00940C3F"/>
    <w:rsid w:val="00940C8A"/>
    <w:rsid w:val="00940E7C"/>
    <w:rsid w:val="00940EF8"/>
    <w:rsid w:val="00940F73"/>
    <w:rsid w:val="00941036"/>
    <w:rsid w:val="009411C7"/>
    <w:rsid w:val="0094124B"/>
    <w:rsid w:val="00941325"/>
    <w:rsid w:val="00941415"/>
    <w:rsid w:val="0094145C"/>
    <w:rsid w:val="0094147A"/>
    <w:rsid w:val="00941587"/>
    <w:rsid w:val="009416E4"/>
    <w:rsid w:val="0094174C"/>
    <w:rsid w:val="009417B0"/>
    <w:rsid w:val="0094182B"/>
    <w:rsid w:val="009419A5"/>
    <w:rsid w:val="00941A6E"/>
    <w:rsid w:val="00941AE4"/>
    <w:rsid w:val="00941EC6"/>
    <w:rsid w:val="00942042"/>
    <w:rsid w:val="00942262"/>
    <w:rsid w:val="00942339"/>
    <w:rsid w:val="009423C3"/>
    <w:rsid w:val="00942682"/>
    <w:rsid w:val="0094282E"/>
    <w:rsid w:val="00942B14"/>
    <w:rsid w:val="00942C7B"/>
    <w:rsid w:val="00942D27"/>
    <w:rsid w:val="00942DE6"/>
    <w:rsid w:val="00942EE8"/>
    <w:rsid w:val="00943174"/>
    <w:rsid w:val="00943309"/>
    <w:rsid w:val="00943322"/>
    <w:rsid w:val="009435D9"/>
    <w:rsid w:val="00943B0E"/>
    <w:rsid w:val="00943B67"/>
    <w:rsid w:val="00943BBE"/>
    <w:rsid w:val="00943BDB"/>
    <w:rsid w:val="00943E81"/>
    <w:rsid w:val="00943E9E"/>
    <w:rsid w:val="009441BF"/>
    <w:rsid w:val="00944220"/>
    <w:rsid w:val="00944306"/>
    <w:rsid w:val="00944439"/>
    <w:rsid w:val="00944508"/>
    <w:rsid w:val="0094466A"/>
    <w:rsid w:val="009446E9"/>
    <w:rsid w:val="00944700"/>
    <w:rsid w:val="009447B8"/>
    <w:rsid w:val="00944877"/>
    <w:rsid w:val="00944885"/>
    <w:rsid w:val="00944926"/>
    <w:rsid w:val="009449F9"/>
    <w:rsid w:val="00944AB4"/>
    <w:rsid w:val="00944B03"/>
    <w:rsid w:val="00944B2D"/>
    <w:rsid w:val="00944B98"/>
    <w:rsid w:val="00944C18"/>
    <w:rsid w:val="00944D6B"/>
    <w:rsid w:val="00944DEF"/>
    <w:rsid w:val="00944E3C"/>
    <w:rsid w:val="00945077"/>
    <w:rsid w:val="00945196"/>
    <w:rsid w:val="009451C6"/>
    <w:rsid w:val="0094561B"/>
    <w:rsid w:val="00945812"/>
    <w:rsid w:val="0094582C"/>
    <w:rsid w:val="00945918"/>
    <w:rsid w:val="00945A27"/>
    <w:rsid w:val="00945AAC"/>
    <w:rsid w:val="00945C4E"/>
    <w:rsid w:val="00945E90"/>
    <w:rsid w:val="00945FCB"/>
    <w:rsid w:val="0094607A"/>
    <w:rsid w:val="0094609A"/>
    <w:rsid w:val="009461A8"/>
    <w:rsid w:val="009461DA"/>
    <w:rsid w:val="0094634F"/>
    <w:rsid w:val="00946596"/>
    <w:rsid w:val="009467DD"/>
    <w:rsid w:val="00946AA9"/>
    <w:rsid w:val="00946B7E"/>
    <w:rsid w:val="00946C5F"/>
    <w:rsid w:val="00946D76"/>
    <w:rsid w:val="00946E49"/>
    <w:rsid w:val="00946EA9"/>
    <w:rsid w:val="00947080"/>
    <w:rsid w:val="00947125"/>
    <w:rsid w:val="00947205"/>
    <w:rsid w:val="0094746C"/>
    <w:rsid w:val="009476CB"/>
    <w:rsid w:val="0094777F"/>
    <w:rsid w:val="009477BC"/>
    <w:rsid w:val="009477DA"/>
    <w:rsid w:val="00947848"/>
    <w:rsid w:val="009478BA"/>
    <w:rsid w:val="009479D2"/>
    <w:rsid w:val="009479DB"/>
    <w:rsid w:val="00947A89"/>
    <w:rsid w:val="00947C87"/>
    <w:rsid w:val="00947CC2"/>
    <w:rsid w:val="00947CF9"/>
    <w:rsid w:val="00947D2E"/>
    <w:rsid w:val="00947DB7"/>
    <w:rsid w:val="00947E46"/>
    <w:rsid w:val="00947E72"/>
    <w:rsid w:val="00947F7E"/>
    <w:rsid w:val="00947FA4"/>
    <w:rsid w:val="009500B9"/>
    <w:rsid w:val="00950112"/>
    <w:rsid w:val="0095012D"/>
    <w:rsid w:val="009501E9"/>
    <w:rsid w:val="0095022A"/>
    <w:rsid w:val="00950359"/>
    <w:rsid w:val="009503E0"/>
    <w:rsid w:val="00950514"/>
    <w:rsid w:val="0095073D"/>
    <w:rsid w:val="00950921"/>
    <w:rsid w:val="0095097C"/>
    <w:rsid w:val="00950ABE"/>
    <w:rsid w:val="00950AEC"/>
    <w:rsid w:val="00950B94"/>
    <w:rsid w:val="00950BD6"/>
    <w:rsid w:val="00950D32"/>
    <w:rsid w:val="00950E1E"/>
    <w:rsid w:val="00951102"/>
    <w:rsid w:val="00951126"/>
    <w:rsid w:val="00951260"/>
    <w:rsid w:val="009512E2"/>
    <w:rsid w:val="00951341"/>
    <w:rsid w:val="009513A7"/>
    <w:rsid w:val="009514F0"/>
    <w:rsid w:val="00951605"/>
    <w:rsid w:val="009517D4"/>
    <w:rsid w:val="00951918"/>
    <w:rsid w:val="00951988"/>
    <w:rsid w:val="00951B07"/>
    <w:rsid w:val="00951E30"/>
    <w:rsid w:val="00951F0D"/>
    <w:rsid w:val="00952039"/>
    <w:rsid w:val="0095239F"/>
    <w:rsid w:val="009523A3"/>
    <w:rsid w:val="009523C8"/>
    <w:rsid w:val="009526CF"/>
    <w:rsid w:val="00952758"/>
    <w:rsid w:val="0095283C"/>
    <w:rsid w:val="009529B8"/>
    <w:rsid w:val="00952CDC"/>
    <w:rsid w:val="00952D1F"/>
    <w:rsid w:val="00952F3C"/>
    <w:rsid w:val="00952F3D"/>
    <w:rsid w:val="00952F70"/>
    <w:rsid w:val="00952FB2"/>
    <w:rsid w:val="0095300D"/>
    <w:rsid w:val="00953103"/>
    <w:rsid w:val="0095337B"/>
    <w:rsid w:val="009534B5"/>
    <w:rsid w:val="009535F4"/>
    <w:rsid w:val="00953632"/>
    <w:rsid w:val="00953983"/>
    <w:rsid w:val="009539C3"/>
    <w:rsid w:val="00953A5D"/>
    <w:rsid w:val="00953DA1"/>
    <w:rsid w:val="00953DF6"/>
    <w:rsid w:val="00953EB8"/>
    <w:rsid w:val="00953FD7"/>
    <w:rsid w:val="0095402F"/>
    <w:rsid w:val="0095408E"/>
    <w:rsid w:val="0095417B"/>
    <w:rsid w:val="00954188"/>
    <w:rsid w:val="009542FA"/>
    <w:rsid w:val="0095449C"/>
    <w:rsid w:val="00954643"/>
    <w:rsid w:val="0095475B"/>
    <w:rsid w:val="009547F6"/>
    <w:rsid w:val="009548C3"/>
    <w:rsid w:val="009548D7"/>
    <w:rsid w:val="00954B4E"/>
    <w:rsid w:val="00954CCC"/>
    <w:rsid w:val="00954DEB"/>
    <w:rsid w:val="00954EA8"/>
    <w:rsid w:val="00954FC3"/>
    <w:rsid w:val="00955056"/>
    <w:rsid w:val="00955251"/>
    <w:rsid w:val="00955281"/>
    <w:rsid w:val="009553B8"/>
    <w:rsid w:val="00955407"/>
    <w:rsid w:val="0095546D"/>
    <w:rsid w:val="0095557C"/>
    <w:rsid w:val="009555FF"/>
    <w:rsid w:val="00955707"/>
    <w:rsid w:val="0095577E"/>
    <w:rsid w:val="0095579E"/>
    <w:rsid w:val="00955957"/>
    <w:rsid w:val="009559FA"/>
    <w:rsid w:val="00955A9B"/>
    <w:rsid w:val="00955C62"/>
    <w:rsid w:val="00955D47"/>
    <w:rsid w:val="00955FC5"/>
    <w:rsid w:val="009560FA"/>
    <w:rsid w:val="00956287"/>
    <w:rsid w:val="009562A4"/>
    <w:rsid w:val="00956381"/>
    <w:rsid w:val="00956496"/>
    <w:rsid w:val="0095659A"/>
    <w:rsid w:val="009565CD"/>
    <w:rsid w:val="009565DB"/>
    <w:rsid w:val="00956621"/>
    <w:rsid w:val="009566FA"/>
    <w:rsid w:val="009567E3"/>
    <w:rsid w:val="00956812"/>
    <w:rsid w:val="009568D1"/>
    <w:rsid w:val="00956906"/>
    <w:rsid w:val="00956997"/>
    <w:rsid w:val="00956A09"/>
    <w:rsid w:val="00956BBE"/>
    <w:rsid w:val="00956C9D"/>
    <w:rsid w:val="00956CD9"/>
    <w:rsid w:val="00956DAC"/>
    <w:rsid w:val="00956DDE"/>
    <w:rsid w:val="00956DE5"/>
    <w:rsid w:val="00956FB5"/>
    <w:rsid w:val="0095726E"/>
    <w:rsid w:val="009575AD"/>
    <w:rsid w:val="0095760F"/>
    <w:rsid w:val="0095766A"/>
    <w:rsid w:val="00957820"/>
    <w:rsid w:val="009579F9"/>
    <w:rsid w:val="009600FB"/>
    <w:rsid w:val="00960128"/>
    <w:rsid w:val="0096021A"/>
    <w:rsid w:val="0096022A"/>
    <w:rsid w:val="00960317"/>
    <w:rsid w:val="0096050F"/>
    <w:rsid w:val="009605E7"/>
    <w:rsid w:val="009605FB"/>
    <w:rsid w:val="0096065B"/>
    <w:rsid w:val="00960673"/>
    <w:rsid w:val="00960696"/>
    <w:rsid w:val="009607D6"/>
    <w:rsid w:val="009607DC"/>
    <w:rsid w:val="009607FB"/>
    <w:rsid w:val="00960873"/>
    <w:rsid w:val="009608E5"/>
    <w:rsid w:val="00960DDA"/>
    <w:rsid w:val="00960E2F"/>
    <w:rsid w:val="00960F4B"/>
    <w:rsid w:val="00960FD2"/>
    <w:rsid w:val="009611B5"/>
    <w:rsid w:val="00961237"/>
    <w:rsid w:val="009612A5"/>
    <w:rsid w:val="009612E5"/>
    <w:rsid w:val="00961308"/>
    <w:rsid w:val="00961336"/>
    <w:rsid w:val="009615AC"/>
    <w:rsid w:val="009616D8"/>
    <w:rsid w:val="009616D9"/>
    <w:rsid w:val="00961A51"/>
    <w:rsid w:val="00961AA2"/>
    <w:rsid w:val="00961B37"/>
    <w:rsid w:val="00961BD5"/>
    <w:rsid w:val="00961DDA"/>
    <w:rsid w:val="00961E61"/>
    <w:rsid w:val="00961EA0"/>
    <w:rsid w:val="00961EB6"/>
    <w:rsid w:val="00961EC5"/>
    <w:rsid w:val="00962147"/>
    <w:rsid w:val="009622F2"/>
    <w:rsid w:val="009623D4"/>
    <w:rsid w:val="0096245B"/>
    <w:rsid w:val="009624A0"/>
    <w:rsid w:val="009625F8"/>
    <w:rsid w:val="00962631"/>
    <w:rsid w:val="00962812"/>
    <w:rsid w:val="0096289E"/>
    <w:rsid w:val="00962919"/>
    <w:rsid w:val="00962AA7"/>
    <w:rsid w:val="00962BC3"/>
    <w:rsid w:val="00962CAD"/>
    <w:rsid w:val="00962CB1"/>
    <w:rsid w:val="00962CDE"/>
    <w:rsid w:val="00962CE1"/>
    <w:rsid w:val="00962E85"/>
    <w:rsid w:val="00962FAF"/>
    <w:rsid w:val="00962FEA"/>
    <w:rsid w:val="0096328C"/>
    <w:rsid w:val="00963295"/>
    <w:rsid w:val="009637E9"/>
    <w:rsid w:val="009638CA"/>
    <w:rsid w:val="009639C9"/>
    <w:rsid w:val="00963C8B"/>
    <w:rsid w:val="009640D2"/>
    <w:rsid w:val="0096444A"/>
    <w:rsid w:val="00964518"/>
    <w:rsid w:val="00964560"/>
    <w:rsid w:val="00964807"/>
    <w:rsid w:val="009649BC"/>
    <w:rsid w:val="00964A4D"/>
    <w:rsid w:val="00964C8A"/>
    <w:rsid w:val="00964CEE"/>
    <w:rsid w:val="00964D92"/>
    <w:rsid w:val="00964DA6"/>
    <w:rsid w:val="00964E16"/>
    <w:rsid w:val="00964E1A"/>
    <w:rsid w:val="00964F23"/>
    <w:rsid w:val="00965183"/>
    <w:rsid w:val="0096527A"/>
    <w:rsid w:val="009652F4"/>
    <w:rsid w:val="00965337"/>
    <w:rsid w:val="00965408"/>
    <w:rsid w:val="0096549C"/>
    <w:rsid w:val="0096550C"/>
    <w:rsid w:val="00965A11"/>
    <w:rsid w:val="00965A75"/>
    <w:rsid w:val="00965A91"/>
    <w:rsid w:val="00965B5A"/>
    <w:rsid w:val="00965B6F"/>
    <w:rsid w:val="00965CAB"/>
    <w:rsid w:val="00965EC2"/>
    <w:rsid w:val="00965EDF"/>
    <w:rsid w:val="009660DB"/>
    <w:rsid w:val="0096611C"/>
    <w:rsid w:val="00966315"/>
    <w:rsid w:val="00966418"/>
    <w:rsid w:val="0096646A"/>
    <w:rsid w:val="009665D9"/>
    <w:rsid w:val="00966660"/>
    <w:rsid w:val="0096678D"/>
    <w:rsid w:val="0096697C"/>
    <w:rsid w:val="009669C8"/>
    <w:rsid w:val="009669E4"/>
    <w:rsid w:val="00966F30"/>
    <w:rsid w:val="00967063"/>
    <w:rsid w:val="0096713F"/>
    <w:rsid w:val="0096719B"/>
    <w:rsid w:val="009672EF"/>
    <w:rsid w:val="0096741B"/>
    <w:rsid w:val="0096756C"/>
    <w:rsid w:val="009675B7"/>
    <w:rsid w:val="00967638"/>
    <w:rsid w:val="0096773B"/>
    <w:rsid w:val="00967746"/>
    <w:rsid w:val="009679C4"/>
    <w:rsid w:val="00967AA3"/>
    <w:rsid w:val="00967AAE"/>
    <w:rsid w:val="00967AC4"/>
    <w:rsid w:val="00967B47"/>
    <w:rsid w:val="00967BED"/>
    <w:rsid w:val="00967D39"/>
    <w:rsid w:val="00967D87"/>
    <w:rsid w:val="00967E11"/>
    <w:rsid w:val="00967EC9"/>
    <w:rsid w:val="00970052"/>
    <w:rsid w:val="00970163"/>
    <w:rsid w:val="0097016D"/>
    <w:rsid w:val="009701F9"/>
    <w:rsid w:val="00970221"/>
    <w:rsid w:val="00970256"/>
    <w:rsid w:val="00970313"/>
    <w:rsid w:val="00970390"/>
    <w:rsid w:val="009703BB"/>
    <w:rsid w:val="00970486"/>
    <w:rsid w:val="00970520"/>
    <w:rsid w:val="00970744"/>
    <w:rsid w:val="0097075E"/>
    <w:rsid w:val="00970854"/>
    <w:rsid w:val="009708C9"/>
    <w:rsid w:val="00970948"/>
    <w:rsid w:val="00970A32"/>
    <w:rsid w:val="00970B06"/>
    <w:rsid w:val="00970C5E"/>
    <w:rsid w:val="00970D92"/>
    <w:rsid w:val="00970DA1"/>
    <w:rsid w:val="00970E17"/>
    <w:rsid w:val="00970EBD"/>
    <w:rsid w:val="00971274"/>
    <w:rsid w:val="0097137B"/>
    <w:rsid w:val="00971497"/>
    <w:rsid w:val="009715BC"/>
    <w:rsid w:val="0097160C"/>
    <w:rsid w:val="0097176C"/>
    <w:rsid w:val="009717AB"/>
    <w:rsid w:val="00971825"/>
    <w:rsid w:val="0097198A"/>
    <w:rsid w:val="009719F9"/>
    <w:rsid w:val="00971A63"/>
    <w:rsid w:val="00971B44"/>
    <w:rsid w:val="00971BDF"/>
    <w:rsid w:val="00971DAD"/>
    <w:rsid w:val="00971E9A"/>
    <w:rsid w:val="00971EE1"/>
    <w:rsid w:val="00971F0B"/>
    <w:rsid w:val="00971F30"/>
    <w:rsid w:val="00971F3E"/>
    <w:rsid w:val="00971FCB"/>
    <w:rsid w:val="0097203D"/>
    <w:rsid w:val="0097206D"/>
    <w:rsid w:val="009720EF"/>
    <w:rsid w:val="00972575"/>
    <w:rsid w:val="009725E3"/>
    <w:rsid w:val="00972618"/>
    <w:rsid w:val="0097278F"/>
    <w:rsid w:val="00972E56"/>
    <w:rsid w:val="00972EC5"/>
    <w:rsid w:val="00972FC5"/>
    <w:rsid w:val="00973065"/>
    <w:rsid w:val="009730BA"/>
    <w:rsid w:val="009731E4"/>
    <w:rsid w:val="009732AC"/>
    <w:rsid w:val="009732F0"/>
    <w:rsid w:val="009733A7"/>
    <w:rsid w:val="009733C4"/>
    <w:rsid w:val="0097344C"/>
    <w:rsid w:val="0097349A"/>
    <w:rsid w:val="009736CB"/>
    <w:rsid w:val="00973762"/>
    <w:rsid w:val="009737DE"/>
    <w:rsid w:val="0097385E"/>
    <w:rsid w:val="00973994"/>
    <w:rsid w:val="00973A1A"/>
    <w:rsid w:val="00973AB7"/>
    <w:rsid w:val="00973B0B"/>
    <w:rsid w:val="00973DEC"/>
    <w:rsid w:val="00973E91"/>
    <w:rsid w:val="009740C7"/>
    <w:rsid w:val="00974181"/>
    <w:rsid w:val="009741AB"/>
    <w:rsid w:val="0097423B"/>
    <w:rsid w:val="009743C3"/>
    <w:rsid w:val="009743E4"/>
    <w:rsid w:val="00974402"/>
    <w:rsid w:val="009744C2"/>
    <w:rsid w:val="0097458A"/>
    <w:rsid w:val="00974696"/>
    <w:rsid w:val="009748E9"/>
    <w:rsid w:val="009748FA"/>
    <w:rsid w:val="0097491A"/>
    <w:rsid w:val="00974CC3"/>
    <w:rsid w:val="00974CDB"/>
    <w:rsid w:val="00974E44"/>
    <w:rsid w:val="00974E5E"/>
    <w:rsid w:val="00974EE0"/>
    <w:rsid w:val="00974F6F"/>
    <w:rsid w:val="00975121"/>
    <w:rsid w:val="0097514B"/>
    <w:rsid w:val="00975232"/>
    <w:rsid w:val="00975243"/>
    <w:rsid w:val="0097535D"/>
    <w:rsid w:val="0097540F"/>
    <w:rsid w:val="0097542C"/>
    <w:rsid w:val="009754DA"/>
    <w:rsid w:val="00975577"/>
    <w:rsid w:val="009755B9"/>
    <w:rsid w:val="00975635"/>
    <w:rsid w:val="00975637"/>
    <w:rsid w:val="00975740"/>
    <w:rsid w:val="00975C78"/>
    <w:rsid w:val="00975C82"/>
    <w:rsid w:val="00975D2F"/>
    <w:rsid w:val="00975D3C"/>
    <w:rsid w:val="00975D72"/>
    <w:rsid w:val="00975EA4"/>
    <w:rsid w:val="00975EE9"/>
    <w:rsid w:val="00975F2C"/>
    <w:rsid w:val="00975F9E"/>
    <w:rsid w:val="00975FC7"/>
    <w:rsid w:val="00975FD5"/>
    <w:rsid w:val="009760A6"/>
    <w:rsid w:val="009763B7"/>
    <w:rsid w:val="009763C7"/>
    <w:rsid w:val="0097640A"/>
    <w:rsid w:val="0097645E"/>
    <w:rsid w:val="00976674"/>
    <w:rsid w:val="009766E5"/>
    <w:rsid w:val="0097679B"/>
    <w:rsid w:val="00976838"/>
    <w:rsid w:val="0097689B"/>
    <w:rsid w:val="00976921"/>
    <w:rsid w:val="00976951"/>
    <w:rsid w:val="00976ADD"/>
    <w:rsid w:val="00976B20"/>
    <w:rsid w:val="00976B68"/>
    <w:rsid w:val="00976BBB"/>
    <w:rsid w:val="00976BD6"/>
    <w:rsid w:val="00976C19"/>
    <w:rsid w:val="00976C1D"/>
    <w:rsid w:val="00976CDC"/>
    <w:rsid w:val="00976E44"/>
    <w:rsid w:val="0097702E"/>
    <w:rsid w:val="009770DE"/>
    <w:rsid w:val="00977186"/>
    <w:rsid w:val="009771A6"/>
    <w:rsid w:val="0097725B"/>
    <w:rsid w:val="009772A5"/>
    <w:rsid w:val="0097789D"/>
    <w:rsid w:val="009778E4"/>
    <w:rsid w:val="009779A3"/>
    <w:rsid w:val="009779CD"/>
    <w:rsid w:val="00977A73"/>
    <w:rsid w:val="00977F04"/>
    <w:rsid w:val="00977F24"/>
    <w:rsid w:val="00977F32"/>
    <w:rsid w:val="0098015A"/>
    <w:rsid w:val="00980331"/>
    <w:rsid w:val="0098036E"/>
    <w:rsid w:val="0098043B"/>
    <w:rsid w:val="009804F6"/>
    <w:rsid w:val="00980556"/>
    <w:rsid w:val="009805A5"/>
    <w:rsid w:val="009807B1"/>
    <w:rsid w:val="00980811"/>
    <w:rsid w:val="00980A0A"/>
    <w:rsid w:val="00980BF6"/>
    <w:rsid w:val="00980CDF"/>
    <w:rsid w:val="00980D0A"/>
    <w:rsid w:val="00980EBD"/>
    <w:rsid w:val="00980F12"/>
    <w:rsid w:val="00980FB0"/>
    <w:rsid w:val="0098128B"/>
    <w:rsid w:val="009815A3"/>
    <w:rsid w:val="00981683"/>
    <w:rsid w:val="00981797"/>
    <w:rsid w:val="0098189E"/>
    <w:rsid w:val="009819EE"/>
    <w:rsid w:val="009819F2"/>
    <w:rsid w:val="00981B5F"/>
    <w:rsid w:val="00981BED"/>
    <w:rsid w:val="00981EBF"/>
    <w:rsid w:val="00981F41"/>
    <w:rsid w:val="00981F87"/>
    <w:rsid w:val="00981FE1"/>
    <w:rsid w:val="00982252"/>
    <w:rsid w:val="0098265E"/>
    <w:rsid w:val="00982756"/>
    <w:rsid w:val="0098277C"/>
    <w:rsid w:val="00982782"/>
    <w:rsid w:val="009827D9"/>
    <w:rsid w:val="00982A2D"/>
    <w:rsid w:val="00982A8B"/>
    <w:rsid w:val="00982B76"/>
    <w:rsid w:val="00982C71"/>
    <w:rsid w:val="00982E02"/>
    <w:rsid w:val="00982E5A"/>
    <w:rsid w:val="00982F63"/>
    <w:rsid w:val="009830A7"/>
    <w:rsid w:val="009832BF"/>
    <w:rsid w:val="009832E0"/>
    <w:rsid w:val="00983370"/>
    <w:rsid w:val="00983375"/>
    <w:rsid w:val="009834AC"/>
    <w:rsid w:val="0098381C"/>
    <w:rsid w:val="0098387A"/>
    <w:rsid w:val="0098388A"/>
    <w:rsid w:val="00983A04"/>
    <w:rsid w:val="00983A56"/>
    <w:rsid w:val="00983AB4"/>
    <w:rsid w:val="00983B91"/>
    <w:rsid w:val="00983CA9"/>
    <w:rsid w:val="00983EB6"/>
    <w:rsid w:val="00983ED5"/>
    <w:rsid w:val="00983F69"/>
    <w:rsid w:val="00983F9E"/>
    <w:rsid w:val="00983FFB"/>
    <w:rsid w:val="00984076"/>
    <w:rsid w:val="00984110"/>
    <w:rsid w:val="00984121"/>
    <w:rsid w:val="0098416D"/>
    <w:rsid w:val="009841C6"/>
    <w:rsid w:val="009841E3"/>
    <w:rsid w:val="00984214"/>
    <w:rsid w:val="00984287"/>
    <w:rsid w:val="009842B0"/>
    <w:rsid w:val="0098435E"/>
    <w:rsid w:val="009844C2"/>
    <w:rsid w:val="00984673"/>
    <w:rsid w:val="009846DD"/>
    <w:rsid w:val="0098480E"/>
    <w:rsid w:val="009848B8"/>
    <w:rsid w:val="009848BB"/>
    <w:rsid w:val="00984986"/>
    <w:rsid w:val="00984B7E"/>
    <w:rsid w:val="00984E44"/>
    <w:rsid w:val="00984E54"/>
    <w:rsid w:val="00984ED9"/>
    <w:rsid w:val="00984FFE"/>
    <w:rsid w:val="009850FA"/>
    <w:rsid w:val="00985277"/>
    <w:rsid w:val="00985407"/>
    <w:rsid w:val="009854F3"/>
    <w:rsid w:val="009857E3"/>
    <w:rsid w:val="00985812"/>
    <w:rsid w:val="00985819"/>
    <w:rsid w:val="00985876"/>
    <w:rsid w:val="009859C2"/>
    <w:rsid w:val="00985A1E"/>
    <w:rsid w:val="00985A4D"/>
    <w:rsid w:val="00985A90"/>
    <w:rsid w:val="00985AA2"/>
    <w:rsid w:val="00985C13"/>
    <w:rsid w:val="00985CAE"/>
    <w:rsid w:val="00985D09"/>
    <w:rsid w:val="00985D8C"/>
    <w:rsid w:val="00985DED"/>
    <w:rsid w:val="00985EAB"/>
    <w:rsid w:val="00985F62"/>
    <w:rsid w:val="00986004"/>
    <w:rsid w:val="00986031"/>
    <w:rsid w:val="00986068"/>
    <w:rsid w:val="00986528"/>
    <w:rsid w:val="009865ED"/>
    <w:rsid w:val="0098679D"/>
    <w:rsid w:val="0098680F"/>
    <w:rsid w:val="00986863"/>
    <w:rsid w:val="00986B74"/>
    <w:rsid w:val="00986B9A"/>
    <w:rsid w:val="00986BA4"/>
    <w:rsid w:val="00986D24"/>
    <w:rsid w:val="00986D56"/>
    <w:rsid w:val="00986D66"/>
    <w:rsid w:val="00986D7B"/>
    <w:rsid w:val="00986D80"/>
    <w:rsid w:val="00986DEB"/>
    <w:rsid w:val="00986DF9"/>
    <w:rsid w:val="00986E0B"/>
    <w:rsid w:val="00986F6D"/>
    <w:rsid w:val="00987033"/>
    <w:rsid w:val="0098704F"/>
    <w:rsid w:val="009871DC"/>
    <w:rsid w:val="009872A1"/>
    <w:rsid w:val="00987429"/>
    <w:rsid w:val="009874A3"/>
    <w:rsid w:val="009874F7"/>
    <w:rsid w:val="009875A4"/>
    <w:rsid w:val="009875FE"/>
    <w:rsid w:val="0098761E"/>
    <w:rsid w:val="0098769D"/>
    <w:rsid w:val="009876C4"/>
    <w:rsid w:val="00987744"/>
    <w:rsid w:val="009878D2"/>
    <w:rsid w:val="00987A0B"/>
    <w:rsid w:val="00987B0E"/>
    <w:rsid w:val="00987D85"/>
    <w:rsid w:val="00987E9F"/>
    <w:rsid w:val="00990089"/>
    <w:rsid w:val="00990337"/>
    <w:rsid w:val="00990452"/>
    <w:rsid w:val="009904C8"/>
    <w:rsid w:val="009905A9"/>
    <w:rsid w:val="009908A5"/>
    <w:rsid w:val="00990A93"/>
    <w:rsid w:val="00990F1E"/>
    <w:rsid w:val="00990F9D"/>
    <w:rsid w:val="00990FF9"/>
    <w:rsid w:val="0099105D"/>
    <w:rsid w:val="009910EE"/>
    <w:rsid w:val="0099123D"/>
    <w:rsid w:val="0099127B"/>
    <w:rsid w:val="009912AC"/>
    <w:rsid w:val="00991301"/>
    <w:rsid w:val="00991380"/>
    <w:rsid w:val="009915B4"/>
    <w:rsid w:val="00991687"/>
    <w:rsid w:val="00991762"/>
    <w:rsid w:val="0099194F"/>
    <w:rsid w:val="009919BB"/>
    <w:rsid w:val="00991D8E"/>
    <w:rsid w:val="00991DF0"/>
    <w:rsid w:val="00992042"/>
    <w:rsid w:val="0099242F"/>
    <w:rsid w:val="009924A2"/>
    <w:rsid w:val="00992526"/>
    <w:rsid w:val="009926A1"/>
    <w:rsid w:val="009926C8"/>
    <w:rsid w:val="00992A6C"/>
    <w:rsid w:val="00992B67"/>
    <w:rsid w:val="00992CE0"/>
    <w:rsid w:val="00992E8A"/>
    <w:rsid w:val="00993028"/>
    <w:rsid w:val="00993059"/>
    <w:rsid w:val="00993067"/>
    <w:rsid w:val="009930AA"/>
    <w:rsid w:val="0099313E"/>
    <w:rsid w:val="00993279"/>
    <w:rsid w:val="00993366"/>
    <w:rsid w:val="00993743"/>
    <w:rsid w:val="00993787"/>
    <w:rsid w:val="009938B7"/>
    <w:rsid w:val="009939AE"/>
    <w:rsid w:val="00993B7D"/>
    <w:rsid w:val="00993D2A"/>
    <w:rsid w:val="00993EDB"/>
    <w:rsid w:val="0099403A"/>
    <w:rsid w:val="00994067"/>
    <w:rsid w:val="0099418B"/>
    <w:rsid w:val="009941DA"/>
    <w:rsid w:val="00994206"/>
    <w:rsid w:val="0099430C"/>
    <w:rsid w:val="0099434E"/>
    <w:rsid w:val="00994378"/>
    <w:rsid w:val="009943F3"/>
    <w:rsid w:val="009945B5"/>
    <w:rsid w:val="00994670"/>
    <w:rsid w:val="009946F2"/>
    <w:rsid w:val="009946F9"/>
    <w:rsid w:val="00994A19"/>
    <w:rsid w:val="00994AEB"/>
    <w:rsid w:val="00994AF8"/>
    <w:rsid w:val="00994C4E"/>
    <w:rsid w:val="00994F42"/>
    <w:rsid w:val="00995174"/>
    <w:rsid w:val="0099526C"/>
    <w:rsid w:val="009953EF"/>
    <w:rsid w:val="0099548D"/>
    <w:rsid w:val="0099577F"/>
    <w:rsid w:val="00995890"/>
    <w:rsid w:val="009959AB"/>
    <w:rsid w:val="00995A8D"/>
    <w:rsid w:val="00995B9C"/>
    <w:rsid w:val="00995C03"/>
    <w:rsid w:val="00995FDB"/>
    <w:rsid w:val="0099602A"/>
    <w:rsid w:val="0099603D"/>
    <w:rsid w:val="0099608F"/>
    <w:rsid w:val="009960EC"/>
    <w:rsid w:val="00996183"/>
    <w:rsid w:val="0099629A"/>
    <w:rsid w:val="0099636D"/>
    <w:rsid w:val="00996421"/>
    <w:rsid w:val="0099647A"/>
    <w:rsid w:val="00996559"/>
    <w:rsid w:val="009967EF"/>
    <w:rsid w:val="00996925"/>
    <w:rsid w:val="00996933"/>
    <w:rsid w:val="009969AB"/>
    <w:rsid w:val="00996E41"/>
    <w:rsid w:val="00996F66"/>
    <w:rsid w:val="009970F3"/>
    <w:rsid w:val="00997102"/>
    <w:rsid w:val="00997116"/>
    <w:rsid w:val="00997239"/>
    <w:rsid w:val="0099733D"/>
    <w:rsid w:val="009973CA"/>
    <w:rsid w:val="009974B2"/>
    <w:rsid w:val="00997564"/>
    <w:rsid w:val="009975E4"/>
    <w:rsid w:val="00997779"/>
    <w:rsid w:val="009978C2"/>
    <w:rsid w:val="009979BB"/>
    <w:rsid w:val="00997A13"/>
    <w:rsid w:val="00997CC7"/>
    <w:rsid w:val="00997E0C"/>
    <w:rsid w:val="009A0103"/>
    <w:rsid w:val="009A0104"/>
    <w:rsid w:val="009A0146"/>
    <w:rsid w:val="009A01B3"/>
    <w:rsid w:val="009A0284"/>
    <w:rsid w:val="009A04CC"/>
    <w:rsid w:val="009A04DE"/>
    <w:rsid w:val="009A04FF"/>
    <w:rsid w:val="009A05CC"/>
    <w:rsid w:val="009A068E"/>
    <w:rsid w:val="009A0735"/>
    <w:rsid w:val="009A0756"/>
    <w:rsid w:val="009A0786"/>
    <w:rsid w:val="009A0860"/>
    <w:rsid w:val="009A09F2"/>
    <w:rsid w:val="009A0AEC"/>
    <w:rsid w:val="009A0D2C"/>
    <w:rsid w:val="009A0E29"/>
    <w:rsid w:val="009A0F27"/>
    <w:rsid w:val="009A1046"/>
    <w:rsid w:val="009A117B"/>
    <w:rsid w:val="009A1282"/>
    <w:rsid w:val="009A136B"/>
    <w:rsid w:val="009A15D2"/>
    <w:rsid w:val="009A1697"/>
    <w:rsid w:val="009A1724"/>
    <w:rsid w:val="009A1975"/>
    <w:rsid w:val="009A1A8D"/>
    <w:rsid w:val="009A1B0C"/>
    <w:rsid w:val="009A1D63"/>
    <w:rsid w:val="009A1FDB"/>
    <w:rsid w:val="009A2201"/>
    <w:rsid w:val="009A2309"/>
    <w:rsid w:val="009A2440"/>
    <w:rsid w:val="009A27E8"/>
    <w:rsid w:val="009A28D1"/>
    <w:rsid w:val="009A2A2B"/>
    <w:rsid w:val="009A2A85"/>
    <w:rsid w:val="009A2B4A"/>
    <w:rsid w:val="009A2B67"/>
    <w:rsid w:val="009A2BCD"/>
    <w:rsid w:val="009A2BDE"/>
    <w:rsid w:val="009A2C43"/>
    <w:rsid w:val="009A2CC3"/>
    <w:rsid w:val="009A2EBC"/>
    <w:rsid w:val="009A2FBC"/>
    <w:rsid w:val="009A300F"/>
    <w:rsid w:val="009A3169"/>
    <w:rsid w:val="009A3201"/>
    <w:rsid w:val="009A3331"/>
    <w:rsid w:val="009A3421"/>
    <w:rsid w:val="009A35A4"/>
    <w:rsid w:val="009A35D2"/>
    <w:rsid w:val="009A36DF"/>
    <w:rsid w:val="009A38D3"/>
    <w:rsid w:val="009A393B"/>
    <w:rsid w:val="009A3A6C"/>
    <w:rsid w:val="009A3C18"/>
    <w:rsid w:val="009A3C89"/>
    <w:rsid w:val="009A3CA2"/>
    <w:rsid w:val="009A3D77"/>
    <w:rsid w:val="009A3D7E"/>
    <w:rsid w:val="009A3DD5"/>
    <w:rsid w:val="009A3DF1"/>
    <w:rsid w:val="009A3EA0"/>
    <w:rsid w:val="009A3EEB"/>
    <w:rsid w:val="009A3F5D"/>
    <w:rsid w:val="009A40C1"/>
    <w:rsid w:val="009A418D"/>
    <w:rsid w:val="009A41C0"/>
    <w:rsid w:val="009A4257"/>
    <w:rsid w:val="009A430E"/>
    <w:rsid w:val="009A436F"/>
    <w:rsid w:val="009A44BF"/>
    <w:rsid w:val="009A450F"/>
    <w:rsid w:val="009A4690"/>
    <w:rsid w:val="009A46C9"/>
    <w:rsid w:val="009A4922"/>
    <w:rsid w:val="009A4B73"/>
    <w:rsid w:val="009A4F02"/>
    <w:rsid w:val="009A4FE5"/>
    <w:rsid w:val="009A50EB"/>
    <w:rsid w:val="009A5160"/>
    <w:rsid w:val="009A51C7"/>
    <w:rsid w:val="009A5258"/>
    <w:rsid w:val="009A52CE"/>
    <w:rsid w:val="009A5518"/>
    <w:rsid w:val="009A5777"/>
    <w:rsid w:val="009A5795"/>
    <w:rsid w:val="009A5887"/>
    <w:rsid w:val="009A589A"/>
    <w:rsid w:val="009A5904"/>
    <w:rsid w:val="009A599E"/>
    <w:rsid w:val="009A59DC"/>
    <w:rsid w:val="009A5C3D"/>
    <w:rsid w:val="009A5C79"/>
    <w:rsid w:val="009A5DC1"/>
    <w:rsid w:val="009A5DCE"/>
    <w:rsid w:val="009A5FE7"/>
    <w:rsid w:val="009A60A5"/>
    <w:rsid w:val="009A6104"/>
    <w:rsid w:val="009A63AA"/>
    <w:rsid w:val="009A64FE"/>
    <w:rsid w:val="009A6704"/>
    <w:rsid w:val="009A6781"/>
    <w:rsid w:val="009A682A"/>
    <w:rsid w:val="009A690A"/>
    <w:rsid w:val="009A6A1F"/>
    <w:rsid w:val="009A6B23"/>
    <w:rsid w:val="009A6B34"/>
    <w:rsid w:val="009A6C97"/>
    <w:rsid w:val="009A6D96"/>
    <w:rsid w:val="009A6DF1"/>
    <w:rsid w:val="009A6E47"/>
    <w:rsid w:val="009A6F0F"/>
    <w:rsid w:val="009A7093"/>
    <w:rsid w:val="009A71D2"/>
    <w:rsid w:val="009A71DB"/>
    <w:rsid w:val="009A71FA"/>
    <w:rsid w:val="009A7247"/>
    <w:rsid w:val="009A763A"/>
    <w:rsid w:val="009A767B"/>
    <w:rsid w:val="009A7948"/>
    <w:rsid w:val="009A799A"/>
    <w:rsid w:val="009A79AB"/>
    <w:rsid w:val="009A7B95"/>
    <w:rsid w:val="009A7BDD"/>
    <w:rsid w:val="009A7C0A"/>
    <w:rsid w:val="009A7EFE"/>
    <w:rsid w:val="009A7FF4"/>
    <w:rsid w:val="009B0104"/>
    <w:rsid w:val="009B0116"/>
    <w:rsid w:val="009B0300"/>
    <w:rsid w:val="009B04B4"/>
    <w:rsid w:val="009B0627"/>
    <w:rsid w:val="009B065E"/>
    <w:rsid w:val="009B0777"/>
    <w:rsid w:val="009B08CF"/>
    <w:rsid w:val="009B0A72"/>
    <w:rsid w:val="009B0ACC"/>
    <w:rsid w:val="009B0C13"/>
    <w:rsid w:val="009B0CAC"/>
    <w:rsid w:val="009B0CD1"/>
    <w:rsid w:val="009B0CE0"/>
    <w:rsid w:val="009B0F30"/>
    <w:rsid w:val="009B11C4"/>
    <w:rsid w:val="009B1295"/>
    <w:rsid w:val="009B12CB"/>
    <w:rsid w:val="009B1405"/>
    <w:rsid w:val="009B1500"/>
    <w:rsid w:val="009B16F7"/>
    <w:rsid w:val="009B1814"/>
    <w:rsid w:val="009B18BC"/>
    <w:rsid w:val="009B1C0F"/>
    <w:rsid w:val="009B1CB6"/>
    <w:rsid w:val="009B1CDB"/>
    <w:rsid w:val="009B1E39"/>
    <w:rsid w:val="009B1E73"/>
    <w:rsid w:val="009B205C"/>
    <w:rsid w:val="009B22B2"/>
    <w:rsid w:val="009B24DA"/>
    <w:rsid w:val="009B2577"/>
    <w:rsid w:val="009B25ED"/>
    <w:rsid w:val="009B275B"/>
    <w:rsid w:val="009B2840"/>
    <w:rsid w:val="009B295E"/>
    <w:rsid w:val="009B2A7B"/>
    <w:rsid w:val="009B2B24"/>
    <w:rsid w:val="009B2B34"/>
    <w:rsid w:val="009B2E3C"/>
    <w:rsid w:val="009B2E93"/>
    <w:rsid w:val="009B2FCB"/>
    <w:rsid w:val="009B3061"/>
    <w:rsid w:val="009B30BD"/>
    <w:rsid w:val="009B31A0"/>
    <w:rsid w:val="009B3201"/>
    <w:rsid w:val="009B331B"/>
    <w:rsid w:val="009B3380"/>
    <w:rsid w:val="009B33FB"/>
    <w:rsid w:val="009B36DA"/>
    <w:rsid w:val="009B3754"/>
    <w:rsid w:val="009B3A00"/>
    <w:rsid w:val="009B3A4C"/>
    <w:rsid w:val="009B3A61"/>
    <w:rsid w:val="009B3B38"/>
    <w:rsid w:val="009B3C58"/>
    <w:rsid w:val="009B3D18"/>
    <w:rsid w:val="009B3E03"/>
    <w:rsid w:val="009B3F91"/>
    <w:rsid w:val="009B3FAD"/>
    <w:rsid w:val="009B4010"/>
    <w:rsid w:val="009B4118"/>
    <w:rsid w:val="009B412A"/>
    <w:rsid w:val="009B4247"/>
    <w:rsid w:val="009B42E2"/>
    <w:rsid w:val="009B43A1"/>
    <w:rsid w:val="009B450E"/>
    <w:rsid w:val="009B465C"/>
    <w:rsid w:val="009B474C"/>
    <w:rsid w:val="009B477A"/>
    <w:rsid w:val="009B490D"/>
    <w:rsid w:val="009B4A56"/>
    <w:rsid w:val="009B4B0B"/>
    <w:rsid w:val="009B4B19"/>
    <w:rsid w:val="009B4BDF"/>
    <w:rsid w:val="009B4C87"/>
    <w:rsid w:val="009B4CA3"/>
    <w:rsid w:val="009B4D79"/>
    <w:rsid w:val="009B5104"/>
    <w:rsid w:val="009B514E"/>
    <w:rsid w:val="009B5328"/>
    <w:rsid w:val="009B5510"/>
    <w:rsid w:val="009B555F"/>
    <w:rsid w:val="009B5571"/>
    <w:rsid w:val="009B568A"/>
    <w:rsid w:val="009B5A21"/>
    <w:rsid w:val="009B5A27"/>
    <w:rsid w:val="009B5AA0"/>
    <w:rsid w:val="009B5D0F"/>
    <w:rsid w:val="009B5E9D"/>
    <w:rsid w:val="009B5EBC"/>
    <w:rsid w:val="009B5FD6"/>
    <w:rsid w:val="009B60CE"/>
    <w:rsid w:val="009B6176"/>
    <w:rsid w:val="009B6421"/>
    <w:rsid w:val="009B6575"/>
    <w:rsid w:val="009B6586"/>
    <w:rsid w:val="009B6662"/>
    <w:rsid w:val="009B67A9"/>
    <w:rsid w:val="009B67F3"/>
    <w:rsid w:val="009B68D8"/>
    <w:rsid w:val="009B69BB"/>
    <w:rsid w:val="009B6A6D"/>
    <w:rsid w:val="009B6B41"/>
    <w:rsid w:val="009B6B8A"/>
    <w:rsid w:val="009B6C99"/>
    <w:rsid w:val="009B6CAF"/>
    <w:rsid w:val="009B6D2F"/>
    <w:rsid w:val="009B6D64"/>
    <w:rsid w:val="009B6EF9"/>
    <w:rsid w:val="009B6F95"/>
    <w:rsid w:val="009B6FAD"/>
    <w:rsid w:val="009B708A"/>
    <w:rsid w:val="009B722E"/>
    <w:rsid w:val="009B725A"/>
    <w:rsid w:val="009B73E0"/>
    <w:rsid w:val="009B7659"/>
    <w:rsid w:val="009B7664"/>
    <w:rsid w:val="009B76A7"/>
    <w:rsid w:val="009B7733"/>
    <w:rsid w:val="009B77FD"/>
    <w:rsid w:val="009B7858"/>
    <w:rsid w:val="009B7970"/>
    <w:rsid w:val="009B7AB7"/>
    <w:rsid w:val="009B7B1B"/>
    <w:rsid w:val="009B7C4D"/>
    <w:rsid w:val="009B7C5B"/>
    <w:rsid w:val="009B7CFD"/>
    <w:rsid w:val="009B7DD4"/>
    <w:rsid w:val="009B7ECC"/>
    <w:rsid w:val="009B7F66"/>
    <w:rsid w:val="009B7FBF"/>
    <w:rsid w:val="009C0157"/>
    <w:rsid w:val="009C01A9"/>
    <w:rsid w:val="009C01F2"/>
    <w:rsid w:val="009C04B3"/>
    <w:rsid w:val="009C077F"/>
    <w:rsid w:val="009C0CF2"/>
    <w:rsid w:val="009C0DA1"/>
    <w:rsid w:val="009C0EC4"/>
    <w:rsid w:val="009C1176"/>
    <w:rsid w:val="009C1272"/>
    <w:rsid w:val="009C12E9"/>
    <w:rsid w:val="009C1324"/>
    <w:rsid w:val="009C13F6"/>
    <w:rsid w:val="009C1410"/>
    <w:rsid w:val="009C1540"/>
    <w:rsid w:val="009C17F2"/>
    <w:rsid w:val="009C193F"/>
    <w:rsid w:val="009C1A43"/>
    <w:rsid w:val="009C1D44"/>
    <w:rsid w:val="009C1DFF"/>
    <w:rsid w:val="009C20F0"/>
    <w:rsid w:val="009C212D"/>
    <w:rsid w:val="009C21D5"/>
    <w:rsid w:val="009C21DD"/>
    <w:rsid w:val="009C225C"/>
    <w:rsid w:val="009C23A2"/>
    <w:rsid w:val="009C2439"/>
    <w:rsid w:val="009C250C"/>
    <w:rsid w:val="009C2577"/>
    <w:rsid w:val="009C25F4"/>
    <w:rsid w:val="009C263E"/>
    <w:rsid w:val="009C2673"/>
    <w:rsid w:val="009C2729"/>
    <w:rsid w:val="009C278D"/>
    <w:rsid w:val="009C27E0"/>
    <w:rsid w:val="009C2B6D"/>
    <w:rsid w:val="009C2D0A"/>
    <w:rsid w:val="009C2D50"/>
    <w:rsid w:val="009C301F"/>
    <w:rsid w:val="009C30DC"/>
    <w:rsid w:val="009C30E2"/>
    <w:rsid w:val="009C3142"/>
    <w:rsid w:val="009C3170"/>
    <w:rsid w:val="009C328A"/>
    <w:rsid w:val="009C333F"/>
    <w:rsid w:val="009C3385"/>
    <w:rsid w:val="009C33E2"/>
    <w:rsid w:val="009C348E"/>
    <w:rsid w:val="009C370F"/>
    <w:rsid w:val="009C3716"/>
    <w:rsid w:val="009C3795"/>
    <w:rsid w:val="009C37D6"/>
    <w:rsid w:val="009C383D"/>
    <w:rsid w:val="009C3855"/>
    <w:rsid w:val="009C3874"/>
    <w:rsid w:val="009C3C6C"/>
    <w:rsid w:val="009C3CA5"/>
    <w:rsid w:val="009C3CAE"/>
    <w:rsid w:val="009C3FC1"/>
    <w:rsid w:val="009C4196"/>
    <w:rsid w:val="009C419B"/>
    <w:rsid w:val="009C41F8"/>
    <w:rsid w:val="009C426A"/>
    <w:rsid w:val="009C4392"/>
    <w:rsid w:val="009C4500"/>
    <w:rsid w:val="009C467E"/>
    <w:rsid w:val="009C4AE4"/>
    <w:rsid w:val="009C4AF6"/>
    <w:rsid w:val="009C4AFA"/>
    <w:rsid w:val="009C4BC6"/>
    <w:rsid w:val="009C4C33"/>
    <w:rsid w:val="009C4D01"/>
    <w:rsid w:val="009C50D7"/>
    <w:rsid w:val="009C5111"/>
    <w:rsid w:val="009C5148"/>
    <w:rsid w:val="009C51B8"/>
    <w:rsid w:val="009C52A6"/>
    <w:rsid w:val="009C5385"/>
    <w:rsid w:val="009C5437"/>
    <w:rsid w:val="009C5448"/>
    <w:rsid w:val="009C552E"/>
    <w:rsid w:val="009C557F"/>
    <w:rsid w:val="009C55BC"/>
    <w:rsid w:val="009C5656"/>
    <w:rsid w:val="009C56A9"/>
    <w:rsid w:val="009C5A94"/>
    <w:rsid w:val="009C5ABF"/>
    <w:rsid w:val="009C5B11"/>
    <w:rsid w:val="009C5EA1"/>
    <w:rsid w:val="009C5F36"/>
    <w:rsid w:val="009C603C"/>
    <w:rsid w:val="009C60AE"/>
    <w:rsid w:val="009C61A3"/>
    <w:rsid w:val="009C6212"/>
    <w:rsid w:val="009C6410"/>
    <w:rsid w:val="009C64E2"/>
    <w:rsid w:val="009C6603"/>
    <w:rsid w:val="009C679F"/>
    <w:rsid w:val="009C67DB"/>
    <w:rsid w:val="009C69A9"/>
    <w:rsid w:val="009C6A68"/>
    <w:rsid w:val="009C6A79"/>
    <w:rsid w:val="009C6A91"/>
    <w:rsid w:val="009C6B26"/>
    <w:rsid w:val="009C6BCB"/>
    <w:rsid w:val="009C6D3F"/>
    <w:rsid w:val="009C6DB5"/>
    <w:rsid w:val="009C6DEB"/>
    <w:rsid w:val="009C6E27"/>
    <w:rsid w:val="009C6EBF"/>
    <w:rsid w:val="009C6ECB"/>
    <w:rsid w:val="009C704F"/>
    <w:rsid w:val="009C7242"/>
    <w:rsid w:val="009C724D"/>
    <w:rsid w:val="009C73EC"/>
    <w:rsid w:val="009C7456"/>
    <w:rsid w:val="009C749E"/>
    <w:rsid w:val="009C7591"/>
    <w:rsid w:val="009C7662"/>
    <w:rsid w:val="009C7797"/>
    <w:rsid w:val="009C785F"/>
    <w:rsid w:val="009C788D"/>
    <w:rsid w:val="009C7919"/>
    <w:rsid w:val="009C7A13"/>
    <w:rsid w:val="009C7A50"/>
    <w:rsid w:val="009C7B9E"/>
    <w:rsid w:val="009C7C1D"/>
    <w:rsid w:val="009C7DF5"/>
    <w:rsid w:val="009C7E4D"/>
    <w:rsid w:val="009C7FBC"/>
    <w:rsid w:val="009D004C"/>
    <w:rsid w:val="009D01FB"/>
    <w:rsid w:val="009D04BF"/>
    <w:rsid w:val="009D05CC"/>
    <w:rsid w:val="009D06E8"/>
    <w:rsid w:val="009D07DA"/>
    <w:rsid w:val="009D08E1"/>
    <w:rsid w:val="009D09B3"/>
    <w:rsid w:val="009D0A55"/>
    <w:rsid w:val="009D0A86"/>
    <w:rsid w:val="009D0D65"/>
    <w:rsid w:val="009D0DC7"/>
    <w:rsid w:val="009D0EB7"/>
    <w:rsid w:val="009D0F77"/>
    <w:rsid w:val="009D1164"/>
    <w:rsid w:val="009D1808"/>
    <w:rsid w:val="009D190D"/>
    <w:rsid w:val="009D19FA"/>
    <w:rsid w:val="009D1A19"/>
    <w:rsid w:val="009D1A1B"/>
    <w:rsid w:val="009D1A63"/>
    <w:rsid w:val="009D1A88"/>
    <w:rsid w:val="009D1D79"/>
    <w:rsid w:val="009D1DF7"/>
    <w:rsid w:val="009D1FE9"/>
    <w:rsid w:val="009D1FF7"/>
    <w:rsid w:val="009D2036"/>
    <w:rsid w:val="009D20A5"/>
    <w:rsid w:val="009D20C9"/>
    <w:rsid w:val="009D2147"/>
    <w:rsid w:val="009D21AD"/>
    <w:rsid w:val="009D224C"/>
    <w:rsid w:val="009D229B"/>
    <w:rsid w:val="009D22E5"/>
    <w:rsid w:val="009D238D"/>
    <w:rsid w:val="009D2450"/>
    <w:rsid w:val="009D24CF"/>
    <w:rsid w:val="009D2592"/>
    <w:rsid w:val="009D27FB"/>
    <w:rsid w:val="009D28E7"/>
    <w:rsid w:val="009D2A3F"/>
    <w:rsid w:val="009D2A4C"/>
    <w:rsid w:val="009D2AE2"/>
    <w:rsid w:val="009D2B20"/>
    <w:rsid w:val="009D2B96"/>
    <w:rsid w:val="009D2BC6"/>
    <w:rsid w:val="009D2BD6"/>
    <w:rsid w:val="009D2DE6"/>
    <w:rsid w:val="009D2EDC"/>
    <w:rsid w:val="009D2F3F"/>
    <w:rsid w:val="009D30BD"/>
    <w:rsid w:val="009D3219"/>
    <w:rsid w:val="009D323D"/>
    <w:rsid w:val="009D3351"/>
    <w:rsid w:val="009D339C"/>
    <w:rsid w:val="009D3428"/>
    <w:rsid w:val="009D354D"/>
    <w:rsid w:val="009D364B"/>
    <w:rsid w:val="009D378A"/>
    <w:rsid w:val="009D3842"/>
    <w:rsid w:val="009D384F"/>
    <w:rsid w:val="009D38C3"/>
    <w:rsid w:val="009D3D96"/>
    <w:rsid w:val="009D3DBE"/>
    <w:rsid w:val="009D3E28"/>
    <w:rsid w:val="009D3EF4"/>
    <w:rsid w:val="009D3F6F"/>
    <w:rsid w:val="009D3F71"/>
    <w:rsid w:val="009D3FB8"/>
    <w:rsid w:val="009D407B"/>
    <w:rsid w:val="009D4176"/>
    <w:rsid w:val="009D42E5"/>
    <w:rsid w:val="009D43A4"/>
    <w:rsid w:val="009D43B2"/>
    <w:rsid w:val="009D4460"/>
    <w:rsid w:val="009D457B"/>
    <w:rsid w:val="009D4634"/>
    <w:rsid w:val="009D47F5"/>
    <w:rsid w:val="009D49D3"/>
    <w:rsid w:val="009D4BFB"/>
    <w:rsid w:val="009D4C2F"/>
    <w:rsid w:val="009D4D45"/>
    <w:rsid w:val="009D4E19"/>
    <w:rsid w:val="009D50E1"/>
    <w:rsid w:val="009D51AD"/>
    <w:rsid w:val="009D52F6"/>
    <w:rsid w:val="009D5535"/>
    <w:rsid w:val="009D558C"/>
    <w:rsid w:val="009D55F5"/>
    <w:rsid w:val="009D5637"/>
    <w:rsid w:val="009D5692"/>
    <w:rsid w:val="009D57D6"/>
    <w:rsid w:val="009D5868"/>
    <w:rsid w:val="009D5881"/>
    <w:rsid w:val="009D5882"/>
    <w:rsid w:val="009D58AF"/>
    <w:rsid w:val="009D5A09"/>
    <w:rsid w:val="009D5F6F"/>
    <w:rsid w:val="009D605E"/>
    <w:rsid w:val="009D637A"/>
    <w:rsid w:val="009D6980"/>
    <w:rsid w:val="009D6B47"/>
    <w:rsid w:val="009D6CD3"/>
    <w:rsid w:val="009D6DE0"/>
    <w:rsid w:val="009D6FC0"/>
    <w:rsid w:val="009D721F"/>
    <w:rsid w:val="009D72FA"/>
    <w:rsid w:val="009D772A"/>
    <w:rsid w:val="009D77D5"/>
    <w:rsid w:val="009D786B"/>
    <w:rsid w:val="009D7A0C"/>
    <w:rsid w:val="009D7CD5"/>
    <w:rsid w:val="009D7D39"/>
    <w:rsid w:val="009D7E3D"/>
    <w:rsid w:val="009D7F68"/>
    <w:rsid w:val="009E002E"/>
    <w:rsid w:val="009E00E3"/>
    <w:rsid w:val="009E01E8"/>
    <w:rsid w:val="009E028B"/>
    <w:rsid w:val="009E0370"/>
    <w:rsid w:val="009E03EA"/>
    <w:rsid w:val="009E0470"/>
    <w:rsid w:val="009E05A0"/>
    <w:rsid w:val="009E063C"/>
    <w:rsid w:val="009E0A79"/>
    <w:rsid w:val="009E0C30"/>
    <w:rsid w:val="009E0D08"/>
    <w:rsid w:val="009E0EF1"/>
    <w:rsid w:val="009E1024"/>
    <w:rsid w:val="009E1131"/>
    <w:rsid w:val="009E1137"/>
    <w:rsid w:val="009E117F"/>
    <w:rsid w:val="009E1261"/>
    <w:rsid w:val="009E12AF"/>
    <w:rsid w:val="009E13DE"/>
    <w:rsid w:val="009E14C0"/>
    <w:rsid w:val="009E15FB"/>
    <w:rsid w:val="009E170D"/>
    <w:rsid w:val="009E1729"/>
    <w:rsid w:val="009E179F"/>
    <w:rsid w:val="009E17CE"/>
    <w:rsid w:val="009E1805"/>
    <w:rsid w:val="009E19DF"/>
    <w:rsid w:val="009E1A7C"/>
    <w:rsid w:val="009E1B0A"/>
    <w:rsid w:val="009E1E7D"/>
    <w:rsid w:val="009E1F89"/>
    <w:rsid w:val="009E20FE"/>
    <w:rsid w:val="009E210B"/>
    <w:rsid w:val="009E2112"/>
    <w:rsid w:val="009E21EE"/>
    <w:rsid w:val="009E2252"/>
    <w:rsid w:val="009E231E"/>
    <w:rsid w:val="009E2430"/>
    <w:rsid w:val="009E2576"/>
    <w:rsid w:val="009E2652"/>
    <w:rsid w:val="009E27E8"/>
    <w:rsid w:val="009E28E5"/>
    <w:rsid w:val="009E2989"/>
    <w:rsid w:val="009E2B08"/>
    <w:rsid w:val="009E2B20"/>
    <w:rsid w:val="009E2CBA"/>
    <w:rsid w:val="009E2E32"/>
    <w:rsid w:val="009E2E77"/>
    <w:rsid w:val="009E2F29"/>
    <w:rsid w:val="009E3286"/>
    <w:rsid w:val="009E34DA"/>
    <w:rsid w:val="009E35C4"/>
    <w:rsid w:val="009E3712"/>
    <w:rsid w:val="009E3841"/>
    <w:rsid w:val="009E3867"/>
    <w:rsid w:val="009E3B17"/>
    <w:rsid w:val="009E3B64"/>
    <w:rsid w:val="009E3C05"/>
    <w:rsid w:val="009E3D67"/>
    <w:rsid w:val="009E3DE0"/>
    <w:rsid w:val="009E4091"/>
    <w:rsid w:val="009E40B9"/>
    <w:rsid w:val="009E4327"/>
    <w:rsid w:val="009E43F4"/>
    <w:rsid w:val="009E4405"/>
    <w:rsid w:val="009E448C"/>
    <w:rsid w:val="009E4519"/>
    <w:rsid w:val="009E4543"/>
    <w:rsid w:val="009E45AF"/>
    <w:rsid w:val="009E45E4"/>
    <w:rsid w:val="009E4804"/>
    <w:rsid w:val="009E483D"/>
    <w:rsid w:val="009E49F1"/>
    <w:rsid w:val="009E4A68"/>
    <w:rsid w:val="009E4AE5"/>
    <w:rsid w:val="009E4B52"/>
    <w:rsid w:val="009E4C20"/>
    <w:rsid w:val="009E4C76"/>
    <w:rsid w:val="009E4D4D"/>
    <w:rsid w:val="009E4E92"/>
    <w:rsid w:val="009E5269"/>
    <w:rsid w:val="009E52FB"/>
    <w:rsid w:val="009E5322"/>
    <w:rsid w:val="009E5333"/>
    <w:rsid w:val="009E5509"/>
    <w:rsid w:val="009E55D5"/>
    <w:rsid w:val="009E5676"/>
    <w:rsid w:val="009E57C1"/>
    <w:rsid w:val="009E58B4"/>
    <w:rsid w:val="009E5B1C"/>
    <w:rsid w:val="009E5B6C"/>
    <w:rsid w:val="009E5BA6"/>
    <w:rsid w:val="009E5C39"/>
    <w:rsid w:val="009E5CDB"/>
    <w:rsid w:val="009E5DEC"/>
    <w:rsid w:val="009E614E"/>
    <w:rsid w:val="009E62F6"/>
    <w:rsid w:val="009E636F"/>
    <w:rsid w:val="009E641F"/>
    <w:rsid w:val="009E6428"/>
    <w:rsid w:val="009E645E"/>
    <w:rsid w:val="009E64A5"/>
    <w:rsid w:val="009E65A5"/>
    <w:rsid w:val="009E65FA"/>
    <w:rsid w:val="009E6635"/>
    <w:rsid w:val="009E66C4"/>
    <w:rsid w:val="009E66F2"/>
    <w:rsid w:val="009E6729"/>
    <w:rsid w:val="009E6748"/>
    <w:rsid w:val="009E6828"/>
    <w:rsid w:val="009E68FD"/>
    <w:rsid w:val="009E6C94"/>
    <w:rsid w:val="009E6CAA"/>
    <w:rsid w:val="009E6CEA"/>
    <w:rsid w:val="009E6D37"/>
    <w:rsid w:val="009E6E71"/>
    <w:rsid w:val="009E6EC8"/>
    <w:rsid w:val="009E6FC1"/>
    <w:rsid w:val="009E7078"/>
    <w:rsid w:val="009E7375"/>
    <w:rsid w:val="009E739F"/>
    <w:rsid w:val="009E74FF"/>
    <w:rsid w:val="009E7509"/>
    <w:rsid w:val="009E7511"/>
    <w:rsid w:val="009E764A"/>
    <w:rsid w:val="009E767C"/>
    <w:rsid w:val="009E76F7"/>
    <w:rsid w:val="009E770D"/>
    <w:rsid w:val="009E794A"/>
    <w:rsid w:val="009E7AF4"/>
    <w:rsid w:val="009E7C03"/>
    <w:rsid w:val="009E7D70"/>
    <w:rsid w:val="009E7DB6"/>
    <w:rsid w:val="009E7E3C"/>
    <w:rsid w:val="009E7F0D"/>
    <w:rsid w:val="009E7F0E"/>
    <w:rsid w:val="009F0025"/>
    <w:rsid w:val="009F006A"/>
    <w:rsid w:val="009F0258"/>
    <w:rsid w:val="009F0447"/>
    <w:rsid w:val="009F04D5"/>
    <w:rsid w:val="009F080F"/>
    <w:rsid w:val="009F085B"/>
    <w:rsid w:val="009F0866"/>
    <w:rsid w:val="009F09A1"/>
    <w:rsid w:val="009F0AEB"/>
    <w:rsid w:val="009F0B42"/>
    <w:rsid w:val="009F0CE3"/>
    <w:rsid w:val="009F0E67"/>
    <w:rsid w:val="009F0E93"/>
    <w:rsid w:val="009F0FF3"/>
    <w:rsid w:val="009F11AF"/>
    <w:rsid w:val="009F1577"/>
    <w:rsid w:val="009F170D"/>
    <w:rsid w:val="009F19EF"/>
    <w:rsid w:val="009F1A3A"/>
    <w:rsid w:val="009F1A48"/>
    <w:rsid w:val="009F1CD0"/>
    <w:rsid w:val="009F1DA0"/>
    <w:rsid w:val="009F1E97"/>
    <w:rsid w:val="009F208F"/>
    <w:rsid w:val="009F22E4"/>
    <w:rsid w:val="009F2310"/>
    <w:rsid w:val="009F239B"/>
    <w:rsid w:val="009F23E2"/>
    <w:rsid w:val="009F246D"/>
    <w:rsid w:val="009F2495"/>
    <w:rsid w:val="009F255C"/>
    <w:rsid w:val="009F2697"/>
    <w:rsid w:val="009F2B35"/>
    <w:rsid w:val="009F2B4D"/>
    <w:rsid w:val="009F2D82"/>
    <w:rsid w:val="009F2DEE"/>
    <w:rsid w:val="009F2F74"/>
    <w:rsid w:val="009F2FD8"/>
    <w:rsid w:val="009F3038"/>
    <w:rsid w:val="009F3127"/>
    <w:rsid w:val="009F3161"/>
    <w:rsid w:val="009F35A9"/>
    <w:rsid w:val="009F36A0"/>
    <w:rsid w:val="009F3708"/>
    <w:rsid w:val="009F376B"/>
    <w:rsid w:val="009F3886"/>
    <w:rsid w:val="009F397C"/>
    <w:rsid w:val="009F3993"/>
    <w:rsid w:val="009F39C5"/>
    <w:rsid w:val="009F3C18"/>
    <w:rsid w:val="009F3E43"/>
    <w:rsid w:val="009F3F30"/>
    <w:rsid w:val="009F43A8"/>
    <w:rsid w:val="009F44EA"/>
    <w:rsid w:val="009F454D"/>
    <w:rsid w:val="009F47B0"/>
    <w:rsid w:val="009F47BC"/>
    <w:rsid w:val="009F493D"/>
    <w:rsid w:val="009F49B4"/>
    <w:rsid w:val="009F4A39"/>
    <w:rsid w:val="009F4B1E"/>
    <w:rsid w:val="009F4C09"/>
    <w:rsid w:val="009F4C37"/>
    <w:rsid w:val="009F4D27"/>
    <w:rsid w:val="009F4EDD"/>
    <w:rsid w:val="009F4FA0"/>
    <w:rsid w:val="009F5067"/>
    <w:rsid w:val="009F50D2"/>
    <w:rsid w:val="009F52A3"/>
    <w:rsid w:val="009F5464"/>
    <w:rsid w:val="009F5737"/>
    <w:rsid w:val="009F57AC"/>
    <w:rsid w:val="009F58C1"/>
    <w:rsid w:val="009F5EDD"/>
    <w:rsid w:val="009F5F25"/>
    <w:rsid w:val="009F60D4"/>
    <w:rsid w:val="009F60F6"/>
    <w:rsid w:val="009F613A"/>
    <w:rsid w:val="009F61C3"/>
    <w:rsid w:val="009F624E"/>
    <w:rsid w:val="009F6300"/>
    <w:rsid w:val="009F6322"/>
    <w:rsid w:val="009F64BC"/>
    <w:rsid w:val="009F6525"/>
    <w:rsid w:val="009F65C9"/>
    <w:rsid w:val="009F6679"/>
    <w:rsid w:val="009F66E4"/>
    <w:rsid w:val="009F684A"/>
    <w:rsid w:val="009F69FD"/>
    <w:rsid w:val="009F6A08"/>
    <w:rsid w:val="009F6A34"/>
    <w:rsid w:val="009F6A7D"/>
    <w:rsid w:val="009F6CB5"/>
    <w:rsid w:val="009F6CBE"/>
    <w:rsid w:val="009F6DF1"/>
    <w:rsid w:val="009F6E30"/>
    <w:rsid w:val="009F6E8E"/>
    <w:rsid w:val="009F701E"/>
    <w:rsid w:val="009F71B2"/>
    <w:rsid w:val="009F71C1"/>
    <w:rsid w:val="009F73B8"/>
    <w:rsid w:val="009F74C2"/>
    <w:rsid w:val="009F754C"/>
    <w:rsid w:val="009F79A8"/>
    <w:rsid w:val="009F79CA"/>
    <w:rsid w:val="009F7BCB"/>
    <w:rsid w:val="009F7D14"/>
    <w:rsid w:val="009F7E3F"/>
    <w:rsid w:val="009F7F6B"/>
    <w:rsid w:val="009F7FDD"/>
    <w:rsid w:val="00A00322"/>
    <w:rsid w:val="00A003D1"/>
    <w:rsid w:val="00A00989"/>
    <w:rsid w:val="00A00BE0"/>
    <w:rsid w:val="00A00C66"/>
    <w:rsid w:val="00A00C68"/>
    <w:rsid w:val="00A00CCB"/>
    <w:rsid w:val="00A00D62"/>
    <w:rsid w:val="00A00ED3"/>
    <w:rsid w:val="00A01093"/>
    <w:rsid w:val="00A01130"/>
    <w:rsid w:val="00A01287"/>
    <w:rsid w:val="00A012D5"/>
    <w:rsid w:val="00A0139F"/>
    <w:rsid w:val="00A01597"/>
    <w:rsid w:val="00A016C7"/>
    <w:rsid w:val="00A016DA"/>
    <w:rsid w:val="00A01700"/>
    <w:rsid w:val="00A017B7"/>
    <w:rsid w:val="00A0187E"/>
    <w:rsid w:val="00A01971"/>
    <w:rsid w:val="00A019A1"/>
    <w:rsid w:val="00A01A59"/>
    <w:rsid w:val="00A01ABF"/>
    <w:rsid w:val="00A01B50"/>
    <w:rsid w:val="00A01CD6"/>
    <w:rsid w:val="00A01F9A"/>
    <w:rsid w:val="00A01FF5"/>
    <w:rsid w:val="00A020D3"/>
    <w:rsid w:val="00A0227E"/>
    <w:rsid w:val="00A02427"/>
    <w:rsid w:val="00A024FE"/>
    <w:rsid w:val="00A02550"/>
    <w:rsid w:val="00A02731"/>
    <w:rsid w:val="00A0290F"/>
    <w:rsid w:val="00A02928"/>
    <w:rsid w:val="00A029E8"/>
    <w:rsid w:val="00A02DE9"/>
    <w:rsid w:val="00A02E27"/>
    <w:rsid w:val="00A0312A"/>
    <w:rsid w:val="00A031CD"/>
    <w:rsid w:val="00A032B2"/>
    <w:rsid w:val="00A0345B"/>
    <w:rsid w:val="00A0359C"/>
    <w:rsid w:val="00A037DD"/>
    <w:rsid w:val="00A03904"/>
    <w:rsid w:val="00A03A3A"/>
    <w:rsid w:val="00A03E3A"/>
    <w:rsid w:val="00A03F05"/>
    <w:rsid w:val="00A03F56"/>
    <w:rsid w:val="00A040ED"/>
    <w:rsid w:val="00A042FD"/>
    <w:rsid w:val="00A043B4"/>
    <w:rsid w:val="00A04662"/>
    <w:rsid w:val="00A0478E"/>
    <w:rsid w:val="00A047F4"/>
    <w:rsid w:val="00A04939"/>
    <w:rsid w:val="00A049B4"/>
    <w:rsid w:val="00A04ABA"/>
    <w:rsid w:val="00A04D5E"/>
    <w:rsid w:val="00A04E4F"/>
    <w:rsid w:val="00A04F3E"/>
    <w:rsid w:val="00A05013"/>
    <w:rsid w:val="00A050AE"/>
    <w:rsid w:val="00A050DA"/>
    <w:rsid w:val="00A051D4"/>
    <w:rsid w:val="00A0527C"/>
    <w:rsid w:val="00A0528A"/>
    <w:rsid w:val="00A0534F"/>
    <w:rsid w:val="00A05369"/>
    <w:rsid w:val="00A05436"/>
    <w:rsid w:val="00A0562E"/>
    <w:rsid w:val="00A05797"/>
    <w:rsid w:val="00A0597D"/>
    <w:rsid w:val="00A059F1"/>
    <w:rsid w:val="00A05C2A"/>
    <w:rsid w:val="00A05E3D"/>
    <w:rsid w:val="00A05F49"/>
    <w:rsid w:val="00A0621E"/>
    <w:rsid w:val="00A062DD"/>
    <w:rsid w:val="00A0631A"/>
    <w:rsid w:val="00A06738"/>
    <w:rsid w:val="00A067F7"/>
    <w:rsid w:val="00A06898"/>
    <w:rsid w:val="00A0690C"/>
    <w:rsid w:val="00A06AB0"/>
    <w:rsid w:val="00A06B60"/>
    <w:rsid w:val="00A06C54"/>
    <w:rsid w:val="00A06F56"/>
    <w:rsid w:val="00A0707D"/>
    <w:rsid w:val="00A07284"/>
    <w:rsid w:val="00A07293"/>
    <w:rsid w:val="00A072DF"/>
    <w:rsid w:val="00A07453"/>
    <w:rsid w:val="00A074E9"/>
    <w:rsid w:val="00A07516"/>
    <w:rsid w:val="00A075BE"/>
    <w:rsid w:val="00A075ED"/>
    <w:rsid w:val="00A077BE"/>
    <w:rsid w:val="00A078D4"/>
    <w:rsid w:val="00A07970"/>
    <w:rsid w:val="00A07B50"/>
    <w:rsid w:val="00A07D28"/>
    <w:rsid w:val="00A10003"/>
    <w:rsid w:val="00A10456"/>
    <w:rsid w:val="00A104B1"/>
    <w:rsid w:val="00A10586"/>
    <w:rsid w:val="00A106E3"/>
    <w:rsid w:val="00A10865"/>
    <w:rsid w:val="00A10B92"/>
    <w:rsid w:val="00A10D27"/>
    <w:rsid w:val="00A10F42"/>
    <w:rsid w:val="00A10FC8"/>
    <w:rsid w:val="00A11049"/>
    <w:rsid w:val="00A11154"/>
    <w:rsid w:val="00A11268"/>
    <w:rsid w:val="00A11299"/>
    <w:rsid w:val="00A112F9"/>
    <w:rsid w:val="00A11637"/>
    <w:rsid w:val="00A11723"/>
    <w:rsid w:val="00A117F6"/>
    <w:rsid w:val="00A11AFD"/>
    <w:rsid w:val="00A11B3B"/>
    <w:rsid w:val="00A11C20"/>
    <w:rsid w:val="00A11DF9"/>
    <w:rsid w:val="00A11ED2"/>
    <w:rsid w:val="00A12089"/>
    <w:rsid w:val="00A12150"/>
    <w:rsid w:val="00A12370"/>
    <w:rsid w:val="00A12417"/>
    <w:rsid w:val="00A12425"/>
    <w:rsid w:val="00A12426"/>
    <w:rsid w:val="00A125AB"/>
    <w:rsid w:val="00A125B6"/>
    <w:rsid w:val="00A12745"/>
    <w:rsid w:val="00A1286E"/>
    <w:rsid w:val="00A128AB"/>
    <w:rsid w:val="00A12AA9"/>
    <w:rsid w:val="00A12B0E"/>
    <w:rsid w:val="00A12E2F"/>
    <w:rsid w:val="00A12E33"/>
    <w:rsid w:val="00A12F22"/>
    <w:rsid w:val="00A130A1"/>
    <w:rsid w:val="00A130AF"/>
    <w:rsid w:val="00A1317B"/>
    <w:rsid w:val="00A131B9"/>
    <w:rsid w:val="00A13294"/>
    <w:rsid w:val="00A133F5"/>
    <w:rsid w:val="00A13401"/>
    <w:rsid w:val="00A1363E"/>
    <w:rsid w:val="00A13830"/>
    <w:rsid w:val="00A13881"/>
    <w:rsid w:val="00A13D86"/>
    <w:rsid w:val="00A13F21"/>
    <w:rsid w:val="00A140ED"/>
    <w:rsid w:val="00A14225"/>
    <w:rsid w:val="00A14343"/>
    <w:rsid w:val="00A14345"/>
    <w:rsid w:val="00A146A6"/>
    <w:rsid w:val="00A1475A"/>
    <w:rsid w:val="00A1481D"/>
    <w:rsid w:val="00A1486B"/>
    <w:rsid w:val="00A14C97"/>
    <w:rsid w:val="00A14CD9"/>
    <w:rsid w:val="00A14D1D"/>
    <w:rsid w:val="00A14D77"/>
    <w:rsid w:val="00A14DAC"/>
    <w:rsid w:val="00A14E85"/>
    <w:rsid w:val="00A14E90"/>
    <w:rsid w:val="00A14E9E"/>
    <w:rsid w:val="00A15006"/>
    <w:rsid w:val="00A1501C"/>
    <w:rsid w:val="00A15093"/>
    <w:rsid w:val="00A150D7"/>
    <w:rsid w:val="00A15287"/>
    <w:rsid w:val="00A152DC"/>
    <w:rsid w:val="00A152EE"/>
    <w:rsid w:val="00A15310"/>
    <w:rsid w:val="00A153FA"/>
    <w:rsid w:val="00A15623"/>
    <w:rsid w:val="00A1570B"/>
    <w:rsid w:val="00A1581B"/>
    <w:rsid w:val="00A1591D"/>
    <w:rsid w:val="00A15981"/>
    <w:rsid w:val="00A15989"/>
    <w:rsid w:val="00A15A01"/>
    <w:rsid w:val="00A15A4F"/>
    <w:rsid w:val="00A15CAF"/>
    <w:rsid w:val="00A15E3E"/>
    <w:rsid w:val="00A15E70"/>
    <w:rsid w:val="00A16123"/>
    <w:rsid w:val="00A161FF"/>
    <w:rsid w:val="00A162A7"/>
    <w:rsid w:val="00A163C1"/>
    <w:rsid w:val="00A1649F"/>
    <w:rsid w:val="00A165BF"/>
    <w:rsid w:val="00A16670"/>
    <w:rsid w:val="00A16683"/>
    <w:rsid w:val="00A16687"/>
    <w:rsid w:val="00A1668B"/>
    <w:rsid w:val="00A16884"/>
    <w:rsid w:val="00A16BE7"/>
    <w:rsid w:val="00A16C58"/>
    <w:rsid w:val="00A16CBA"/>
    <w:rsid w:val="00A16CE9"/>
    <w:rsid w:val="00A16CF7"/>
    <w:rsid w:val="00A16D76"/>
    <w:rsid w:val="00A16E82"/>
    <w:rsid w:val="00A16F7B"/>
    <w:rsid w:val="00A16FA5"/>
    <w:rsid w:val="00A17026"/>
    <w:rsid w:val="00A17187"/>
    <w:rsid w:val="00A171DC"/>
    <w:rsid w:val="00A171E5"/>
    <w:rsid w:val="00A1735C"/>
    <w:rsid w:val="00A17397"/>
    <w:rsid w:val="00A17520"/>
    <w:rsid w:val="00A1797C"/>
    <w:rsid w:val="00A17A42"/>
    <w:rsid w:val="00A17A8E"/>
    <w:rsid w:val="00A17AE2"/>
    <w:rsid w:val="00A17AEF"/>
    <w:rsid w:val="00A17C7D"/>
    <w:rsid w:val="00A17CA2"/>
    <w:rsid w:val="00A17D37"/>
    <w:rsid w:val="00A17D8B"/>
    <w:rsid w:val="00A17E01"/>
    <w:rsid w:val="00A17E14"/>
    <w:rsid w:val="00A17F04"/>
    <w:rsid w:val="00A20083"/>
    <w:rsid w:val="00A200E2"/>
    <w:rsid w:val="00A20127"/>
    <w:rsid w:val="00A201B2"/>
    <w:rsid w:val="00A201FC"/>
    <w:rsid w:val="00A20222"/>
    <w:rsid w:val="00A2046E"/>
    <w:rsid w:val="00A20483"/>
    <w:rsid w:val="00A204BD"/>
    <w:rsid w:val="00A205D8"/>
    <w:rsid w:val="00A2063B"/>
    <w:rsid w:val="00A2063F"/>
    <w:rsid w:val="00A20727"/>
    <w:rsid w:val="00A2083B"/>
    <w:rsid w:val="00A20850"/>
    <w:rsid w:val="00A209EF"/>
    <w:rsid w:val="00A20A30"/>
    <w:rsid w:val="00A20A6D"/>
    <w:rsid w:val="00A20B2B"/>
    <w:rsid w:val="00A20E2D"/>
    <w:rsid w:val="00A21051"/>
    <w:rsid w:val="00A2133A"/>
    <w:rsid w:val="00A21352"/>
    <w:rsid w:val="00A2148E"/>
    <w:rsid w:val="00A214FC"/>
    <w:rsid w:val="00A216F2"/>
    <w:rsid w:val="00A217B2"/>
    <w:rsid w:val="00A217C8"/>
    <w:rsid w:val="00A219FE"/>
    <w:rsid w:val="00A21A38"/>
    <w:rsid w:val="00A21AB9"/>
    <w:rsid w:val="00A21B2B"/>
    <w:rsid w:val="00A21B47"/>
    <w:rsid w:val="00A21DB1"/>
    <w:rsid w:val="00A21EA5"/>
    <w:rsid w:val="00A21F2A"/>
    <w:rsid w:val="00A21FFA"/>
    <w:rsid w:val="00A220BE"/>
    <w:rsid w:val="00A222BF"/>
    <w:rsid w:val="00A222C8"/>
    <w:rsid w:val="00A22346"/>
    <w:rsid w:val="00A224D1"/>
    <w:rsid w:val="00A225AC"/>
    <w:rsid w:val="00A22620"/>
    <w:rsid w:val="00A22983"/>
    <w:rsid w:val="00A22B5F"/>
    <w:rsid w:val="00A22EA0"/>
    <w:rsid w:val="00A22EBA"/>
    <w:rsid w:val="00A230AC"/>
    <w:rsid w:val="00A231EE"/>
    <w:rsid w:val="00A232FB"/>
    <w:rsid w:val="00A2339D"/>
    <w:rsid w:val="00A2342D"/>
    <w:rsid w:val="00A235DD"/>
    <w:rsid w:val="00A2373D"/>
    <w:rsid w:val="00A2394B"/>
    <w:rsid w:val="00A23984"/>
    <w:rsid w:val="00A2398D"/>
    <w:rsid w:val="00A2398E"/>
    <w:rsid w:val="00A239CD"/>
    <w:rsid w:val="00A23BCB"/>
    <w:rsid w:val="00A23CA3"/>
    <w:rsid w:val="00A23D0A"/>
    <w:rsid w:val="00A23D4C"/>
    <w:rsid w:val="00A23D81"/>
    <w:rsid w:val="00A23E72"/>
    <w:rsid w:val="00A24172"/>
    <w:rsid w:val="00A2418A"/>
    <w:rsid w:val="00A24264"/>
    <w:rsid w:val="00A244F3"/>
    <w:rsid w:val="00A2452E"/>
    <w:rsid w:val="00A24723"/>
    <w:rsid w:val="00A24826"/>
    <w:rsid w:val="00A24895"/>
    <w:rsid w:val="00A248ED"/>
    <w:rsid w:val="00A248FB"/>
    <w:rsid w:val="00A24917"/>
    <w:rsid w:val="00A2495E"/>
    <w:rsid w:val="00A24A1D"/>
    <w:rsid w:val="00A24AC4"/>
    <w:rsid w:val="00A24B0D"/>
    <w:rsid w:val="00A24C75"/>
    <w:rsid w:val="00A24E00"/>
    <w:rsid w:val="00A24E56"/>
    <w:rsid w:val="00A24ECF"/>
    <w:rsid w:val="00A24FFA"/>
    <w:rsid w:val="00A25025"/>
    <w:rsid w:val="00A2512B"/>
    <w:rsid w:val="00A25350"/>
    <w:rsid w:val="00A253BE"/>
    <w:rsid w:val="00A255B5"/>
    <w:rsid w:val="00A25821"/>
    <w:rsid w:val="00A25959"/>
    <w:rsid w:val="00A25A15"/>
    <w:rsid w:val="00A25B05"/>
    <w:rsid w:val="00A25EBB"/>
    <w:rsid w:val="00A26074"/>
    <w:rsid w:val="00A26120"/>
    <w:rsid w:val="00A26161"/>
    <w:rsid w:val="00A26569"/>
    <w:rsid w:val="00A265AA"/>
    <w:rsid w:val="00A266A8"/>
    <w:rsid w:val="00A266F2"/>
    <w:rsid w:val="00A26898"/>
    <w:rsid w:val="00A268EA"/>
    <w:rsid w:val="00A2692F"/>
    <w:rsid w:val="00A2693F"/>
    <w:rsid w:val="00A26A7E"/>
    <w:rsid w:val="00A26A99"/>
    <w:rsid w:val="00A26AE8"/>
    <w:rsid w:val="00A26B1A"/>
    <w:rsid w:val="00A26B9D"/>
    <w:rsid w:val="00A26D88"/>
    <w:rsid w:val="00A26E6C"/>
    <w:rsid w:val="00A26F52"/>
    <w:rsid w:val="00A27038"/>
    <w:rsid w:val="00A27268"/>
    <w:rsid w:val="00A27449"/>
    <w:rsid w:val="00A27556"/>
    <w:rsid w:val="00A278C0"/>
    <w:rsid w:val="00A27936"/>
    <w:rsid w:val="00A2796B"/>
    <w:rsid w:val="00A27D79"/>
    <w:rsid w:val="00A27ECC"/>
    <w:rsid w:val="00A3009A"/>
    <w:rsid w:val="00A30356"/>
    <w:rsid w:val="00A305E4"/>
    <w:rsid w:val="00A30828"/>
    <w:rsid w:val="00A3094D"/>
    <w:rsid w:val="00A30A03"/>
    <w:rsid w:val="00A30A1E"/>
    <w:rsid w:val="00A30A32"/>
    <w:rsid w:val="00A30B41"/>
    <w:rsid w:val="00A30CDF"/>
    <w:rsid w:val="00A30D9A"/>
    <w:rsid w:val="00A30E9B"/>
    <w:rsid w:val="00A30F42"/>
    <w:rsid w:val="00A310F3"/>
    <w:rsid w:val="00A31321"/>
    <w:rsid w:val="00A315C2"/>
    <w:rsid w:val="00A31720"/>
    <w:rsid w:val="00A3181A"/>
    <w:rsid w:val="00A31839"/>
    <w:rsid w:val="00A31883"/>
    <w:rsid w:val="00A31C3B"/>
    <w:rsid w:val="00A31EE6"/>
    <w:rsid w:val="00A322C3"/>
    <w:rsid w:val="00A32632"/>
    <w:rsid w:val="00A326B5"/>
    <w:rsid w:val="00A32790"/>
    <w:rsid w:val="00A3292F"/>
    <w:rsid w:val="00A32944"/>
    <w:rsid w:val="00A32B7F"/>
    <w:rsid w:val="00A32BCB"/>
    <w:rsid w:val="00A32D0B"/>
    <w:rsid w:val="00A32D7D"/>
    <w:rsid w:val="00A32DF8"/>
    <w:rsid w:val="00A32E3E"/>
    <w:rsid w:val="00A32E56"/>
    <w:rsid w:val="00A32EBF"/>
    <w:rsid w:val="00A32F36"/>
    <w:rsid w:val="00A32FAA"/>
    <w:rsid w:val="00A3309C"/>
    <w:rsid w:val="00A330E3"/>
    <w:rsid w:val="00A33111"/>
    <w:rsid w:val="00A3334D"/>
    <w:rsid w:val="00A33425"/>
    <w:rsid w:val="00A33618"/>
    <w:rsid w:val="00A3364A"/>
    <w:rsid w:val="00A3368E"/>
    <w:rsid w:val="00A33B67"/>
    <w:rsid w:val="00A33DB4"/>
    <w:rsid w:val="00A342B8"/>
    <w:rsid w:val="00A3444D"/>
    <w:rsid w:val="00A34471"/>
    <w:rsid w:val="00A3450A"/>
    <w:rsid w:val="00A34588"/>
    <w:rsid w:val="00A3458D"/>
    <w:rsid w:val="00A34970"/>
    <w:rsid w:val="00A34B32"/>
    <w:rsid w:val="00A34B7B"/>
    <w:rsid w:val="00A34CAB"/>
    <w:rsid w:val="00A34DB5"/>
    <w:rsid w:val="00A34DDE"/>
    <w:rsid w:val="00A34DE9"/>
    <w:rsid w:val="00A34E83"/>
    <w:rsid w:val="00A34EB1"/>
    <w:rsid w:val="00A35031"/>
    <w:rsid w:val="00A350E5"/>
    <w:rsid w:val="00A3511B"/>
    <w:rsid w:val="00A3529F"/>
    <w:rsid w:val="00A35330"/>
    <w:rsid w:val="00A353E5"/>
    <w:rsid w:val="00A35406"/>
    <w:rsid w:val="00A35475"/>
    <w:rsid w:val="00A354C1"/>
    <w:rsid w:val="00A354C6"/>
    <w:rsid w:val="00A354E3"/>
    <w:rsid w:val="00A35629"/>
    <w:rsid w:val="00A358DD"/>
    <w:rsid w:val="00A359D4"/>
    <w:rsid w:val="00A35A30"/>
    <w:rsid w:val="00A35A81"/>
    <w:rsid w:val="00A35AC9"/>
    <w:rsid w:val="00A35B5B"/>
    <w:rsid w:val="00A35CEE"/>
    <w:rsid w:val="00A35E05"/>
    <w:rsid w:val="00A35E30"/>
    <w:rsid w:val="00A35E81"/>
    <w:rsid w:val="00A360B5"/>
    <w:rsid w:val="00A36125"/>
    <w:rsid w:val="00A361F3"/>
    <w:rsid w:val="00A36256"/>
    <w:rsid w:val="00A363EF"/>
    <w:rsid w:val="00A36461"/>
    <w:rsid w:val="00A36471"/>
    <w:rsid w:val="00A365C7"/>
    <w:rsid w:val="00A36744"/>
    <w:rsid w:val="00A3676A"/>
    <w:rsid w:val="00A36A0C"/>
    <w:rsid w:val="00A36B23"/>
    <w:rsid w:val="00A36C3E"/>
    <w:rsid w:val="00A36CAE"/>
    <w:rsid w:val="00A36F94"/>
    <w:rsid w:val="00A3703C"/>
    <w:rsid w:val="00A3705A"/>
    <w:rsid w:val="00A3709C"/>
    <w:rsid w:val="00A370E8"/>
    <w:rsid w:val="00A37272"/>
    <w:rsid w:val="00A37452"/>
    <w:rsid w:val="00A37518"/>
    <w:rsid w:val="00A37616"/>
    <w:rsid w:val="00A376CF"/>
    <w:rsid w:val="00A3779B"/>
    <w:rsid w:val="00A37A67"/>
    <w:rsid w:val="00A37C4C"/>
    <w:rsid w:val="00A37C5E"/>
    <w:rsid w:val="00A37C71"/>
    <w:rsid w:val="00A37CAE"/>
    <w:rsid w:val="00A37D20"/>
    <w:rsid w:val="00A40125"/>
    <w:rsid w:val="00A4020A"/>
    <w:rsid w:val="00A402CD"/>
    <w:rsid w:val="00A402DB"/>
    <w:rsid w:val="00A405C0"/>
    <w:rsid w:val="00A407B3"/>
    <w:rsid w:val="00A40A31"/>
    <w:rsid w:val="00A40BC4"/>
    <w:rsid w:val="00A40C19"/>
    <w:rsid w:val="00A40C4E"/>
    <w:rsid w:val="00A40CB4"/>
    <w:rsid w:val="00A412BA"/>
    <w:rsid w:val="00A413EB"/>
    <w:rsid w:val="00A4150D"/>
    <w:rsid w:val="00A41607"/>
    <w:rsid w:val="00A41669"/>
    <w:rsid w:val="00A4166C"/>
    <w:rsid w:val="00A416C9"/>
    <w:rsid w:val="00A4174D"/>
    <w:rsid w:val="00A41865"/>
    <w:rsid w:val="00A418F1"/>
    <w:rsid w:val="00A41BF8"/>
    <w:rsid w:val="00A41C08"/>
    <w:rsid w:val="00A41DEF"/>
    <w:rsid w:val="00A41E0A"/>
    <w:rsid w:val="00A41FFB"/>
    <w:rsid w:val="00A42000"/>
    <w:rsid w:val="00A420C7"/>
    <w:rsid w:val="00A420D8"/>
    <w:rsid w:val="00A421D5"/>
    <w:rsid w:val="00A423A4"/>
    <w:rsid w:val="00A42442"/>
    <w:rsid w:val="00A42524"/>
    <w:rsid w:val="00A42581"/>
    <w:rsid w:val="00A4265C"/>
    <w:rsid w:val="00A4279A"/>
    <w:rsid w:val="00A427D4"/>
    <w:rsid w:val="00A42808"/>
    <w:rsid w:val="00A42811"/>
    <w:rsid w:val="00A42B16"/>
    <w:rsid w:val="00A42CB1"/>
    <w:rsid w:val="00A42D86"/>
    <w:rsid w:val="00A42D99"/>
    <w:rsid w:val="00A42EDA"/>
    <w:rsid w:val="00A43056"/>
    <w:rsid w:val="00A43322"/>
    <w:rsid w:val="00A433B8"/>
    <w:rsid w:val="00A433E6"/>
    <w:rsid w:val="00A434C6"/>
    <w:rsid w:val="00A43574"/>
    <w:rsid w:val="00A43625"/>
    <w:rsid w:val="00A4375A"/>
    <w:rsid w:val="00A437C6"/>
    <w:rsid w:val="00A4387B"/>
    <w:rsid w:val="00A43B3B"/>
    <w:rsid w:val="00A43D2C"/>
    <w:rsid w:val="00A43E4A"/>
    <w:rsid w:val="00A440C0"/>
    <w:rsid w:val="00A44173"/>
    <w:rsid w:val="00A441E9"/>
    <w:rsid w:val="00A442A1"/>
    <w:rsid w:val="00A444C6"/>
    <w:rsid w:val="00A44521"/>
    <w:rsid w:val="00A4459F"/>
    <w:rsid w:val="00A446BF"/>
    <w:rsid w:val="00A44749"/>
    <w:rsid w:val="00A448C0"/>
    <w:rsid w:val="00A44AB4"/>
    <w:rsid w:val="00A44B2F"/>
    <w:rsid w:val="00A44B7D"/>
    <w:rsid w:val="00A44DA7"/>
    <w:rsid w:val="00A44EB3"/>
    <w:rsid w:val="00A44EFA"/>
    <w:rsid w:val="00A44F32"/>
    <w:rsid w:val="00A44F3C"/>
    <w:rsid w:val="00A4516E"/>
    <w:rsid w:val="00A4520D"/>
    <w:rsid w:val="00A453A6"/>
    <w:rsid w:val="00A4542B"/>
    <w:rsid w:val="00A454EB"/>
    <w:rsid w:val="00A45772"/>
    <w:rsid w:val="00A459C3"/>
    <w:rsid w:val="00A45A01"/>
    <w:rsid w:val="00A45A53"/>
    <w:rsid w:val="00A45AC6"/>
    <w:rsid w:val="00A45AD8"/>
    <w:rsid w:val="00A45AF5"/>
    <w:rsid w:val="00A45B7E"/>
    <w:rsid w:val="00A45BAB"/>
    <w:rsid w:val="00A45BEA"/>
    <w:rsid w:val="00A45C4F"/>
    <w:rsid w:val="00A45CA8"/>
    <w:rsid w:val="00A45CB6"/>
    <w:rsid w:val="00A45D90"/>
    <w:rsid w:val="00A45DDB"/>
    <w:rsid w:val="00A45F17"/>
    <w:rsid w:val="00A45F47"/>
    <w:rsid w:val="00A45F7F"/>
    <w:rsid w:val="00A460E7"/>
    <w:rsid w:val="00A46427"/>
    <w:rsid w:val="00A4646A"/>
    <w:rsid w:val="00A465CD"/>
    <w:rsid w:val="00A4681F"/>
    <w:rsid w:val="00A468BD"/>
    <w:rsid w:val="00A46919"/>
    <w:rsid w:val="00A4691F"/>
    <w:rsid w:val="00A469B0"/>
    <w:rsid w:val="00A46D24"/>
    <w:rsid w:val="00A47192"/>
    <w:rsid w:val="00A471F9"/>
    <w:rsid w:val="00A4720C"/>
    <w:rsid w:val="00A47423"/>
    <w:rsid w:val="00A4749E"/>
    <w:rsid w:val="00A47658"/>
    <w:rsid w:val="00A4765B"/>
    <w:rsid w:val="00A477A1"/>
    <w:rsid w:val="00A477EE"/>
    <w:rsid w:val="00A4781F"/>
    <w:rsid w:val="00A47973"/>
    <w:rsid w:val="00A4799E"/>
    <w:rsid w:val="00A479B8"/>
    <w:rsid w:val="00A47A15"/>
    <w:rsid w:val="00A47A85"/>
    <w:rsid w:val="00A47D70"/>
    <w:rsid w:val="00A47ED0"/>
    <w:rsid w:val="00A47FE0"/>
    <w:rsid w:val="00A5022D"/>
    <w:rsid w:val="00A503FE"/>
    <w:rsid w:val="00A5070F"/>
    <w:rsid w:val="00A5076B"/>
    <w:rsid w:val="00A509FB"/>
    <w:rsid w:val="00A50E4B"/>
    <w:rsid w:val="00A50F8D"/>
    <w:rsid w:val="00A51124"/>
    <w:rsid w:val="00A511E3"/>
    <w:rsid w:val="00A512B5"/>
    <w:rsid w:val="00A51334"/>
    <w:rsid w:val="00A513EA"/>
    <w:rsid w:val="00A515C0"/>
    <w:rsid w:val="00A515C6"/>
    <w:rsid w:val="00A51843"/>
    <w:rsid w:val="00A5192E"/>
    <w:rsid w:val="00A5196D"/>
    <w:rsid w:val="00A51A6B"/>
    <w:rsid w:val="00A51ECC"/>
    <w:rsid w:val="00A51F0A"/>
    <w:rsid w:val="00A520D0"/>
    <w:rsid w:val="00A52125"/>
    <w:rsid w:val="00A522F0"/>
    <w:rsid w:val="00A522FE"/>
    <w:rsid w:val="00A52575"/>
    <w:rsid w:val="00A525FF"/>
    <w:rsid w:val="00A526E5"/>
    <w:rsid w:val="00A52889"/>
    <w:rsid w:val="00A528A2"/>
    <w:rsid w:val="00A52908"/>
    <w:rsid w:val="00A52A21"/>
    <w:rsid w:val="00A52A29"/>
    <w:rsid w:val="00A52B03"/>
    <w:rsid w:val="00A52BFA"/>
    <w:rsid w:val="00A52D4A"/>
    <w:rsid w:val="00A52E68"/>
    <w:rsid w:val="00A5302E"/>
    <w:rsid w:val="00A531A3"/>
    <w:rsid w:val="00A531BB"/>
    <w:rsid w:val="00A535BA"/>
    <w:rsid w:val="00A53642"/>
    <w:rsid w:val="00A5374D"/>
    <w:rsid w:val="00A53797"/>
    <w:rsid w:val="00A537F1"/>
    <w:rsid w:val="00A5395E"/>
    <w:rsid w:val="00A53BB5"/>
    <w:rsid w:val="00A53CEE"/>
    <w:rsid w:val="00A53D8E"/>
    <w:rsid w:val="00A53F2B"/>
    <w:rsid w:val="00A5413D"/>
    <w:rsid w:val="00A541C0"/>
    <w:rsid w:val="00A54497"/>
    <w:rsid w:val="00A5449F"/>
    <w:rsid w:val="00A544F6"/>
    <w:rsid w:val="00A54604"/>
    <w:rsid w:val="00A54751"/>
    <w:rsid w:val="00A547BF"/>
    <w:rsid w:val="00A54946"/>
    <w:rsid w:val="00A5498B"/>
    <w:rsid w:val="00A54B50"/>
    <w:rsid w:val="00A54CF6"/>
    <w:rsid w:val="00A54DE3"/>
    <w:rsid w:val="00A54F50"/>
    <w:rsid w:val="00A55029"/>
    <w:rsid w:val="00A5504C"/>
    <w:rsid w:val="00A5527E"/>
    <w:rsid w:val="00A5528F"/>
    <w:rsid w:val="00A55362"/>
    <w:rsid w:val="00A5541D"/>
    <w:rsid w:val="00A55474"/>
    <w:rsid w:val="00A55486"/>
    <w:rsid w:val="00A556F2"/>
    <w:rsid w:val="00A55749"/>
    <w:rsid w:val="00A55970"/>
    <w:rsid w:val="00A55986"/>
    <w:rsid w:val="00A559FF"/>
    <w:rsid w:val="00A55A14"/>
    <w:rsid w:val="00A55A49"/>
    <w:rsid w:val="00A55D8F"/>
    <w:rsid w:val="00A55E48"/>
    <w:rsid w:val="00A561C2"/>
    <w:rsid w:val="00A56209"/>
    <w:rsid w:val="00A563A9"/>
    <w:rsid w:val="00A5682E"/>
    <w:rsid w:val="00A568B9"/>
    <w:rsid w:val="00A56A57"/>
    <w:rsid w:val="00A56AD7"/>
    <w:rsid w:val="00A56B6A"/>
    <w:rsid w:val="00A56D86"/>
    <w:rsid w:val="00A56ED6"/>
    <w:rsid w:val="00A570A4"/>
    <w:rsid w:val="00A570C7"/>
    <w:rsid w:val="00A57129"/>
    <w:rsid w:val="00A57287"/>
    <w:rsid w:val="00A57377"/>
    <w:rsid w:val="00A575E8"/>
    <w:rsid w:val="00A575F5"/>
    <w:rsid w:val="00A57604"/>
    <w:rsid w:val="00A57701"/>
    <w:rsid w:val="00A57744"/>
    <w:rsid w:val="00A577DD"/>
    <w:rsid w:val="00A5799C"/>
    <w:rsid w:val="00A57B2C"/>
    <w:rsid w:val="00A57D17"/>
    <w:rsid w:val="00A57D2A"/>
    <w:rsid w:val="00A57D6F"/>
    <w:rsid w:val="00A57E24"/>
    <w:rsid w:val="00A57F2E"/>
    <w:rsid w:val="00A600D4"/>
    <w:rsid w:val="00A60291"/>
    <w:rsid w:val="00A602C5"/>
    <w:rsid w:val="00A605B8"/>
    <w:rsid w:val="00A605ED"/>
    <w:rsid w:val="00A607FF"/>
    <w:rsid w:val="00A60941"/>
    <w:rsid w:val="00A609B2"/>
    <w:rsid w:val="00A60A01"/>
    <w:rsid w:val="00A60B71"/>
    <w:rsid w:val="00A60B7B"/>
    <w:rsid w:val="00A60C64"/>
    <w:rsid w:val="00A60CA8"/>
    <w:rsid w:val="00A60E64"/>
    <w:rsid w:val="00A60F14"/>
    <w:rsid w:val="00A60F2B"/>
    <w:rsid w:val="00A60FED"/>
    <w:rsid w:val="00A610A0"/>
    <w:rsid w:val="00A6123F"/>
    <w:rsid w:val="00A6147B"/>
    <w:rsid w:val="00A614B1"/>
    <w:rsid w:val="00A614B8"/>
    <w:rsid w:val="00A614C2"/>
    <w:rsid w:val="00A61628"/>
    <w:rsid w:val="00A6162C"/>
    <w:rsid w:val="00A6192B"/>
    <w:rsid w:val="00A619DB"/>
    <w:rsid w:val="00A61A17"/>
    <w:rsid w:val="00A61AD2"/>
    <w:rsid w:val="00A61EFB"/>
    <w:rsid w:val="00A61FAC"/>
    <w:rsid w:val="00A62089"/>
    <w:rsid w:val="00A620C2"/>
    <w:rsid w:val="00A6213D"/>
    <w:rsid w:val="00A62175"/>
    <w:rsid w:val="00A62192"/>
    <w:rsid w:val="00A62554"/>
    <w:rsid w:val="00A6270E"/>
    <w:rsid w:val="00A6282A"/>
    <w:rsid w:val="00A628D5"/>
    <w:rsid w:val="00A62A45"/>
    <w:rsid w:val="00A62CAD"/>
    <w:rsid w:val="00A62DDE"/>
    <w:rsid w:val="00A62FC3"/>
    <w:rsid w:val="00A6302C"/>
    <w:rsid w:val="00A63090"/>
    <w:rsid w:val="00A630CE"/>
    <w:rsid w:val="00A63282"/>
    <w:rsid w:val="00A6340E"/>
    <w:rsid w:val="00A63477"/>
    <w:rsid w:val="00A63778"/>
    <w:rsid w:val="00A6377A"/>
    <w:rsid w:val="00A637BD"/>
    <w:rsid w:val="00A63A14"/>
    <w:rsid w:val="00A63ACA"/>
    <w:rsid w:val="00A63B90"/>
    <w:rsid w:val="00A63C25"/>
    <w:rsid w:val="00A63DD0"/>
    <w:rsid w:val="00A63DF0"/>
    <w:rsid w:val="00A63E2A"/>
    <w:rsid w:val="00A63E2B"/>
    <w:rsid w:val="00A63EAE"/>
    <w:rsid w:val="00A63EC4"/>
    <w:rsid w:val="00A63FEB"/>
    <w:rsid w:val="00A64044"/>
    <w:rsid w:val="00A64134"/>
    <w:rsid w:val="00A6430B"/>
    <w:rsid w:val="00A64328"/>
    <w:rsid w:val="00A6469E"/>
    <w:rsid w:val="00A646B4"/>
    <w:rsid w:val="00A64932"/>
    <w:rsid w:val="00A649A1"/>
    <w:rsid w:val="00A64A7D"/>
    <w:rsid w:val="00A64AB8"/>
    <w:rsid w:val="00A64B2B"/>
    <w:rsid w:val="00A64B4B"/>
    <w:rsid w:val="00A64E22"/>
    <w:rsid w:val="00A64F7C"/>
    <w:rsid w:val="00A64F80"/>
    <w:rsid w:val="00A650FD"/>
    <w:rsid w:val="00A6530C"/>
    <w:rsid w:val="00A653E2"/>
    <w:rsid w:val="00A65523"/>
    <w:rsid w:val="00A6567B"/>
    <w:rsid w:val="00A656AC"/>
    <w:rsid w:val="00A656B2"/>
    <w:rsid w:val="00A6570C"/>
    <w:rsid w:val="00A6575D"/>
    <w:rsid w:val="00A657C6"/>
    <w:rsid w:val="00A6585D"/>
    <w:rsid w:val="00A65BB1"/>
    <w:rsid w:val="00A65BF2"/>
    <w:rsid w:val="00A65C2A"/>
    <w:rsid w:val="00A65C93"/>
    <w:rsid w:val="00A65CD6"/>
    <w:rsid w:val="00A65F54"/>
    <w:rsid w:val="00A66096"/>
    <w:rsid w:val="00A660F1"/>
    <w:rsid w:val="00A6613C"/>
    <w:rsid w:val="00A662BB"/>
    <w:rsid w:val="00A66325"/>
    <w:rsid w:val="00A66363"/>
    <w:rsid w:val="00A66487"/>
    <w:rsid w:val="00A66599"/>
    <w:rsid w:val="00A665CE"/>
    <w:rsid w:val="00A66616"/>
    <w:rsid w:val="00A666A7"/>
    <w:rsid w:val="00A666E2"/>
    <w:rsid w:val="00A667F5"/>
    <w:rsid w:val="00A6686E"/>
    <w:rsid w:val="00A66A2B"/>
    <w:rsid w:val="00A66E30"/>
    <w:rsid w:val="00A66FF9"/>
    <w:rsid w:val="00A670AF"/>
    <w:rsid w:val="00A670EE"/>
    <w:rsid w:val="00A67170"/>
    <w:rsid w:val="00A67173"/>
    <w:rsid w:val="00A671F8"/>
    <w:rsid w:val="00A674AE"/>
    <w:rsid w:val="00A67514"/>
    <w:rsid w:val="00A675EF"/>
    <w:rsid w:val="00A67623"/>
    <w:rsid w:val="00A6786C"/>
    <w:rsid w:val="00A67876"/>
    <w:rsid w:val="00A67A06"/>
    <w:rsid w:val="00A67A6E"/>
    <w:rsid w:val="00A67B49"/>
    <w:rsid w:val="00A67DF0"/>
    <w:rsid w:val="00A67E0F"/>
    <w:rsid w:val="00A67EB3"/>
    <w:rsid w:val="00A700A6"/>
    <w:rsid w:val="00A701B3"/>
    <w:rsid w:val="00A7029B"/>
    <w:rsid w:val="00A70310"/>
    <w:rsid w:val="00A7035D"/>
    <w:rsid w:val="00A70389"/>
    <w:rsid w:val="00A707F4"/>
    <w:rsid w:val="00A70863"/>
    <w:rsid w:val="00A709D4"/>
    <w:rsid w:val="00A70AD9"/>
    <w:rsid w:val="00A70B25"/>
    <w:rsid w:val="00A70E7D"/>
    <w:rsid w:val="00A70EC1"/>
    <w:rsid w:val="00A70ED7"/>
    <w:rsid w:val="00A71035"/>
    <w:rsid w:val="00A71160"/>
    <w:rsid w:val="00A711E1"/>
    <w:rsid w:val="00A71667"/>
    <w:rsid w:val="00A716C3"/>
    <w:rsid w:val="00A71794"/>
    <w:rsid w:val="00A71844"/>
    <w:rsid w:val="00A7199D"/>
    <w:rsid w:val="00A71A1F"/>
    <w:rsid w:val="00A71BCA"/>
    <w:rsid w:val="00A71CC1"/>
    <w:rsid w:val="00A71F11"/>
    <w:rsid w:val="00A720AF"/>
    <w:rsid w:val="00A721FE"/>
    <w:rsid w:val="00A7229B"/>
    <w:rsid w:val="00A72328"/>
    <w:rsid w:val="00A72331"/>
    <w:rsid w:val="00A72458"/>
    <w:rsid w:val="00A72582"/>
    <w:rsid w:val="00A72621"/>
    <w:rsid w:val="00A72726"/>
    <w:rsid w:val="00A7272B"/>
    <w:rsid w:val="00A72771"/>
    <w:rsid w:val="00A727A7"/>
    <w:rsid w:val="00A727EE"/>
    <w:rsid w:val="00A7284D"/>
    <w:rsid w:val="00A72A0E"/>
    <w:rsid w:val="00A72DA9"/>
    <w:rsid w:val="00A72DD4"/>
    <w:rsid w:val="00A72E3C"/>
    <w:rsid w:val="00A72F5B"/>
    <w:rsid w:val="00A72F6A"/>
    <w:rsid w:val="00A72FC4"/>
    <w:rsid w:val="00A73158"/>
    <w:rsid w:val="00A731B7"/>
    <w:rsid w:val="00A732EF"/>
    <w:rsid w:val="00A7339D"/>
    <w:rsid w:val="00A7342C"/>
    <w:rsid w:val="00A7362F"/>
    <w:rsid w:val="00A7365A"/>
    <w:rsid w:val="00A736B0"/>
    <w:rsid w:val="00A736DA"/>
    <w:rsid w:val="00A736DB"/>
    <w:rsid w:val="00A73730"/>
    <w:rsid w:val="00A73B9F"/>
    <w:rsid w:val="00A73D6D"/>
    <w:rsid w:val="00A7411F"/>
    <w:rsid w:val="00A74139"/>
    <w:rsid w:val="00A744B0"/>
    <w:rsid w:val="00A747EE"/>
    <w:rsid w:val="00A748E4"/>
    <w:rsid w:val="00A74919"/>
    <w:rsid w:val="00A749F5"/>
    <w:rsid w:val="00A74B0F"/>
    <w:rsid w:val="00A74BDF"/>
    <w:rsid w:val="00A74C4E"/>
    <w:rsid w:val="00A74E56"/>
    <w:rsid w:val="00A74F0F"/>
    <w:rsid w:val="00A750FE"/>
    <w:rsid w:val="00A752BE"/>
    <w:rsid w:val="00A752D4"/>
    <w:rsid w:val="00A7536C"/>
    <w:rsid w:val="00A75424"/>
    <w:rsid w:val="00A75682"/>
    <w:rsid w:val="00A756C4"/>
    <w:rsid w:val="00A75784"/>
    <w:rsid w:val="00A757D1"/>
    <w:rsid w:val="00A75A5F"/>
    <w:rsid w:val="00A75A89"/>
    <w:rsid w:val="00A75C75"/>
    <w:rsid w:val="00A75C82"/>
    <w:rsid w:val="00A75CA1"/>
    <w:rsid w:val="00A75CA3"/>
    <w:rsid w:val="00A75CFD"/>
    <w:rsid w:val="00A75D9E"/>
    <w:rsid w:val="00A75EC7"/>
    <w:rsid w:val="00A75F38"/>
    <w:rsid w:val="00A760F1"/>
    <w:rsid w:val="00A764A5"/>
    <w:rsid w:val="00A76558"/>
    <w:rsid w:val="00A76719"/>
    <w:rsid w:val="00A76996"/>
    <w:rsid w:val="00A769B4"/>
    <w:rsid w:val="00A76B40"/>
    <w:rsid w:val="00A76CC6"/>
    <w:rsid w:val="00A76DAA"/>
    <w:rsid w:val="00A76DD2"/>
    <w:rsid w:val="00A76DF0"/>
    <w:rsid w:val="00A76F14"/>
    <w:rsid w:val="00A76F16"/>
    <w:rsid w:val="00A77054"/>
    <w:rsid w:val="00A7707D"/>
    <w:rsid w:val="00A7709C"/>
    <w:rsid w:val="00A77167"/>
    <w:rsid w:val="00A7722C"/>
    <w:rsid w:val="00A772AA"/>
    <w:rsid w:val="00A774D4"/>
    <w:rsid w:val="00A7759B"/>
    <w:rsid w:val="00A775B4"/>
    <w:rsid w:val="00A77606"/>
    <w:rsid w:val="00A776E0"/>
    <w:rsid w:val="00A776FB"/>
    <w:rsid w:val="00A7788B"/>
    <w:rsid w:val="00A778DC"/>
    <w:rsid w:val="00A77A62"/>
    <w:rsid w:val="00A77ABE"/>
    <w:rsid w:val="00A77B08"/>
    <w:rsid w:val="00A77B4B"/>
    <w:rsid w:val="00A77CEE"/>
    <w:rsid w:val="00A77F8B"/>
    <w:rsid w:val="00A80180"/>
    <w:rsid w:val="00A802B4"/>
    <w:rsid w:val="00A803CB"/>
    <w:rsid w:val="00A80641"/>
    <w:rsid w:val="00A806FA"/>
    <w:rsid w:val="00A80705"/>
    <w:rsid w:val="00A8077C"/>
    <w:rsid w:val="00A80849"/>
    <w:rsid w:val="00A808D0"/>
    <w:rsid w:val="00A8095E"/>
    <w:rsid w:val="00A80CF2"/>
    <w:rsid w:val="00A80D7A"/>
    <w:rsid w:val="00A80E17"/>
    <w:rsid w:val="00A80E18"/>
    <w:rsid w:val="00A81098"/>
    <w:rsid w:val="00A81171"/>
    <w:rsid w:val="00A811EF"/>
    <w:rsid w:val="00A8122F"/>
    <w:rsid w:val="00A81482"/>
    <w:rsid w:val="00A814B7"/>
    <w:rsid w:val="00A81549"/>
    <w:rsid w:val="00A81608"/>
    <w:rsid w:val="00A816A2"/>
    <w:rsid w:val="00A81794"/>
    <w:rsid w:val="00A8185A"/>
    <w:rsid w:val="00A81B2D"/>
    <w:rsid w:val="00A81CB2"/>
    <w:rsid w:val="00A81D08"/>
    <w:rsid w:val="00A81D0B"/>
    <w:rsid w:val="00A81D9B"/>
    <w:rsid w:val="00A81E43"/>
    <w:rsid w:val="00A81ECE"/>
    <w:rsid w:val="00A8208A"/>
    <w:rsid w:val="00A82093"/>
    <w:rsid w:val="00A8223F"/>
    <w:rsid w:val="00A82430"/>
    <w:rsid w:val="00A825D8"/>
    <w:rsid w:val="00A825F4"/>
    <w:rsid w:val="00A82601"/>
    <w:rsid w:val="00A828D5"/>
    <w:rsid w:val="00A82A59"/>
    <w:rsid w:val="00A82C7F"/>
    <w:rsid w:val="00A82E26"/>
    <w:rsid w:val="00A82E39"/>
    <w:rsid w:val="00A82EFC"/>
    <w:rsid w:val="00A8309A"/>
    <w:rsid w:val="00A83350"/>
    <w:rsid w:val="00A8353B"/>
    <w:rsid w:val="00A8355E"/>
    <w:rsid w:val="00A835DC"/>
    <w:rsid w:val="00A8377D"/>
    <w:rsid w:val="00A8384C"/>
    <w:rsid w:val="00A83C6A"/>
    <w:rsid w:val="00A83D1D"/>
    <w:rsid w:val="00A83E75"/>
    <w:rsid w:val="00A83FCA"/>
    <w:rsid w:val="00A8403A"/>
    <w:rsid w:val="00A84050"/>
    <w:rsid w:val="00A8428C"/>
    <w:rsid w:val="00A842E6"/>
    <w:rsid w:val="00A843F6"/>
    <w:rsid w:val="00A844B5"/>
    <w:rsid w:val="00A844D0"/>
    <w:rsid w:val="00A845F6"/>
    <w:rsid w:val="00A84713"/>
    <w:rsid w:val="00A847DB"/>
    <w:rsid w:val="00A84941"/>
    <w:rsid w:val="00A84949"/>
    <w:rsid w:val="00A84954"/>
    <w:rsid w:val="00A84A71"/>
    <w:rsid w:val="00A84ABA"/>
    <w:rsid w:val="00A84B02"/>
    <w:rsid w:val="00A84BFA"/>
    <w:rsid w:val="00A84C0C"/>
    <w:rsid w:val="00A84C3E"/>
    <w:rsid w:val="00A84E40"/>
    <w:rsid w:val="00A84E6C"/>
    <w:rsid w:val="00A85193"/>
    <w:rsid w:val="00A851C5"/>
    <w:rsid w:val="00A8523D"/>
    <w:rsid w:val="00A8523F"/>
    <w:rsid w:val="00A852D4"/>
    <w:rsid w:val="00A85420"/>
    <w:rsid w:val="00A8585E"/>
    <w:rsid w:val="00A859A3"/>
    <w:rsid w:val="00A859E9"/>
    <w:rsid w:val="00A85A36"/>
    <w:rsid w:val="00A85A6E"/>
    <w:rsid w:val="00A85C5A"/>
    <w:rsid w:val="00A85CD8"/>
    <w:rsid w:val="00A85E61"/>
    <w:rsid w:val="00A8604E"/>
    <w:rsid w:val="00A861AC"/>
    <w:rsid w:val="00A8647C"/>
    <w:rsid w:val="00A86494"/>
    <w:rsid w:val="00A866C9"/>
    <w:rsid w:val="00A86ABB"/>
    <w:rsid w:val="00A86AFD"/>
    <w:rsid w:val="00A86B82"/>
    <w:rsid w:val="00A86C69"/>
    <w:rsid w:val="00A86D38"/>
    <w:rsid w:val="00A86D7A"/>
    <w:rsid w:val="00A86D9D"/>
    <w:rsid w:val="00A86DA3"/>
    <w:rsid w:val="00A87104"/>
    <w:rsid w:val="00A87112"/>
    <w:rsid w:val="00A87819"/>
    <w:rsid w:val="00A878CE"/>
    <w:rsid w:val="00A87904"/>
    <w:rsid w:val="00A87BE7"/>
    <w:rsid w:val="00A87C9C"/>
    <w:rsid w:val="00A87D37"/>
    <w:rsid w:val="00A87E39"/>
    <w:rsid w:val="00A9001B"/>
    <w:rsid w:val="00A90085"/>
    <w:rsid w:val="00A900ED"/>
    <w:rsid w:val="00A90184"/>
    <w:rsid w:val="00A902DA"/>
    <w:rsid w:val="00A905CE"/>
    <w:rsid w:val="00A90932"/>
    <w:rsid w:val="00A90934"/>
    <w:rsid w:val="00A90BF2"/>
    <w:rsid w:val="00A90C29"/>
    <w:rsid w:val="00A90CAA"/>
    <w:rsid w:val="00A90CF1"/>
    <w:rsid w:val="00A9130E"/>
    <w:rsid w:val="00A91375"/>
    <w:rsid w:val="00A91636"/>
    <w:rsid w:val="00A9171B"/>
    <w:rsid w:val="00A9182F"/>
    <w:rsid w:val="00A91900"/>
    <w:rsid w:val="00A91BA2"/>
    <w:rsid w:val="00A91BFF"/>
    <w:rsid w:val="00A91C44"/>
    <w:rsid w:val="00A91D83"/>
    <w:rsid w:val="00A92114"/>
    <w:rsid w:val="00A92117"/>
    <w:rsid w:val="00A92288"/>
    <w:rsid w:val="00A923E9"/>
    <w:rsid w:val="00A92458"/>
    <w:rsid w:val="00A9245D"/>
    <w:rsid w:val="00A924FF"/>
    <w:rsid w:val="00A927B4"/>
    <w:rsid w:val="00A92831"/>
    <w:rsid w:val="00A92CB1"/>
    <w:rsid w:val="00A92CDD"/>
    <w:rsid w:val="00A92D17"/>
    <w:rsid w:val="00A92D99"/>
    <w:rsid w:val="00A92D9E"/>
    <w:rsid w:val="00A934A8"/>
    <w:rsid w:val="00A935E9"/>
    <w:rsid w:val="00A936A4"/>
    <w:rsid w:val="00A93703"/>
    <w:rsid w:val="00A9372F"/>
    <w:rsid w:val="00A93873"/>
    <w:rsid w:val="00A938FD"/>
    <w:rsid w:val="00A93991"/>
    <w:rsid w:val="00A93A65"/>
    <w:rsid w:val="00A93D30"/>
    <w:rsid w:val="00A93D6E"/>
    <w:rsid w:val="00A93E3D"/>
    <w:rsid w:val="00A93EAB"/>
    <w:rsid w:val="00A93EC7"/>
    <w:rsid w:val="00A9450E"/>
    <w:rsid w:val="00A945E9"/>
    <w:rsid w:val="00A945EE"/>
    <w:rsid w:val="00A946D1"/>
    <w:rsid w:val="00A946F4"/>
    <w:rsid w:val="00A946F9"/>
    <w:rsid w:val="00A94752"/>
    <w:rsid w:val="00A94887"/>
    <w:rsid w:val="00A94916"/>
    <w:rsid w:val="00A94992"/>
    <w:rsid w:val="00A94B30"/>
    <w:rsid w:val="00A94C6A"/>
    <w:rsid w:val="00A94D00"/>
    <w:rsid w:val="00A94F0B"/>
    <w:rsid w:val="00A95102"/>
    <w:rsid w:val="00A9514A"/>
    <w:rsid w:val="00A95179"/>
    <w:rsid w:val="00A95424"/>
    <w:rsid w:val="00A95447"/>
    <w:rsid w:val="00A95866"/>
    <w:rsid w:val="00A958E4"/>
    <w:rsid w:val="00A95935"/>
    <w:rsid w:val="00A9599E"/>
    <w:rsid w:val="00A95B2C"/>
    <w:rsid w:val="00A95B38"/>
    <w:rsid w:val="00A95C5F"/>
    <w:rsid w:val="00A95C79"/>
    <w:rsid w:val="00A95C89"/>
    <w:rsid w:val="00A95CBE"/>
    <w:rsid w:val="00A95D20"/>
    <w:rsid w:val="00A95DB5"/>
    <w:rsid w:val="00A95F68"/>
    <w:rsid w:val="00A95FCB"/>
    <w:rsid w:val="00A96300"/>
    <w:rsid w:val="00A9654D"/>
    <w:rsid w:val="00A9655B"/>
    <w:rsid w:val="00A965E8"/>
    <w:rsid w:val="00A96601"/>
    <w:rsid w:val="00A9660A"/>
    <w:rsid w:val="00A9665F"/>
    <w:rsid w:val="00A968BF"/>
    <w:rsid w:val="00A968C4"/>
    <w:rsid w:val="00A968C8"/>
    <w:rsid w:val="00A969EF"/>
    <w:rsid w:val="00A96AC6"/>
    <w:rsid w:val="00A96AED"/>
    <w:rsid w:val="00A96AF5"/>
    <w:rsid w:val="00A96D6B"/>
    <w:rsid w:val="00A96FB7"/>
    <w:rsid w:val="00A97199"/>
    <w:rsid w:val="00A97420"/>
    <w:rsid w:val="00A97551"/>
    <w:rsid w:val="00A975AA"/>
    <w:rsid w:val="00A975C3"/>
    <w:rsid w:val="00A9778E"/>
    <w:rsid w:val="00A977A1"/>
    <w:rsid w:val="00A979B8"/>
    <w:rsid w:val="00A979BE"/>
    <w:rsid w:val="00A97AE3"/>
    <w:rsid w:val="00A97CB4"/>
    <w:rsid w:val="00A97CE9"/>
    <w:rsid w:val="00A97D94"/>
    <w:rsid w:val="00A97D9F"/>
    <w:rsid w:val="00A97E60"/>
    <w:rsid w:val="00A97E69"/>
    <w:rsid w:val="00A97EF9"/>
    <w:rsid w:val="00A97F50"/>
    <w:rsid w:val="00AA002A"/>
    <w:rsid w:val="00AA0046"/>
    <w:rsid w:val="00AA00D4"/>
    <w:rsid w:val="00AA024A"/>
    <w:rsid w:val="00AA02E0"/>
    <w:rsid w:val="00AA0317"/>
    <w:rsid w:val="00AA040C"/>
    <w:rsid w:val="00AA04CD"/>
    <w:rsid w:val="00AA04D3"/>
    <w:rsid w:val="00AA05CB"/>
    <w:rsid w:val="00AA0669"/>
    <w:rsid w:val="00AA0691"/>
    <w:rsid w:val="00AA086E"/>
    <w:rsid w:val="00AA08C1"/>
    <w:rsid w:val="00AA0AB8"/>
    <w:rsid w:val="00AA0CBE"/>
    <w:rsid w:val="00AA0CC3"/>
    <w:rsid w:val="00AA0E72"/>
    <w:rsid w:val="00AA0F6A"/>
    <w:rsid w:val="00AA1007"/>
    <w:rsid w:val="00AA1429"/>
    <w:rsid w:val="00AA14C1"/>
    <w:rsid w:val="00AA15F0"/>
    <w:rsid w:val="00AA1668"/>
    <w:rsid w:val="00AA16C8"/>
    <w:rsid w:val="00AA17F7"/>
    <w:rsid w:val="00AA1BD0"/>
    <w:rsid w:val="00AA1D64"/>
    <w:rsid w:val="00AA1D7D"/>
    <w:rsid w:val="00AA1DE0"/>
    <w:rsid w:val="00AA1FAD"/>
    <w:rsid w:val="00AA2131"/>
    <w:rsid w:val="00AA217E"/>
    <w:rsid w:val="00AA2351"/>
    <w:rsid w:val="00AA2405"/>
    <w:rsid w:val="00AA2420"/>
    <w:rsid w:val="00AA2483"/>
    <w:rsid w:val="00AA26B6"/>
    <w:rsid w:val="00AA2940"/>
    <w:rsid w:val="00AA2974"/>
    <w:rsid w:val="00AA29D5"/>
    <w:rsid w:val="00AA2A62"/>
    <w:rsid w:val="00AA2AC8"/>
    <w:rsid w:val="00AA2AE3"/>
    <w:rsid w:val="00AA2B7C"/>
    <w:rsid w:val="00AA2BFA"/>
    <w:rsid w:val="00AA2C28"/>
    <w:rsid w:val="00AA2C7B"/>
    <w:rsid w:val="00AA2D7F"/>
    <w:rsid w:val="00AA2DCD"/>
    <w:rsid w:val="00AA2E39"/>
    <w:rsid w:val="00AA2F05"/>
    <w:rsid w:val="00AA2FE9"/>
    <w:rsid w:val="00AA307E"/>
    <w:rsid w:val="00AA30AE"/>
    <w:rsid w:val="00AA30CB"/>
    <w:rsid w:val="00AA30FF"/>
    <w:rsid w:val="00AA3188"/>
    <w:rsid w:val="00AA3301"/>
    <w:rsid w:val="00AA337B"/>
    <w:rsid w:val="00AA33AF"/>
    <w:rsid w:val="00AA360D"/>
    <w:rsid w:val="00AA38E9"/>
    <w:rsid w:val="00AA38EE"/>
    <w:rsid w:val="00AA39CB"/>
    <w:rsid w:val="00AA39F5"/>
    <w:rsid w:val="00AA3A05"/>
    <w:rsid w:val="00AA3A88"/>
    <w:rsid w:val="00AA3ABA"/>
    <w:rsid w:val="00AA3B46"/>
    <w:rsid w:val="00AA3CC3"/>
    <w:rsid w:val="00AA3E02"/>
    <w:rsid w:val="00AA43DD"/>
    <w:rsid w:val="00AA4660"/>
    <w:rsid w:val="00AA486E"/>
    <w:rsid w:val="00AA4914"/>
    <w:rsid w:val="00AA4995"/>
    <w:rsid w:val="00AA4A78"/>
    <w:rsid w:val="00AA4B70"/>
    <w:rsid w:val="00AA4F91"/>
    <w:rsid w:val="00AA4FD5"/>
    <w:rsid w:val="00AA523B"/>
    <w:rsid w:val="00AA56E8"/>
    <w:rsid w:val="00AA5777"/>
    <w:rsid w:val="00AA5897"/>
    <w:rsid w:val="00AA5917"/>
    <w:rsid w:val="00AA598E"/>
    <w:rsid w:val="00AA59D7"/>
    <w:rsid w:val="00AA5A5A"/>
    <w:rsid w:val="00AA5AC3"/>
    <w:rsid w:val="00AA5C32"/>
    <w:rsid w:val="00AA5C81"/>
    <w:rsid w:val="00AA5D85"/>
    <w:rsid w:val="00AA5D99"/>
    <w:rsid w:val="00AA5F9F"/>
    <w:rsid w:val="00AA6093"/>
    <w:rsid w:val="00AA6259"/>
    <w:rsid w:val="00AA63DC"/>
    <w:rsid w:val="00AA65B3"/>
    <w:rsid w:val="00AA65BC"/>
    <w:rsid w:val="00AA6607"/>
    <w:rsid w:val="00AA6957"/>
    <w:rsid w:val="00AA6A88"/>
    <w:rsid w:val="00AA6BFA"/>
    <w:rsid w:val="00AA6D6C"/>
    <w:rsid w:val="00AA6D98"/>
    <w:rsid w:val="00AA6DE8"/>
    <w:rsid w:val="00AA6DF6"/>
    <w:rsid w:val="00AA6E7C"/>
    <w:rsid w:val="00AA7032"/>
    <w:rsid w:val="00AA70B6"/>
    <w:rsid w:val="00AA73B8"/>
    <w:rsid w:val="00AA7445"/>
    <w:rsid w:val="00AA7472"/>
    <w:rsid w:val="00AA74C7"/>
    <w:rsid w:val="00AA76B5"/>
    <w:rsid w:val="00AA76BA"/>
    <w:rsid w:val="00AA76CC"/>
    <w:rsid w:val="00AA77C9"/>
    <w:rsid w:val="00AA7A14"/>
    <w:rsid w:val="00AA7A61"/>
    <w:rsid w:val="00AA7AB5"/>
    <w:rsid w:val="00AA7C45"/>
    <w:rsid w:val="00AA7CC4"/>
    <w:rsid w:val="00AA7D07"/>
    <w:rsid w:val="00AA7D35"/>
    <w:rsid w:val="00AA7D58"/>
    <w:rsid w:val="00AA7E98"/>
    <w:rsid w:val="00AA7EA7"/>
    <w:rsid w:val="00AA7F39"/>
    <w:rsid w:val="00AA7F89"/>
    <w:rsid w:val="00AB0151"/>
    <w:rsid w:val="00AB02C5"/>
    <w:rsid w:val="00AB03F7"/>
    <w:rsid w:val="00AB043D"/>
    <w:rsid w:val="00AB0524"/>
    <w:rsid w:val="00AB065F"/>
    <w:rsid w:val="00AB0730"/>
    <w:rsid w:val="00AB0938"/>
    <w:rsid w:val="00AB0982"/>
    <w:rsid w:val="00AB09A6"/>
    <w:rsid w:val="00AB09FD"/>
    <w:rsid w:val="00AB0BE1"/>
    <w:rsid w:val="00AB0DD5"/>
    <w:rsid w:val="00AB0E90"/>
    <w:rsid w:val="00AB0F1C"/>
    <w:rsid w:val="00AB1020"/>
    <w:rsid w:val="00AB1044"/>
    <w:rsid w:val="00AB1067"/>
    <w:rsid w:val="00AB122E"/>
    <w:rsid w:val="00AB1281"/>
    <w:rsid w:val="00AB14FF"/>
    <w:rsid w:val="00AB15D5"/>
    <w:rsid w:val="00AB1691"/>
    <w:rsid w:val="00AB19F7"/>
    <w:rsid w:val="00AB1B6D"/>
    <w:rsid w:val="00AB1C85"/>
    <w:rsid w:val="00AB1CBA"/>
    <w:rsid w:val="00AB1D3F"/>
    <w:rsid w:val="00AB1EE1"/>
    <w:rsid w:val="00AB1EE3"/>
    <w:rsid w:val="00AB1F5A"/>
    <w:rsid w:val="00AB2258"/>
    <w:rsid w:val="00AB22C6"/>
    <w:rsid w:val="00AB22D9"/>
    <w:rsid w:val="00AB23C1"/>
    <w:rsid w:val="00AB247E"/>
    <w:rsid w:val="00AB24E6"/>
    <w:rsid w:val="00AB2592"/>
    <w:rsid w:val="00AB2782"/>
    <w:rsid w:val="00AB2832"/>
    <w:rsid w:val="00AB2859"/>
    <w:rsid w:val="00AB29F7"/>
    <w:rsid w:val="00AB2B02"/>
    <w:rsid w:val="00AB2BB6"/>
    <w:rsid w:val="00AB2CA8"/>
    <w:rsid w:val="00AB2CFB"/>
    <w:rsid w:val="00AB2DDA"/>
    <w:rsid w:val="00AB2E75"/>
    <w:rsid w:val="00AB2EB7"/>
    <w:rsid w:val="00AB2F03"/>
    <w:rsid w:val="00AB303E"/>
    <w:rsid w:val="00AB30EF"/>
    <w:rsid w:val="00AB3345"/>
    <w:rsid w:val="00AB3398"/>
    <w:rsid w:val="00AB33CA"/>
    <w:rsid w:val="00AB33EB"/>
    <w:rsid w:val="00AB3667"/>
    <w:rsid w:val="00AB36C6"/>
    <w:rsid w:val="00AB36D6"/>
    <w:rsid w:val="00AB373A"/>
    <w:rsid w:val="00AB37D9"/>
    <w:rsid w:val="00AB37F3"/>
    <w:rsid w:val="00AB3842"/>
    <w:rsid w:val="00AB3869"/>
    <w:rsid w:val="00AB39D3"/>
    <w:rsid w:val="00AB3B0A"/>
    <w:rsid w:val="00AB3B47"/>
    <w:rsid w:val="00AB3DE9"/>
    <w:rsid w:val="00AB3E35"/>
    <w:rsid w:val="00AB4005"/>
    <w:rsid w:val="00AB403B"/>
    <w:rsid w:val="00AB410E"/>
    <w:rsid w:val="00AB418C"/>
    <w:rsid w:val="00AB440F"/>
    <w:rsid w:val="00AB44F8"/>
    <w:rsid w:val="00AB44FC"/>
    <w:rsid w:val="00AB47A6"/>
    <w:rsid w:val="00AB4A72"/>
    <w:rsid w:val="00AB4AF2"/>
    <w:rsid w:val="00AB4C1E"/>
    <w:rsid w:val="00AB4C89"/>
    <w:rsid w:val="00AB4D3C"/>
    <w:rsid w:val="00AB4FC7"/>
    <w:rsid w:val="00AB4FCD"/>
    <w:rsid w:val="00AB50A2"/>
    <w:rsid w:val="00AB50E5"/>
    <w:rsid w:val="00AB5269"/>
    <w:rsid w:val="00AB5341"/>
    <w:rsid w:val="00AB53D6"/>
    <w:rsid w:val="00AB547E"/>
    <w:rsid w:val="00AB562B"/>
    <w:rsid w:val="00AB56A4"/>
    <w:rsid w:val="00AB56D2"/>
    <w:rsid w:val="00AB570D"/>
    <w:rsid w:val="00AB5888"/>
    <w:rsid w:val="00AB5930"/>
    <w:rsid w:val="00AB597F"/>
    <w:rsid w:val="00AB5A90"/>
    <w:rsid w:val="00AB5AF0"/>
    <w:rsid w:val="00AB5B7E"/>
    <w:rsid w:val="00AB5CE8"/>
    <w:rsid w:val="00AB5D23"/>
    <w:rsid w:val="00AB5E2D"/>
    <w:rsid w:val="00AB5FE7"/>
    <w:rsid w:val="00AB61D3"/>
    <w:rsid w:val="00AB622B"/>
    <w:rsid w:val="00AB6406"/>
    <w:rsid w:val="00AB6592"/>
    <w:rsid w:val="00AB65DC"/>
    <w:rsid w:val="00AB6737"/>
    <w:rsid w:val="00AB6786"/>
    <w:rsid w:val="00AB67B9"/>
    <w:rsid w:val="00AB682E"/>
    <w:rsid w:val="00AB6895"/>
    <w:rsid w:val="00AB6C49"/>
    <w:rsid w:val="00AB6EA9"/>
    <w:rsid w:val="00AB6FF4"/>
    <w:rsid w:val="00AB7347"/>
    <w:rsid w:val="00AB747C"/>
    <w:rsid w:val="00AB74B3"/>
    <w:rsid w:val="00AB74CA"/>
    <w:rsid w:val="00AB769C"/>
    <w:rsid w:val="00AB7719"/>
    <w:rsid w:val="00AB78A0"/>
    <w:rsid w:val="00AB7959"/>
    <w:rsid w:val="00AB79A1"/>
    <w:rsid w:val="00AB79AE"/>
    <w:rsid w:val="00AB7A35"/>
    <w:rsid w:val="00AB7A39"/>
    <w:rsid w:val="00AB7ADF"/>
    <w:rsid w:val="00AB7C21"/>
    <w:rsid w:val="00AB7CA9"/>
    <w:rsid w:val="00AB7CEF"/>
    <w:rsid w:val="00AB7E61"/>
    <w:rsid w:val="00AC0362"/>
    <w:rsid w:val="00AC047D"/>
    <w:rsid w:val="00AC053A"/>
    <w:rsid w:val="00AC05F8"/>
    <w:rsid w:val="00AC06F2"/>
    <w:rsid w:val="00AC09BC"/>
    <w:rsid w:val="00AC09E7"/>
    <w:rsid w:val="00AC0A68"/>
    <w:rsid w:val="00AC0DA9"/>
    <w:rsid w:val="00AC1035"/>
    <w:rsid w:val="00AC1230"/>
    <w:rsid w:val="00AC1261"/>
    <w:rsid w:val="00AC12B5"/>
    <w:rsid w:val="00AC12DA"/>
    <w:rsid w:val="00AC1327"/>
    <w:rsid w:val="00AC135E"/>
    <w:rsid w:val="00AC1454"/>
    <w:rsid w:val="00AC1527"/>
    <w:rsid w:val="00AC1559"/>
    <w:rsid w:val="00AC1658"/>
    <w:rsid w:val="00AC1683"/>
    <w:rsid w:val="00AC179E"/>
    <w:rsid w:val="00AC187D"/>
    <w:rsid w:val="00AC19FA"/>
    <w:rsid w:val="00AC1DA8"/>
    <w:rsid w:val="00AC1F23"/>
    <w:rsid w:val="00AC1F47"/>
    <w:rsid w:val="00AC1F54"/>
    <w:rsid w:val="00AC2167"/>
    <w:rsid w:val="00AC217E"/>
    <w:rsid w:val="00AC2186"/>
    <w:rsid w:val="00AC241C"/>
    <w:rsid w:val="00AC24AF"/>
    <w:rsid w:val="00AC2616"/>
    <w:rsid w:val="00AC261E"/>
    <w:rsid w:val="00AC288C"/>
    <w:rsid w:val="00AC2A94"/>
    <w:rsid w:val="00AC2C20"/>
    <w:rsid w:val="00AC2C32"/>
    <w:rsid w:val="00AC2E2A"/>
    <w:rsid w:val="00AC2E5A"/>
    <w:rsid w:val="00AC32C0"/>
    <w:rsid w:val="00AC349F"/>
    <w:rsid w:val="00AC34B6"/>
    <w:rsid w:val="00AC34DF"/>
    <w:rsid w:val="00AC3A21"/>
    <w:rsid w:val="00AC3A41"/>
    <w:rsid w:val="00AC3AD1"/>
    <w:rsid w:val="00AC3DD3"/>
    <w:rsid w:val="00AC3F15"/>
    <w:rsid w:val="00AC3F86"/>
    <w:rsid w:val="00AC4118"/>
    <w:rsid w:val="00AC41CD"/>
    <w:rsid w:val="00AC429D"/>
    <w:rsid w:val="00AC42D4"/>
    <w:rsid w:val="00AC4346"/>
    <w:rsid w:val="00AC4466"/>
    <w:rsid w:val="00AC45F8"/>
    <w:rsid w:val="00AC46BC"/>
    <w:rsid w:val="00AC4A08"/>
    <w:rsid w:val="00AC4DA8"/>
    <w:rsid w:val="00AC4E77"/>
    <w:rsid w:val="00AC50B9"/>
    <w:rsid w:val="00AC5111"/>
    <w:rsid w:val="00AC5146"/>
    <w:rsid w:val="00AC5395"/>
    <w:rsid w:val="00AC54A0"/>
    <w:rsid w:val="00AC5810"/>
    <w:rsid w:val="00AC5977"/>
    <w:rsid w:val="00AC5C2D"/>
    <w:rsid w:val="00AC5C95"/>
    <w:rsid w:val="00AC5E99"/>
    <w:rsid w:val="00AC6136"/>
    <w:rsid w:val="00AC6220"/>
    <w:rsid w:val="00AC6380"/>
    <w:rsid w:val="00AC64A3"/>
    <w:rsid w:val="00AC6512"/>
    <w:rsid w:val="00AC681F"/>
    <w:rsid w:val="00AC6970"/>
    <w:rsid w:val="00AC69D2"/>
    <w:rsid w:val="00AC6A20"/>
    <w:rsid w:val="00AC6A22"/>
    <w:rsid w:val="00AC6AAC"/>
    <w:rsid w:val="00AC6ACE"/>
    <w:rsid w:val="00AC6BF8"/>
    <w:rsid w:val="00AC6C46"/>
    <w:rsid w:val="00AC6C94"/>
    <w:rsid w:val="00AC6D12"/>
    <w:rsid w:val="00AC6E42"/>
    <w:rsid w:val="00AC6ECB"/>
    <w:rsid w:val="00AC6F75"/>
    <w:rsid w:val="00AC6FCE"/>
    <w:rsid w:val="00AC70D9"/>
    <w:rsid w:val="00AC71E3"/>
    <w:rsid w:val="00AC720E"/>
    <w:rsid w:val="00AC73AE"/>
    <w:rsid w:val="00AC74B4"/>
    <w:rsid w:val="00AC790B"/>
    <w:rsid w:val="00AC7992"/>
    <w:rsid w:val="00AC7A24"/>
    <w:rsid w:val="00AC7A26"/>
    <w:rsid w:val="00AC7B20"/>
    <w:rsid w:val="00AC7B8D"/>
    <w:rsid w:val="00AC7C9D"/>
    <w:rsid w:val="00AC7D30"/>
    <w:rsid w:val="00AC7E48"/>
    <w:rsid w:val="00AD0057"/>
    <w:rsid w:val="00AD026E"/>
    <w:rsid w:val="00AD0339"/>
    <w:rsid w:val="00AD0418"/>
    <w:rsid w:val="00AD049B"/>
    <w:rsid w:val="00AD0598"/>
    <w:rsid w:val="00AD08DC"/>
    <w:rsid w:val="00AD0AFC"/>
    <w:rsid w:val="00AD0B62"/>
    <w:rsid w:val="00AD0B89"/>
    <w:rsid w:val="00AD0CDB"/>
    <w:rsid w:val="00AD0D9F"/>
    <w:rsid w:val="00AD11FE"/>
    <w:rsid w:val="00AD1219"/>
    <w:rsid w:val="00AD14E6"/>
    <w:rsid w:val="00AD14EB"/>
    <w:rsid w:val="00AD15B6"/>
    <w:rsid w:val="00AD15FB"/>
    <w:rsid w:val="00AD162B"/>
    <w:rsid w:val="00AD1672"/>
    <w:rsid w:val="00AD16E1"/>
    <w:rsid w:val="00AD1B5E"/>
    <w:rsid w:val="00AD1B71"/>
    <w:rsid w:val="00AD1C0A"/>
    <w:rsid w:val="00AD1CEA"/>
    <w:rsid w:val="00AD1D8B"/>
    <w:rsid w:val="00AD1EFA"/>
    <w:rsid w:val="00AD1F0D"/>
    <w:rsid w:val="00AD1F3F"/>
    <w:rsid w:val="00AD1F97"/>
    <w:rsid w:val="00AD202B"/>
    <w:rsid w:val="00AD210E"/>
    <w:rsid w:val="00AD21E0"/>
    <w:rsid w:val="00AD21FF"/>
    <w:rsid w:val="00AD2402"/>
    <w:rsid w:val="00AD2432"/>
    <w:rsid w:val="00AD2548"/>
    <w:rsid w:val="00AD2595"/>
    <w:rsid w:val="00AD259B"/>
    <w:rsid w:val="00AD25EE"/>
    <w:rsid w:val="00AD2677"/>
    <w:rsid w:val="00AD278F"/>
    <w:rsid w:val="00AD27B4"/>
    <w:rsid w:val="00AD27B9"/>
    <w:rsid w:val="00AD27E7"/>
    <w:rsid w:val="00AD2926"/>
    <w:rsid w:val="00AD2A6F"/>
    <w:rsid w:val="00AD2AD7"/>
    <w:rsid w:val="00AD2BD2"/>
    <w:rsid w:val="00AD2C5A"/>
    <w:rsid w:val="00AD2CC2"/>
    <w:rsid w:val="00AD2F0D"/>
    <w:rsid w:val="00AD3087"/>
    <w:rsid w:val="00AD3141"/>
    <w:rsid w:val="00AD314F"/>
    <w:rsid w:val="00AD3295"/>
    <w:rsid w:val="00AD33E2"/>
    <w:rsid w:val="00AD3597"/>
    <w:rsid w:val="00AD36C9"/>
    <w:rsid w:val="00AD3779"/>
    <w:rsid w:val="00AD38BF"/>
    <w:rsid w:val="00AD3AA6"/>
    <w:rsid w:val="00AD3C7B"/>
    <w:rsid w:val="00AD3CF2"/>
    <w:rsid w:val="00AD3D40"/>
    <w:rsid w:val="00AD3DA7"/>
    <w:rsid w:val="00AD3F64"/>
    <w:rsid w:val="00AD3FB8"/>
    <w:rsid w:val="00AD3FFA"/>
    <w:rsid w:val="00AD40FD"/>
    <w:rsid w:val="00AD419C"/>
    <w:rsid w:val="00AD41A2"/>
    <w:rsid w:val="00AD41B6"/>
    <w:rsid w:val="00AD43AF"/>
    <w:rsid w:val="00AD47CD"/>
    <w:rsid w:val="00AD4B24"/>
    <w:rsid w:val="00AD4BAB"/>
    <w:rsid w:val="00AD4CAA"/>
    <w:rsid w:val="00AD4D36"/>
    <w:rsid w:val="00AD4E74"/>
    <w:rsid w:val="00AD4EE9"/>
    <w:rsid w:val="00AD4F1A"/>
    <w:rsid w:val="00AD50E3"/>
    <w:rsid w:val="00AD5166"/>
    <w:rsid w:val="00AD51A4"/>
    <w:rsid w:val="00AD52F2"/>
    <w:rsid w:val="00AD532E"/>
    <w:rsid w:val="00AD53C1"/>
    <w:rsid w:val="00AD540A"/>
    <w:rsid w:val="00AD554B"/>
    <w:rsid w:val="00AD557B"/>
    <w:rsid w:val="00AD5790"/>
    <w:rsid w:val="00AD588D"/>
    <w:rsid w:val="00AD5AAD"/>
    <w:rsid w:val="00AD5E27"/>
    <w:rsid w:val="00AD6079"/>
    <w:rsid w:val="00AD607E"/>
    <w:rsid w:val="00AD607F"/>
    <w:rsid w:val="00AD6426"/>
    <w:rsid w:val="00AD6520"/>
    <w:rsid w:val="00AD6570"/>
    <w:rsid w:val="00AD65B9"/>
    <w:rsid w:val="00AD6632"/>
    <w:rsid w:val="00AD669B"/>
    <w:rsid w:val="00AD6709"/>
    <w:rsid w:val="00AD6808"/>
    <w:rsid w:val="00AD68E0"/>
    <w:rsid w:val="00AD690C"/>
    <w:rsid w:val="00AD6A00"/>
    <w:rsid w:val="00AD6A38"/>
    <w:rsid w:val="00AD6C99"/>
    <w:rsid w:val="00AD6D0F"/>
    <w:rsid w:val="00AD6DA4"/>
    <w:rsid w:val="00AD6F4D"/>
    <w:rsid w:val="00AD6FF3"/>
    <w:rsid w:val="00AD723C"/>
    <w:rsid w:val="00AD7264"/>
    <w:rsid w:val="00AD7479"/>
    <w:rsid w:val="00AD74B6"/>
    <w:rsid w:val="00AD758F"/>
    <w:rsid w:val="00AD7616"/>
    <w:rsid w:val="00AD76C1"/>
    <w:rsid w:val="00AD7705"/>
    <w:rsid w:val="00AD7751"/>
    <w:rsid w:val="00AD783D"/>
    <w:rsid w:val="00AD78B2"/>
    <w:rsid w:val="00AD7912"/>
    <w:rsid w:val="00AD7920"/>
    <w:rsid w:val="00AD79A4"/>
    <w:rsid w:val="00AD7AD1"/>
    <w:rsid w:val="00AD7B48"/>
    <w:rsid w:val="00AD7C55"/>
    <w:rsid w:val="00AD7CDF"/>
    <w:rsid w:val="00AD7F0A"/>
    <w:rsid w:val="00AE0097"/>
    <w:rsid w:val="00AE00F3"/>
    <w:rsid w:val="00AE0379"/>
    <w:rsid w:val="00AE03AE"/>
    <w:rsid w:val="00AE0440"/>
    <w:rsid w:val="00AE0516"/>
    <w:rsid w:val="00AE0558"/>
    <w:rsid w:val="00AE0702"/>
    <w:rsid w:val="00AE0711"/>
    <w:rsid w:val="00AE08F0"/>
    <w:rsid w:val="00AE094F"/>
    <w:rsid w:val="00AE0B83"/>
    <w:rsid w:val="00AE0C2B"/>
    <w:rsid w:val="00AE0C46"/>
    <w:rsid w:val="00AE0CCB"/>
    <w:rsid w:val="00AE0DD4"/>
    <w:rsid w:val="00AE0E0E"/>
    <w:rsid w:val="00AE0F12"/>
    <w:rsid w:val="00AE0F87"/>
    <w:rsid w:val="00AE1006"/>
    <w:rsid w:val="00AE11A2"/>
    <w:rsid w:val="00AE12EE"/>
    <w:rsid w:val="00AE145A"/>
    <w:rsid w:val="00AE1593"/>
    <w:rsid w:val="00AE1772"/>
    <w:rsid w:val="00AE1861"/>
    <w:rsid w:val="00AE1F39"/>
    <w:rsid w:val="00AE22B6"/>
    <w:rsid w:val="00AE2328"/>
    <w:rsid w:val="00AE24A7"/>
    <w:rsid w:val="00AE2682"/>
    <w:rsid w:val="00AE26C9"/>
    <w:rsid w:val="00AE271D"/>
    <w:rsid w:val="00AE2871"/>
    <w:rsid w:val="00AE2886"/>
    <w:rsid w:val="00AE296E"/>
    <w:rsid w:val="00AE2BE7"/>
    <w:rsid w:val="00AE2BF5"/>
    <w:rsid w:val="00AE2CF5"/>
    <w:rsid w:val="00AE2DA5"/>
    <w:rsid w:val="00AE2DB0"/>
    <w:rsid w:val="00AE2E7A"/>
    <w:rsid w:val="00AE2F05"/>
    <w:rsid w:val="00AE2F39"/>
    <w:rsid w:val="00AE3046"/>
    <w:rsid w:val="00AE30F8"/>
    <w:rsid w:val="00AE334C"/>
    <w:rsid w:val="00AE3460"/>
    <w:rsid w:val="00AE34E7"/>
    <w:rsid w:val="00AE3658"/>
    <w:rsid w:val="00AE3744"/>
    <w:rsid w:val="00AE3E56"/>
    <w:rsid w:val="00AE3FE9"/>
    <w:rsid w:val="00AE4487"/>
    <w:rsid w:val="00AE44E7"/>
    <w:rsid w:val="00AE4971"/>
    <w:rsid w:val="00AE4B11"/>
    <w:rsid w:val="00AE4B6F"/>
    <w:rsid w:val="00AE4DBD"/>
    <w:rsid w:val="00AE4DD7"/>
    <w:rsid w:val="00AE4EAA"/>
    <w:rsid w:val="00AE4ED9"/>
    <w:rsid w:val="00AE4FC9"/>
    <w:rsid w:val="00AE50E4"/>
    <w:rsid w:val="00AE50E7"/>
    <w:rsid w:val="00AE5196"/>
    <w:rsid w:val="00AE526D"/>
    <w:rsid w:val="00AE5495"/>
    <w:rsid w:val="00AE5564"/>
    <w:rsid w:val="00AE5690"/>
    <w:rsid w:val="00AE5845"/>
    <w:rsid w:val="00AE598B"/>
    <w:rsid w:val="00AE5B28"/>
    <w:rsid w:val="00AE5D24"/>
    <w:rsid w:val="00AE5EEA"/>
    <w:rsid w:val="00AE5FCE"/>
    <w:rsid w:val="00AE6267"/>
    <w:rsid w:val="00AE63EA"/>
    <w:rsid w:val="00AE6400"/>
    <w:rsid w:val="00AE6472"/>
    <w:rsid w:val="00AE6550"/>
    <w:rsid w:val="00AE6640"/>
    <w:rsid w:val="00AE66D4"/>
    <w:rsid w:val="00AE6796"/>
    <w:rsid w:val="00AE67CE"/>
    <w:rsid w:val="00AE6A39"/>
    <w:rsid w:val="00AE6C13"/>
    <w:rsid w:val="00AE6D08"/>
    <w:rsid w:val="00AE6E67"/>
    <w:rsid w:val="00AE6FA8"/>
    <w:rsid w:val="00AE705B"/>
    <w:rsid w:val="00AE70C0"/>
    <w:rsid w:val="00AE70EB"/>
    <w:rsid w:val="00AE72A8"/>
    <w:rsid w:val="00AE7337"/>
    <w:rsid w:val="00AE73A0"/>
    <w:rsid w:val="00AE74E4"/>
    <w:rsid w:val="00AE7559"/>
    <w:rsid w:val="00AE7773"/>
    <w:rsid w:val="00AE77A3"/>
    <w:rsid w:val="00AE78D1"/>
    <w:rsid w:val="00AE7905"/>
    <w:rsid w:val="00AE79CB"/>
    <w:rsid w:val="00AE79D8"/>
    <w:rsid w:val="00AE7ADA"/>
    <w:rsid w:val="00AE7B46"/>
    <w:rsid w:val="00AE7BBE"/>
    <w:rsid w:val="00AE7C1F"/>
    <w:rsid w:val="00AE7EB9"/>
    <w:rsid w:val="00AE7F16"/>
    <w:rsid w:val="00AF018D"/>
    <w:rsid w:val="00AF01A0"/>
    <w:rsid w:val="00AF04F6"/>
    <w:rsid w:val="00AF0535"/>
    <w:rsid w:val="00AF06B3"/>
    <w:rsid w:val="00AF0737"/>
    <w:rsid w:val="00AF0810"/>
    <w:rsid w:val="00AF0866"/>
    <w:rsid w:val="00AF08B6"/>
    <w:rsid w:val="00AF09DE"/>
    <w:rsid w:val="00AF0F97"/>
    <w:rsid w:val="00AF105E"/>
    <w:rsid w:val="00AF14CD"/>
    <w:rsid w:val="00AF1533"/>
    <w:rsid w:val="00AF1649"/>
    <w:rsid w:val="00AF17C7"/>
    <w:rsid w:val="00AF1922"/>
    <w:rsid w:val="00AF1998"/>
    <w:rsid w:val="00AF211E"/>
    <w:rsid w:val="00AF215E"/>
    <w:rsid w:val="00AF2174"/>
    <w:rsid w:val="00AF2192"/>
    <w:rsid w:val="00AF22F0"/>
    <w:rsid w:val="00AF241F"/>
    <w:rsid w:val="00AF2511"/>
    <w:rsid w:val="00AF274A"/>
    <w:rsid w:val="00AF27E8"/>
    <w:rsid w:val="00AF27F4"/>
    <w:rsid w:val="00AF2854"/>
    <w:rsid w:val="00AF2910"/>
    <w:rsid w:val="00AF2BE6"/>
    <w:rsid w:val="00AF2ECC"/>
    <w:rsid w:val="00AF3309"/>
    <w:rsid w:val="00AF333A"/>
    <w:rsid w:val="00AF33CA"/>
    <w:rsid w:val="00AF34DF"/>
    <w:rsid w:val="00AF37CA"/>
    <w:rsid w:val="00AF383E"/>
    <w:rsid w:val="00AF3B83"/>
    <w:rsid w:val="00AF3C18"/>
    <w:rsid w:val="00AF3C6F"/>
    <w:rsid w:val="00AF402A"/>
    <w:rsid w:val="00AF4235"/>
    <w:rsid w:val="00AF4281"/>
    <w:rsid w:val="00AF4404"/>
    <w:rsid w:val="00AF4515"/>
    <w:rsid w:val="00AF4697"/>
    <w:rsid w:val="00AF46AF"/>
    <w:rsid w:val="00AF4763"/>
    <w:rsid w:val="00AF4896"/>
    <w:rsid w:val="00AF4988"/>
    <w:rsid w:val="00AF4B03"/>
    <w:rsid w:val="00AF4B41"/>
    <w:rsid w:val="00AF4B52"/>
    <w:rsid w:val="00AF4BF7"/>
    <w:rsid w:val="00AF4BF9"/>
    <w:rsid w:val="00AF4CAF"/>
    <w:rsid w:val="00AF4D24"/>
    <w:rsid w:val="00AF4D34"/>
    <w:rsid w:val="00AF50AA"/>
    <w:rsid w:val="00AF51B2"/>
    <w:rsid w:val="00AF53D6"/>
    <w:rsid w:val="00AF53D7"/>
    <w:rsid w:val="00AF5470"/>
    <w:rsid w:val="00AF567F"/>
    <w:rsid w:val="00AF584B"/>
    <w:rsid w:val="00AF5981"/>
    <w:rsid w:val="00AF5A3E"/>
    <w:rsid w:val="00AF5B0A"/>
    <w:rsid w:val="00AF5DD1"/>
    <w:rsid w:val="00AF5E44"/>
    <w:rsid w:val="00AF5F4F"/>
    <w:rsid w:val="00AF5FC4"/>
    <w:rsid w:val="00AF6315"/>
    <w:rsid w:val="00AF639E"/>
    <w:rsid w:val="00AF63D8"/>
    <w:rsid w:val="00AF6584"/>
    <w:rsid w:val="00AF660F"/>
    <w:rsid w:val="00AF6635"/>
    <w:rsid w:val="00AF672E"/>
    <w:rsid w:val="00AF6A82"/>
    <w:rsid w:val="00AF6B5C"/>
    <w:rsid w:val="00AF6BD3"/>
    <w:rsid w:val="00AF6C1C"/>
    <w:rsid w:val="00AF6CAC"/>
    <w:rsid w:val="00AF6CB8"/>
    <w:rsid w:val="00AF6FF5"/>
    <w:rsid w:val="00AF70A2"/>
    <w:rsid w:val="00AF72F7"/>
    <w:rsid w:val="00AF7395"/>
    <w:rsid w:val="00AF73CF"/>
    <w:rsid w:val="00AF7455"/>
    <w:rsid w:val="00AF75D0"/>
    <w:rsid w:val="00AF766E"/>
    <w:rsid w:val="00AF76BF"/>
    <w:rsid w:val="00AF771F"/>
    <w:rsid w:val="00AF7A05"/>
    <w:rsid w:val="00AF7BF1"/>
    <w:rsid w:val="00AF7CB2"/>
    <w:rsid w:val="00AF7D97"/>
    <w:rsid w:val="00AF7DC8"/>
    <w:rsid w:val="00AF7DDE"/>
    <w:rsid w:val="00AF7F7E"/>
    <w:rsid w:val="00B000FA"/>
    <w:rsid w:val="00B00152"/>
    <w:rsid w:val="00B00300"/>
    <w:rsid w:val="00B0033B"/>
    <w:rsid w:val="00B00397"/>
    <w:rsid w:val="00B0059F"/>
    <w:rsid w:val="00B00798"/>
    <w:rsid w:val="00B00926"/>
    <w:rsid w:val="00B00955"/>
    <w:rsid w:val="00B00BC2"/>
    <w:rsid w:val="00B00C25"/>
    <w:rsid w:val="00B00D31"/>
    <w:rsid w:val="00B01032"/>
    <w:rsid w:val="00B01196"/>
    <w:rsid w:val="00B01346"/>
    <w:rsid w:val="00B013CA"/>
    <w:rsid w:val="00B016B2"/>
    <w:rsid w:val="00B016D6"/>
    <w:rsid w:val="00B0176C"/>
    <w:rsid w:val="00B0185F"/>
    <w:rsid w:val="00B019B5"/>
    <w:rsid w:val="00B01BC7"/>
    <w:rsid w:val="00B01E15"/>
    <w:rsid w:val="00B020A2"/>
    <w:rsid w:val="00B020FD"/>
    <w:rsid w:val="00B02103"/>
    <w:rsid w:val="00B022AB"/>
    <w:rsid w:val="00B02306"/>
    <w:rsid w:val="00B0242C"/>
    <w:rsid w:val="00B024F9"/>
    <w:rsid w:val="00B026A5"/>
    <w:rsid w:val="00B02745"/>
    <w:rsid w:val="00B028CC"/>
    <w:rsid w:val="00B02904"/>
    <w:rsid w:val="00B0293B"/>
    <w:rsid w:val="00B02AA5"/>
    <w:rsid w:val="00B02B89"/>
    <w:rsid w:val="00B02B9E"/>
    <w:rsid w:val="00B02BA5"/>
    <w:rsid w:val="00B02BCB"/>
    <w:rsid w:val="00B02C12"/>
    <w:rsid w:val="00B02CFB"/>
    <w:rsid w:val="00B02E54"/>
    <w:rsid w:val="00B02F25"/>
    <w:rsid w:val="00B02F31"/>
    <w:rsid w:val="00B031FE"/>
    <w:rsid w:val="00B032C8"/>
    <w:rsid w:val="00B034B3"/>
    <w:rsid w:val="00B034EC"/>
    <w:rsid w:val="00B0373F"/>
    <w:rsid w:val="00B03830"/>
    <w:rsid w:val="00B0386E"/>
    <w:rsid w:val="00B03926"/>
    <w:rsid w:val="00B039A5"/>
    <w:rsid w:val="00B03C50"/>
    <w:rsid w:val="00B03F66"/>
    <w:rsid w:val="00B04036"/>
    <w:rsid w:val="00B0406A"/>
    <w:rsid w:val="00B040BF"/>
    <w:rsid w:val="00B0427B"/>
    <w:rsid w:val="00B04306"/>
    <w:rsid w:val="00B043EE"/>
    <w:rsid w:val="00B0453E"/>
    <w:rsid w:val="00B04610"/>
    <w:rsid w:val="00B0475A"/>
    <w:rsid w:val="00B04817"/>
    <w:rsid w:val="00B04A98"/>
    <w:rsid w:val="00B04AD7"/>
    <w:rsid w:val="00B04FC2"/>
    <w:rsid w:val="00B05314"/>
    <w:rsid w:val="00B05543"/>
    <w:rsid w:val="00B05718"/>
    <w:rsid w:val="00B0577C"/>
    <w:rsid w:val="00B05898"/>
    <w:rsid w:val="00B058B8"/>
    <w:rsid w:val="00B05B50"/>
    <w:rsid w:val="00B05B74"/>
    <w:rsid w:val="00B05F6D"/>
    <w:rsid w:val="00B060F6"/>
    <w:rsid w:val="00B06105"/>
    <w:rsid w:val="00B061B7"/>
    <w:rsid w:val="00B061ED"/>
    <w:rsid w:val="00B06250"/>
    <w:rsid w:val="00B062F6"/>
    <w:rsid w:val="00B063DF"/>
    <w:rsid w:val="00B06449"/>
    <w:rsid w:val="00B06714"/>
    <w:rsid w:val="00B06774"/>
    <w:rsid w:val="00B068D9"/>
    <w:rsid w:val="00B06BA5"/>
    <w:rsid w:val="00B06C00"/>
    <w:rsid w:val="00B06C3F"/>
    <w:rsid w:val="00B06D42"/>
    <w:rsid w:val="00B06E30"/>
    <w:rsid w:val="00B06E45"/>
    <w:rsid w:val="00B06EE3"/>
    <w:rsid w:val="00B06FCE"/>
    <w:rsid w:val="00B07151"/>
    <w:rsid w:val="00B07200"/>
    <w:rsid w:val="00B0720F"/>
    <w:rsid w:val="00B07234"/>
    <w:rsid w:val="00B0731E"/>
    <w:rsid w:val="00B07456"/>
    <w:rsid w:val="00B07592"/>
    <w:rsid w:val="00B076DB"/>
    <w:rsid w:val="00B077B7"/>
    <w:rsid w:val="00B078C5"/>
    <w:rsid w:val="00B0797C"/>
    <w:rsid w:val="00B07B36"/>
    <w:rsid w:val="00B07C68"/>
    <w:rsid w:val="00B07D55"/>
    <w:rsid w:val="00B07D6E"/>
    <w:rsid w:val="00B07E4F"/>
    <w:rsid w:val="00B07E87"/>
    <w:rsid w:val="00B07FCE"/>
    <w:rsid w:val="00B1000F"/>
    <w:rsid w:val="00B10113"/>
    <w:rsid w:val="00B1012E"/>
    <w:rsid w:val="00B10167"/>
    <w:rsid w:val="00B10235"/>
    <w:rsid w:val="00B10347"/>
    <w:rsid w:val="00B104CB"/>
    <w:rsid w:val="00B1069C"/>
    <w:rsid w:val="00B10796"/>
    <w:rsid w:val="00B10798"/>
    <w:rsid w:val="00B10833"/>
    <w:rsid w:val="00B108A7"/>
    <w:rsid w:val="00B109A8"/>
    <w:rsid w:val="00B10A17"/>
    <w:rsid w:val="00B10A67"/>
    <w:rsid w:val="00B10A84"/>
    <w:rsid w:val="00B10A87"/>
    <w:rsid w:val="00B10B9E"/>
    <w:rsid w:val="00B10BF7"/>
    <w:rsid w:val="00B10D3D"/>
    <w:rsid w:val="00B10E9C"/>
    <w:rsid w:val="00B1109D"/>
    <w:rsid w:val="00B113DB"/>
    <w:rsid w:val="00B11544"/>
    <w:rsid w:val="00B1167B"/>
    <w:rsid w:val="00B11746"/>
    <w:rsid w:val="00B11763"/>
    <w:rsid w:val="00B11803"/>
    <w:rsid w:val="00B11815"/>
    <w:rsid w:val="00B11842"/>
    <w:rsid w:val="00B118D2"/>
    <w:rsid w:val="00B119AF"/>
    <w:rsid w:val="00B11BD5"/>
    <w:rsid w:val="00B11C0D"/>
    <w:rsid w:val="00B11C1C"/>
    <w:rsid w:val="00B11C4C"/>
    <w:rsid w:val="00B11C56"/>
    <w:rsid w:val="00B11CAD"/>
    <w:rsid w:val="00B11D8A"/>
    <w:rsid w:val="00B11DD0"/>
    <w:rsid w:val="00B11DFA"/>
    <w:rsid w:val="00B11ECE"/>
    <w:rsid w:val="00B11F3A"/>
    <w:rsid w:val="00B1201F"/>
    <w:rsid w:val="00B120AC"/>
    <w:rsid w:val="00B121BC"/>
    <w:rsid w:val="00B121C3"/>
    <w:rsid w:val="00B12398"/>
    <w:rsid w:val="00B12505"/>
    <w:rsid w:val="00B125CE"/>
    <w:rsid w:val="00B1270E"/>
    <w:rsid w:val="00B12726"/>
    <w:rsid w:val="00B12736"/>
    <w:rsid w:val="00B1281D"/>
    <w:rsid w:val="00B12948"/>
    <w:rsid w:val="00B12AA7"/>
    <w:rsid w:val="00B12CA9"/>
    <w:rsid w:val="00B12CD6"/>
    <w:rsid w:val="00B12D78"/>
    <w:rsid w:val="00B12EFE"/>
    <w:rsid w:val="00B12F78"/>
    <w:rsid w:val="00B12FDF"/>
    <w:rsid w:val="00B130B2"/>
    <w:rsid w:val="00B131B2"/>
    <w:rsid w:val="00B13220"/>
    <w:rsid w:val="00B133D6"/>
    <w:rsid w:val="00B135C0"/>
    <w:rsid w:val="00B136EC"/>
    <w:rsid w:val="00B13781"/>
    <w:rsid w:val="00B13790"/>
    <w:rsid w:val="00B137D3"/>
    <w:rsid w:val="00B138C2"/>
    <w:rsid w:val="00B138D0"/>
    <w:rsid w:val="00B13948"/>
    <w:rsid w:val="00B139E0"/>
    <w:rsid w:val="00B13C4B"/>
    <w:rsid w:val="00B13D2E"/>
    <w:rsid w:val="00B140ED"/>
    <w:rsid w:val="00B1428F"/>
    <w:rsid w:val="00B142BF"/>
    <w:rsid w:val="00B142EE"/>
    <w:rsid w:val="00B1430D"/>
    <w:rsid w:val="00B1436F"/>
    <w:rsid w:val="00B14448"/>
    <w:rsid w:val="00B144DD"/>
    <w:rsid w:val="00B147ED"/>
    <w:rsid w:val="00B14824"/>
    <w:rsid w:val="00B149EE"/>
    <w:rsid w:val="00B14BED"/>
    <w:rsid w:val="00B14C3A"/>
    <w:rsid w:val="00B14F0E"/>
    <w:rsid w:val="00B14F75"/>
    <w:rsid w:val="00B150B3"/>
    <w:rsid w:val="00B15288"/>
    <w:rsid w:val="00B1556F"/>
    <w:rsid w:val="00B158E4"/>
    <w:rsid w:val="00B15B26"/>
    <w:rsid w:val="00B15B34"/>
    <w:rsid w:val="00B15B93"/>
    <w:rsid w:val="00B15CA8"/>
    <w:rsid w:val="00B15ED6"/>
    <w:rsid w:val="00B15FB4"/>
    <w:rsid w:val="00B16170"/>
    <w:rsid w:val="00B16199"/>
    <w:rsid w:val="00B161DA"/>
    <w:rsid w:val="00B16258"/>
    <w:rsid w:val="00B16264"/>
    <w:rsid w:val="00B16270"/>
    <w:rsid w:val="00B16285"/>
    <w:rsid w:val="00B164F8"/>
    <w:rsid w:val="00B16510"/>
    <w:rsid w:val="00B166F1"/>
    <w:rsid w:val="00B1672F"/>
    <w:rsid w:val="00B16824"/>
    <w:rsid w:val="00B1699A"/>
    <w:rsid w:val="00B169C1"/>
    <w:rsid w:val="00B16AB4"/>
    <w:rsid w:val="00B16B67"/>
    <w:rsid w:val="00B16BDC"/>
    <w:rsid w:val="00B16C3A"/>
    <w:rsid w:val="00B16D8A"/>
    <w:rsid w:val="00B16E06"/>
    <w:rsid w:val="00B16E42"/>
    <w:rsid w:val="00B17064"/>
    <w:rsid w:val="00B17127"/>
    <w:rsid w:val="00B17466"/>
    <w:rsid w:val="00B174F3"/>
    <w:rsid w:val="00B1761B"/>
    <w:rsid w:val="00B1769C"/>
    <w:rsid w:val="00B176EA"/>
    <w:rsid w:val="00B177C1"/>
    <w:rsid w:val="00B1788E"/>
    <w:rsid w:val="00B179A6"/>
    <w:rsid w:val="00B17D71"/>
    <w:rsid w:val="00B17EA3"/>
    <w:rsid w:val="00B17EF0"/>
    <w:rsid w:val="00B20172"/>
    <w:rsid w:val="00B20212"/>
    <w:rsid w:val="00B202CF"/>
    <w:rsid w:val="00B2037B"/>
    <w:rsid w:val="00B204A6"/>
    <w:rsid w:val="00B20539"/>
    <w:rsid w:val="00B20698"/>
    <w:rsid w:val="00B206A1"/>
    <w:rsid w:val="00B206D3"/>
    <w:rsid w:val="00B20C17"/>
    <w:rsid w:val="00B20C21"/>
    <w:rsid w:val="00B20CDB"/>
    <w:rsid w:val="00B20D44"/>
    <w:rsid w:val="00B20DDE"/>
    <w:rsid w:val="00B20E30"/>
    <w:rsid w:val="00B20F19"/>
    <w:rsid w:val="00B21239"/>
    <w:rsid w:val="00B21277"/>
    <w:rsid w:val="00B2132B"/>
    <w:rsid w:val="00B2137F"/>
    <w:rsid w:val="00B2139F"/>
    <w:rsid w:val="00B213B2"/>
    <w:rsid w:val="00B21430"/>
    <w:rsid w:val="00B21459"/>
    <w:rsid w:val="00B214BC"/>
    <w:rsid w:val="00B2156C"/>
    <w:rsid w:val="00B21A74"/>
    <w:rsid w:val="00B21C37"/>
    <w:rsid w:val="00B21C6F"/>
    <w:rsid w:val="00B21E97"/>
    <w:rsid w:val="00B21F5E"/>
    <w:rsid w:val="00B2207F"/>
    <w:rsid w:val="00B22152"/>
    <w:rsid w:val="00B221D1"/>
    <w:rsid w:val="00B22395"/>
    <w:rsid w:val="00B22426"/>
    <w:rsid w:val="00B22441"/>
    <w:rsid w:val="00B22492"/>
    <w:rsid w:val="00B2273F"/>
    <w:rsid w:val="00B22A32"/>
    <w:rsid w:val="00B22B85"/>
    <w:rsid w:val="00B22CD6"/>
    <w:rsid w:val="00B22D12"/>
    <w:rsid w:val="00B22D17"/>
    <w:rsid w:val="00B22D75"/>
    <w:rsid w:val="00B22F0A"/>
    <w:rsid w:val="00B22FA8"/>
    <w:rsid w:val="00B22FAA"/>
    <w:rsid w:val="00B232A1"/>
    <w:rsid w:val="00B233B4"/>
    <w:rsid w:val="00B234F4"/>
    <w:rsid w:val="00B2351C"/>
    <w:rsid w:val="00B235B6"/>
    <w:rsid w:val="00B2397E"/>
    <w:rsid w:val="00B239A2"/>
    <w:rsid w:val="00B23A20"/>
    <w:rsid w:val="00B23AE1"/>
    <w:rsid w:val="00B23B94"/>
    <w:rsid w:val="00B23C9A"/>
    <w:rsid w:val="00B23CAA"/>
    <w:rsid w:val="00B23DD5"/>
    <w:rsid w:val="00B23E9D"/>
    <w:rsid w:val="00B23F12"/>
    <w:rsid w:val="00B23F22"/>
    <w:rsid w:val="00B23F34"/>
    <w:rsid w:val="00B24071"/>
    <w:rsid w:val="00B24187"/>
    <w:rsid w:val="00B242B7"/>
    <w:rsid w:val="00B2432E"/>
    <w:rsid w:val="00B2435E"/>
    <w:rsid w:val="00B24374"/>
    <w:rsid w:val="00B24420"/>
    <w:rsid w:val="00B2446A"/>
    <w:rsid w:val="00B244BF"/>
    <w:rsid w:val="00B24598"/>
    <w:rsid w:val="00B245EF"/>
    <w:rsid w:val="00B2471A"/>
    <w:rsid w:val="00B24795"/>
    <w:rsid w:val="00B249AE"/>
    <w:rsid w:val="00B249E7"/>
    <w:rsid w:val="00B24A5D"/>
    <w:rsid w:val="00B24AAC"/>
    <w:rsid w:val="00B24B52"/>
    <w:rsid w:val="00B24C99"/>
    <w:rsid w:val="00B24DD3"/>
    <w:rsid w:val="00B25070"/>
    <w:rsid w:val="00B250D5"/>
    <w:rsid w:val="00B2523C"/>
    <w:rsid w:val="00B25271"/>
    <w:rsid w:val="00B25316"/>
    <w:rsid w:val="00B25369"/>
    <w:rsid w:val="00B256D0"/>
    <w:rsid w:val="00B25704"/>
    <w:rsid w:val="00B25767"/>
    <w:rsid w:val="00B2576C"/>
    <w:rsid w:val="00B25844"/>
    <w:rsid w:val="00B25903"/>
    <w:rsid w:val="00B25C22"/>
    <w:rsid w:val="00B25C9D"/>
    <w:rsid w:val="00B25D21"/>
    <w:rsid w:val="00B25FB4"/>
    <w:rsid w:val="00B2600B"/>
    <w:rsid w:val="00B26568"/>
    <w:rsid w:val="00B26586"/>
    <w:rsid w:val="00B26590"/>
    <w:rsid w:val="00B26638"/>
    <w:rsid w:val="00B26665"/>
    <w:rsid w:val="00B26804"/>
    <w:rsid w:val="00B2680F"/>
    <w:rsid w:val="00B26970"/>
    <w:rsid w:val="00B2697B"/>
    <w:rsid w:val="00B26A2B"/>
    <w:rsid w:val="00B26B5B"/>
    <w:rsid w:val="00B26C77"/>
    <w:rsid w:val="00B26CD2"/>
    <w:rsid w:val="00B26D4F"/>
    <w:rsid w:val="00B26E4D"/>
    <w:rsid w:val="00B26E7E"/>
    <w:rsid w:val="00B26F2E"/>
    <w:rsid w:val="00B26F98"/>
    <w:rsid w:val="00B26FB6"/>
    <w:rsid w:val="00B276FC"/>
    <w:rsid w:val="00B278B2"/>
    <w:rsid w:val="00B27A8A"/>
    <w:rsid w:val="00B27B4D"/>
    <w:rsid w:val="00B27B7A"/>
    <w:rsid w:val="00B27C69"/>
    <w:rsid w:val="00B3005A"/>
    <w:rsid w:val="00B3018B"/>
    <w:rsid w:val="00B3033B"/>
    <w:rsid w:val="00B304CF"/>
    <w:rsid w:val="00B305D2"/>
    <w:rsid w:val="00B306E1"/>
    <w:rsid w:val="00B30743"/>
    <w:rsid w:val="00B30758"/>
    <w:rsid w:val="00B30868"/>
    <w:rsid w:val="00B308EE"/>
    <w:rsid w:val="00B308F4"/>
    <w:rsid w:val="00B30BC3"/>
    <w:rsid w:val="00B312C0"/>
    <w:rsid w:val="00B313C0"/>
    <w:rsid w:val="00B31529"/>
    <w:rsid w:val="00B31610"/>
    <w:rsid w:val="00B318D7"/>
    <w:rsid w:val="00B31BFE"/>
    <w:rsid w:val="00B31EB2"/>
    <w:rsid w:val="00B31F2B"/>
    <w:rsid w:val="00B31FA7"/>
    <w:rsid w:val="00B32009"/>
    <w:rsid w:val="00B32038"/>
    <w:rsid w:val="00B3214B"/>
    <w:rsid w:val="00B32177"/>
    <w:rsid w:val="00B3221B"/>
    <w:rsid w:val="00B322B8"/>
    <w:rsid w:val="00B322E5"/>
    <w:rsid w:val="00B323A5"/>
    <w:rsid w:val="00B32444"/>
    <w:rsid w:val="00B32491"/>
    <w:rsid w:val="00B32562"/>
    <w:rsid w:val="00B3261B"/>
    <w:rsid w:val="00B32695"/>
    <w:rsid w:val="00B329AF"/>
    <w:rsid w:val="00B329C1"/>
    <w:rsid w:val="00B32DAA"/>
    <w:rsid w:val="00B32F48"/>
    <w:rsid w:val="00B33065"/>
    <w:rsid w:val="00B330D0"/>
    <w:rsid w:val="00B33124"/>
    <w:rsid w:val="00B331F6"/>
    <w:rsid w:val="00B3320C"/>
    <w:rsid w:val="00B3325E"/>
    <w:rsid w:val="00B33270"/>
    <w:rsid w:val="00B3327D"/>
    <w:rsid w:val="00B3335F"/>
    <w:rsid w:val="00B33538"/>
    <w:rsid w:val="00B3383B"/>
    <w:rsid w:val="00B338CD"/>
    <w:rsid w:val="00B338D2"/>
    <w:rsid w:val="00B33934"/>
    <w:rsid w:val="00B33D17"/>
    <w:rsid w:val="00B33D5B"/>
    <w:rsid w:val="00B33EA7"/>
    <w:rsid w:val="00B33F05"/>
    <w:rsid w:val="00B33F1B"/>
    <w:rsid w:val="00B34151"/>
    <w:rsid w:val="00B34156"/>
    <w:rsid w:val="00B342AF"/>
    <w:rsid w:val="00B3438B"/>
    <w:rsid w:val="00B34450"/>
    <w:rsid w:val="00B3462C"/>
    <w:rsid w:val="00B34697"/>
    <w:rsid w:val="00B34874"/>
    <w:rsid w:val="00B34A57"/>
    <w:rsid w:val="00B34B1D"/>
    <w:rsid w:val="00B34C90"/>
    <w:rsid w:val="00B34C9F"/>
    <w:rsid w:val="00B34F02"/>
    <w:rsid w:val="00B34FCF"/>
    <w:rsid w:val="00B35185"/>
    <w:rsid w:val="00B35328"/>
    <w:rsid w:val="00B353B4"/>
    <w:rsid w:val="00B3547C"/>
    <w:rsid w:val="00B3549A"/>
    <w:rsid w:val="00B354B9"/>
    <w:rsid w:val="00B3555A"/>
    <w:rsid w:val="00B35672"/>
    <w:rsid w:val="00B35700"/>
    <w:rsid w:val="00B35725"/>
    <w:rsid w:val="00B35765"/>
    <w:rsid w:val="00B35779"/>
    <w:rsid w:val="00B358DB"/>
    <w:rsid w:val="00B35931"/>
    <w:rsid w:val="00B3594A"/>
    <w:rsid w:val="00B359C2"/>
    <w:rsid w:val="00B35ABE"/>
    <w:rsid w:val="00B35B13"/>
    <w:rsid w:val="00B35C82"/>
    <w:rsid w:val="00B35D27"/>
    <w:rsid w:val="00B35DE1"/>
    <w:rsid w:val="00B35E3C"/>
    <w:rsid w:val="00B35EF2"/>
    <w:rsid w:val="00B36149"/>
    <w:rsid w:val="00B36502"/>
    <w:rsid w:val="00B365AE"/>
    <w:rsid w:val="00B36816"/>
    <w:rsid w:val="00B3694A"/>
    <w:rsid w:val="00B3696A"/>
    <w:rsid w:val="00B36A20"/>
    <w:rsid w:val="00B36B18"/>
    <w:rsid w:val="00B36B6B"/>
    <w:rsid w:val="00B36B8F"/>
    <w:rsid w:val="00B36D62"/>
    <w:rsid w:val="00B36E62"/>
    <w:rsid w:val="00B37019"/>
    <w:rsid w:val="00B37060"/>
    <w:rsid w:val="00B370B8"/>
    <w:rsid w:val="00B373DB"/>
    <w:rsid w:val="00B374B5"/>
    <w:rsid w:val="00B375CF"/>
    <w:rsid w:val="00B37628"/>
    <w:rsid w:val="00B37654"/>
    <w:rsid w:val="00B376C1"/>
    <w:rsid w:val="00B376FD"/>
    <w:rsid w:val="00B3786F"/>
    <w:rsid w:val="00B378A6"/>
    <w:rsid w:val="00B3796D"/>
    <w:rsid w:val="00B379E5"/>
    <w:rsid w:val="00B37B28"/>
    <w:rsid w:val="00B37D53"/>
    <w:rsid w:val="00B37D93"/>
    <w:rsid w:val="00B37DC2"/>
    <w:rsid w:val="00B37DDB"/>
    <w:rsid w:val="00B37E64"/>
    <w:rsid w:val="00B37EF6"/>
    <w:rsid w:val="00B37F5D"/>
    <w:rsid w:val="00B40046"/>
    <w:rsid w:val="00B400DB"/>
    <w:rsid w:val="00B40531"/>
    <w:rsid w:val="00B4054B"/>
    <w:rsid w:val="00B40706"/>
    <w:rsid w:val="00B40754"/>
    <w:rsid w:val="00B40782"/>
    <w:rsid w:val="00B40928"/>
    <w:rsid w:val="00B40AC3"/>
    <w:rsid w:val="00B40BF7"/>
    <w:rsid w:val="00B40C3D"/>
    <w:rsid w:val="00B40D20"/>
    <w:rsid w:val="00B40E78"/>
    <w:rsid w:val="00B40F0D"/>
    <w:rsid w:val="00B40FAB"/>
    <w:rsid w:val="00B40FC7"/>
    <w:rsid w:val="00B4118F"/>
    <w:rsid w:val="00B411A3"/>
    <w:rsid w:val="00B41285"/>
    <w:rsid w:val="00B412CD"/>
    <w:rsid w:val="00B414F2"/>
    <w:rsid w:val="00B415C9"/>
    <w:rsid w:val="00B4168F"/>
    <w:rsid w:val="00B4170F"/>
    <w:rsid w:val="00B419B0"/>
    <w:rsid w:val="00B41A2A"/>
    <w:rsid w:val="00B41A31"/>
    <w:rsid w:val="00B41A57"/>
    <w:rsid w:val="00B41A8B"/>
    <w:rsid w:val="00B41B14"/>
    <w:rsid w:val="00B41C25"/>
    <w:rsid w:val="00B41C8D"/>
    <w:rsid w:val="00B41FDF"/>
    <w:rsid w:val="00B42018"/>
    <w:rsid w:val="00B421AB"/>
    <w:rsid w:val="00B421BC"/>
    <w:rsid w:val="00B421E8"/>
    <w:rsid w:val="00B4223E"/>
    <w:rsid w:val="00B42287"/>
    <w:rsid w:val="00B42317"/>
    <w:rsid w:val="00B423D6"/>
    <w:rsid w:val="00B42441"/>
    <w:rsid w:val="00B425AA"/>
    <w:rsid w:val="00B425FB"/>
    <w:rsid w:val="00B42655"/>
    <w:rsid w:val="00B4279B"/>
    <w:rsid w:val="00B429D5"/>
    <w:rsid w:val="00B42A4E"/>
    <w:rsid w:val="00B42B9F"/>
    <w:rsid w:val="00B42BED"/>
    <w:rsid w:val="00B42C0E"/>
    <w:rsid w:val="00B42DEF"/>
    <w:rsid w:val="00B42E15"/>
    <w:rsid w:val="00B42E9A"/>
    <w:rsid w:val="00B42ED3"/>
    <w:rsid w:val="00B42EFD"/>
    <w:rsid w:val="00B42F6E"/>
    <w:rsid w:val="00B43106"/>
    <w:rsid w:val="00B43131"/>
    <w:rsid w:val="00B431F6"/>
    <w:rsid w:val="00B43423"/>
    <w:rsid w:val="00B4342A"/>
    <w:rsid w:val="00B434AA"/>
    <w:rsid w:val="00B43661"/>
    <w:rsid w:val="00B43821"/>
    <w:rsid w:val="00B43BFD"/>
    <w:rsid w:val="00B43D31"/>
    <w:rsid w:val="00B43E3B"/>
    <w:rsid w:val="00B43E74"/>
    <w:rsid w:val="00B43E8D"/>
    <w:rsid w:val="00B43F2C"/>
    <w:rsid w:val="00B43F8B"/>
    <w:rsid w:val="00B44121"/>
    <w:rsid w:val="00B441D4"/>
    <w:rsid w:val="00B44332"/>
    <w:rsid w:val="00B44486"/>
    <w:rsid w:val="00B4469A"/>
    <w:rsid w:val="00B4480A"/>
    <w:rsid w:val="00B44967"/>
    <w:rsid w:val="00B44A2E"/>
    <w:rsid w:val="00B44AF0"/>
    <w:rsid w:val="00B44B13"/>
    <w:rsid w:val="00B44CE3"/>
    <w:rsid w:val="00B44D89"/>
    <w:rsid w:val="00B44DB3"/>
    <w:rsid w:val="00B44E9B"/>
    <w:rsid w:val="00B45177"/>
    <w:rsid w:val="00B451D9"/>
    <w:rsid w:val="00B45363"/>
    <w:rsid w:val="00B45499"/>
    <w:rsid w:val="00B45719"/>
    <w:rsid w:val="00B4574D"/>
    <w:rsid w:val="00B45991"/>
    <w:rsid w:val="00B459D3"/>
    <w:rsid w:val="00B45AF4"/>
    <w:rsid w:val="00B45DB8"/>
    <w:rsid w:val="00B46079"/>
    <w:rsid w:val="00B4619D"/>
    <w:rsid w:val="00B461A4"/>
    <w:rsid w:val="00B46316"/>
    <w:rsid w:val="00B46392"/>
    <w:rsid w:val="00B46685"/>
    <w:rsid w:val="00B466E4"/>
    <w:rsid w:val="00B467AC"/>
    <w:rsid w:val="00B46812"/>
    <w:rsid w:val="00B46841"/>
    <w:rsid w:val="00B468D9"/>
    <w:rsid w:val="00B46902"/>
    <w:rsid w:val="00B4696E"/>
    <w:rsid w:val="00B46975"/>
    <w:rsid w:val="00B4697C"/>
    <w:rsid w:val="00B46A6F"/>
    <w:rsid w:val="00B46AD0"/>
    <w:rsid w:val="00B46BE9"/>
    <w:rsid w:val="00B46D03"/>
    <w:rsid w:val="00B46D53"/>
    <w:rsid w:val="00B46D54"/>
    <w:rsid w:val="00B46D68"/>
    <w:rsid w:val="00B46EB5"/>
    <w:rsid w:val="00B46FAF"/>
    <w:rsid w:val="00B46FB2"/>
    <w:rsid w:val="00B47002"/>
    <w:rsid w:val="00B47006"/>
    <w:rsid w:val="00B47100"/>
    <w:rsid w:val="00B4714D"/>
    <w:rsid w:val="00B471B6"/>
    <w:rsid w:val="00B4731E"/>
    <w:rsid w:val="00B473EA"/>
    <w:rsid w:val="00B47658"/>
    <w:rsid w:val="00B476C6"/>
    <w:rsid w:val="00B47709"/>
    <w:rsid w:val="00B47749"/>
    <w:rsid w:val="00B4778B"/>
    <w:rsid w:val="00B47826"/>
    <w:rsid w:val="00B479C7"/>
    <w:rsid w:val="00B47A37"/>
    <w:rsid w:val="00B47B60"/>
    <w:rsid w:val="00B47BC8"/>
    <w:rsid w:val="00B47C49"/>
    <w:rsid w:val="00B47C55"/>
    <w:rsid w:val="00B47CC4"/>
    <w:rsid w:val="00B47D6A"/>
    <w:rsid w:val="00B47DA4"/>
    <w:rsid w:val="00B47DD3"/>
    <w:rsid w:val="00B47E4D"/>
    <w:rsid w:val="00B47FA4"/>
    <w:rsid w:val="00B50064"/>
    <w:rsid w:val="00B500BE"/>
    <w:rsid w:val="00B50244"/>
    <w:rsid w:val="00B5046D"/>
    <w:rsid w:val="00B50474"/>
    <w:rsid w:val="00B505BE"/>
    <w:rsid w:val="00B506D1"/>
    <w:rsid w:val="00B50749"/>
    <w:rsid w:val="00B507C8"/>
    <w:rsid w:val="00B50988"/>
    <w:rsid w:val="00B50D5B"/>
    <w:rsid w:val="00B50E04"/>
    <w:rsid w:val="00B51402"/>
    <w:rsid w:val="00B5147B"/>
    <w:rsid w:val="00B5153C"/>
    <w:rsid w:val="00B51541"/>
    <w:rsid w:val="00B5160A"/>
    <w:rsid w:val="00B51611"/>
    <w:rsid w:val="00B517C0"/>
    <w:rsid w:val="00B51899"/>
    <w:rsid w:val="00B5192C"/>
    <w:rsid w:val="00B519FD"/>
    <w:rsid w:val="00B51AF0"/>
    <w:rsid w:val="00B51BF3"/>
    <w:rsid w:val="00B51C58"/>
    <w:rsid w:val="00B51D72"/>
    <w:rsid w:val="00B5203B"/>
    <w:rsid w:val="00B52080"/>
    <w:rsid w:val="00B520E5"/>
    <w:rsid w:val="00B52108"/>
    <w:rsid w:val="00B52151"/>
    <w:rsid w:val="00B521EB"/>
    <w:rsid w:val="00B522DF"/>
    <w:rsid w:val="00B52522"/>
    <w:rsid w:val="00B52670"/>
    <w:rsid w:val="00B52776"/>
    <w:rsid w:val="00B52821"/>
    <w:rsid w:val="00B5284E"/>
    <w:rsid w:val="00B52B19"/>
    <w:rsid w:val="00B52E96"/>
    <w:rsid w:val="00B52E9E"/>
    <w:rsid w:val="00B52F2D"/>
    <w:rsid w:val="00B52F71"/>
    <w:rsid w:val="00B533D4"/>
    <w:rsid w:val="00B5348D"/>
    <w:rsid w:val="00B5356B"/>
    <w:rsid w:val="00B535FA"/>
    <w:rsid w:val="00B53738"/>
    <w:rsid w:val="00B537BC"/>
    <w:rsid w:val="00B538D8"/>
    <w:rsid w:val="00B53A37"/>
    <w:rsid w:val="00B53A53"/>
    <w:rsid w:val="00B53BE6"/>
    <w:rsid w:val="00B53BF0"/>
    <w:rsid w:val="00B53E81"/>
    <w:rsid w:val="00B53EA6"/>
    <w:rsid w:val="00B53F7E"/>
    <w:rsid w:val="00B53FDC"/>
    <w:rsid w:val="00B5409A"/>
    <w:rsid w:val="00B542BA"/>
    <w:rsid w:val="00B542E5"/>
    <w:rsid w:val="00B5488D"/>
    <w:rsid w:val="00B54995"/>
    <w:rsid w:val="00B549F2"/>
    <w:rsid w:val="00B54A4F"/>
    <w:rsid w:val="00B54CF3"/>
    <w:rsid w:val="00B54DB6"/>
    <w:rsid w:val="00B54F21"/>
    <w:rsid w:val="00B55042"/>
    <w:rsid w:val="00B5521F"/>
    <w:rsid w:val="00B55235"/>
    <w:rsid w:val="00B552BF"/>
    <w:rsid w:val="00B55403"/>
    <w:rsid w:val="00B554A0"/>
    <w:rsid w:val="00B55517"/>
    <w:rsid w:val="00B556E3"/>
    <w:rsid w:val="00B55932"/>
    <w:rsid w:val="00B55A06"/>
    <w:rsid w:val="00B55A33"/>
    <w:rsid w:val="00B55CA8"/>
    <w:rsid w:val="00B55D11"/>
    <w:rsid w:val="00B55E60"/>
    <w:rsid w:val="00B55EC3"/>
    <w:rsid w:val="00B55EDD"/>
    <w:rsid w:val="00B55F97"/>
    <w:rsid w:val="00B5603D"/>
    <w:rsid w:val="00B561D9"/>
    <w:rsid w:val="00B56254"/>
    <w:rsid w:val="00B565F6"/>
    <w:rsid w:val="00B56671"/>
    <w:rsid w:val="00B5668A"/>
    <w:rsid w:val="00B56726"/>
    <w:rsid w:val="00B5681A"/>
    <w:rsid w:val="00B56926"/>
    <w:rsid w:val="00B56A0B"/>
    <w:rsid w:val="00B56B20"/>
    <w:rsid w:val="00B56B6D"/>
    <w:rsid w:val="00B56BB4"/>
    <w:rsid w:val="00B56D13"/>
    <w:rsid w:val="00B56D8B"/>
    <w:rsid w:val="00B56E9D"/>
    <w:rsid w:val="00B56F9D"/>
    <w:rsid w:val="00B57013"/>
    <w:rsid w:val="00B570B0"/>
    <w:rsid w:val="00B57145"/>
    <w:rsid w:val="00B57186"/>
    <w:rsid w:val="00B57375"/>
    <w:rsid w:val="00B573FB"/>
    <w:rsid w:val="00B573FD"/>
    <w:rsid w:val="00B57690"/>
    <w:rsid w:val="00B577AF"/>
    <w:rsid w:val="00B578B6"/>
    <w:rsid w:val="00B57A54"/>
    <w:rsid w:val="00B57A88"/>
    <w:rsid w:val="00B57CA2"/>
    <w:rsid w:val="00B57DE3"/>
    <w:rsid w:val="00B57F5C"/>
    <w:rsid w:val="00B57F79"/>
    <w:rsid w:val="00B600B9"/>
    <w:rsid w:val="00B60109"/>
    <w:rsid w:val="00B60353"/>
    <w:rsid w:val="00B6041C"/>
    <w:rsid w:val="00B604EE"/>
    <w:rsid w:val="00B60530"/>
    <w:rsid w:val="00B6068C"/>
    <w:rsid w:val="00B60837"/>
    <w:rsid w:val="00B60932"/>
    <w:rsid w:val="00B609A2"/>
    <w:rsid w:val="00B60A8A"/>
    <w:rsid w:val="00B60AD3"/>
    <w:rsid w:val="00B60AED"/>
    <w:rsid w:val="00B60C1D"/>
    <w:rsid w:val="00B60EA5"/>
    <w:rsid w:val="00B60EDC"/>
    <w:rsid w:val="00B60EFD"/>
    <w:rsid w:val="00B60FF0"/>
    <w:rsid w:val="00B61065"/>
    <w:rsid w:val="00B611A4"/>
    <w:rsid w:val="00B61316"/>
    <w:rsid w:val="00B615C8"/>
    <w:rsid w:val="00B616A4"/>
    <w:rsid w:val="00B6174C"/>
    <w:rsid w:val="00B61AFA"/>
    <w:rsid w:val="00B61B34"/>
    <w:rsid w:val="00B61D31"/>
    <w:rsid w:val="00B61D89"/>
    <w:rsid w:val="00B61D9D"/>
    <w:rsid w:val="00B61DFB"/>
    <w:rsid w:val="00B61EE8"/>
    <w:rsid w:val="00B61F4F"/>
    <w:rsid w:val="00B61F59"/>
    <w:rsid w:val="00B61F8F"/>
    <w:rsid w:val="00B6229D"/>
    <w:rsid w:val="00B62441"/>
    <w:rsid w:val="00B62468"/>
    <w:rsid w:val="00B62738"/>
    <w:rsid w:val="00B62874"/>
    <w:rsid w:val="00B628D0"/>
    <w:rsid w:val="00B62C44"/>
    <w:rsid w:val="00B62CF2"/>
    <w:rsid w:val="00B62E73"/>
    <w:rsid w:val="00B62FBB"/>
    <w:rsid w:val="00B63048"/>
    <w:rsid w:val="00B6319A"/>
    <w:rsid w:val="00B631F3"/>
    <w:rsid w:val="00B6324C"/>
    <w:rsid w:val="00B63438"/>
    <w:rsid w:val="00B634F5"/>
    <w:rsid w:val="00B63585"/>
    <w:rsid w:val="00B6396E"/>
    <w:rsid w:val="00B63A0F"/>
    <w:rsid w:val="00B63A26"/>
    <w:rsid w:val="00B63B64"/>
    <w:rsid w:val="00B63BF8"/>
    <w:rsid w:val="00B63CCE"/>
    <w:rsid w:val="00B63D45"/>
    <w:rsid w:val="00B63D8C"/>
    <w:rsid w:val="00B63EEB"/>
    <w:rsid w:val="00B63F1A"/>
    <w:rsid w:val="00B63F9B"/>
    <w:rsid w:val="00B6401B"/>
    <w:rsid w:val="00B64023"/>
    <w:rsid w:val="00B6415C"/>
    <w:rsid w:val="00B64254"/>
    <w:rsid w:val="00B642C7"/>
    <w:rsid w:val="00B643D9"/>
    <w:rsid w:val="00B64560"/>
    <w:rsid w:val="00B6473F"/>
    <w:rsid w:val="00B6484C"/>
    <w:rsid w:val="00B64998"/>
    <w:rsid w:val="00B64A2F"/>
    <w:rsid w:val="00B64C68"/>
    <w:rsid w:val="00B64C72"/>
    <w:rsid w:val="00B64CC1"/>
    <w:rsid w:val="00B64DB3"/>
    <w:rsid w:val="00B64F35"/>
    <w:rsid w:val="00B65054"/>
    <w:rsid w:val="00B65066"/>
    <w:rsid w:val="00B650CD"/>
    <w:rsid w:val="00B6525F"/>
    <w:rsid w:val="00B6555B"/>
    <w:rsid w:val="00B65692"/>
    <w:rsid w:val="00B656A6"/>
    <w:rsid w:val="00B65728"/>
    <w:rsid w:val="00B65869"/>
    <w:rsid w:val="00B6595D"/>
    <w:rsid w:val="00B65A6E"/>
    <w:rsid w:val="00B65B09"/>
    <w:rsid w:val="00B65D04"/>
    <w:rsid w:val="00B65DA5"/>
    <w:rsid w:val="00B65E3C"/>
    <w:rsid w:val="00B6601F"/>
    <w:rsid w:val="00B6608B"/>
    <w:rsid w:val="00B66100"/>
    <w:rsid w:val="00B66149"/>
    <w:rsid w:val="00B6616D"/>
    <w:rsid w:val="00B66182"/>
    <w:rsid w:val="00B661B6"/>
    <w:rsid w:val="00B6640D"/>
    <w:rsid w:val="00B6641C"/>
    <w:rsid w:val="00B66604"/>
    <w:rsid w:val="00B66648"/>
    <w:rsid w:val="00B66882"/>
    <w:rsid w:val="00B668B0"/>
    <w:rsid w:val="00B668C1"/>
    <w:rsid w:val="00B66918"/>
    <w:rsid w:val="00B66957"/>
    <w:rsid w:val="00B669AA"/>
    <w:rsid w:val="00B669EB"/>
    <w:rsid w:val="00B66B8B"/>
    <w:rsid w:val="00B66C97"/>
    <w:rsid w:val="00B66F5A"/>
    <w:rsid w:val="00B6700B"/>
    <w:rsid w:val="00B6708D"/>
    <w:rsid w:val="00B670CF"/>
    <w:rsid w:val="00B670D3"/>
    <w:rsid w:val="00B67180"/>
    <w:rsid w:val="00B67378"/>
    <w:rsid w:val="00B674CB"/>
    <w:rsid w:val="00B67557"/>
    <w:rsid w:val="00B67568"/>
    <w:rsid w:val="00B676D7"/>
    <w:rsid w:val="00B67711"/>
    <w:rsid w:val="00B67778"/>
    <w:rsid w:val="00B67889"/>
    <w:rsid w:val="00B67A93"/>
    <w:rsid w:val="00B67AC4"/>
    <w:rsid w:val="00B67ACC"/>
    <w:rsid w:val="00B67BCD"/>
    <w:rsid w:val="00B67CE0"/>
    <w:rsid w:val="00B67DD9"/>
    <w:rsid w:val="00B700E3"/>
    <w:rsid w:val="00B7034B"/>
    <w:rsid w:val="00B704F2"/>
    <w:rsid w:val="00B704F7"/>
    <w:rsid w:val="00B70575"/>
    <w:rsid w:val="00B705DC"/>
    <w:rsid w:val="00B7073C"/>
    <w:rsid w:val="00B70748"/>
    <w:rsid w:val="00B709C6"/>
    <w:rsid w:val="00B709DD"/>
    <w:rsid w:val="00B70BE8"/>
    <w:rsid w:val="00B70C3A"/>
    <w:rsid w:val="00B70D19"/>
    <w:rsid w:val="00B70DFE"/>
    <w:rsid w:val="00B70F21"/>
    <w:rsid w:val="00B70F9C"/>
    <w:rsid w:val="00B7104F"/>
    <w:rsid w:val="00B71062"/>
    <w:rsid w:val="00B7117F"/>
    <w:rsid w:val="00B71180"/>
    <w:rsid w:val="00B711CB"/>
    <w:rsid w:val="00B7145A"/>
    <w:rsid w:val="00B715F1"/>
    <w:rsid w:val="00B716E3"/>
    <w:rsid w:val="00B71787"/>
    <w:rsid w:val="00B7198E"/>
    <w:rsid w:val="00B719E9"/>
    <w:rsid w:val="00B71CCB"/>
    <w:rsid w:val="00B71EED"/>
    <w:rsid w:val="00B71F4C"/>
    <w:rsid w:val="00B71F55"/>
    <w:rsid w:val="00B71F5C"/>
    <w:rsid w:val="00B72111"/>
    <w:rsid w:val="00B72144"/>
    <w:rsid w:val="00B721B4"/>
    <w:rsid w:val="00B723E2"/>
    <w:rsid w:val="00B72535"/>
    <w:rsid w:val="00B725A9"/>
    <w:rsid w:val="00B72657"/>
    <w:rsid w:val="00B72733"/>
    <w:rsid w:val="00B72846"/>
    <w:rsid w:val="00B7295C"/>
    <w:rsid w:val="00B72A70"/>
    <w:rsid w:val="00B72D07"/>
    <w:rsid w:val="00B72E75"/>
    <w:rsid w:val="00B73086"/>
    <w:rsid w:val="00B7313D"/>
    <w:rsid w:val="00B7322D"/>
    <w:rsid w:val="00B733F1"/>
    <w:rsid w:val="00B7364E"/>
    <w:rsid w:val="00B73757"/>
    <w:rsid w:val="00B737DD"/>
    <w:rsid w:val="00B73A8C"/>
    <w:rsid w:val="00B73BEA"/>
    <w:rsid w:val="00B73CAB"/>
    <w:rsid w:val="00B73F4C"/>
    <w:rsid w:val="00B74047"/>
    <w:rsid w:val="00B74103"/>
    <w:rsid w:val="00B741AE"/>
    <w:rsid w:val="00B7432B"/>
    <w:rsid w:val="00B74479"/>
    <w:rsid w:val="00B746AF"/>
    <w:rsid w:val="00B749C1"/>
    <w:rsid w:val="00B74A2B"/>
    <w:rsid w:val="00B74A40"/>
    <w:rsid w:val="00B74AA1"/>
    <w:rsid w:val="00B74B3A"/>
    <w:rsid w:val="00B74C57"/>
    <w:rsid w:val="00B74E70"/>
    <w:rsid w:val="00B7505A"/>
    <w:rsid w:val="00B750E0"/>
    <w:rsid w:val="00B750F0"/>
    <w:rsid w:val="00B75112"/>
    <w:rsid w:val="00B753DE"/>
    <w:rsid w:val="00B75753"/>
    <w:rsid w:val="00B75856"/>
    <w:rsid w:val="00B758D5"/>
    <w:rsid w:val="00B75A1B"/>
    <w:rsid w:val="00B75C86"/>
    <w:rsid w:val="00B75CDB"/>
    <w:rsid w:val="00B75D9E"/>
    <w:rsid w:val="00B75DFF"/>
    <w:rsid w:val="00B75E45"/>
    <w:rsid w:val="00B75F0E"/>
    <w:rsid w:val="00B75F10"/>
    <w:rsid w:val="00B75F81"/>
    <w:rsid w:val="00B76136"/>
    <w:rsid w:val="00B76166"/>
    <w:rsid w:val="00B762B2"/>
    <w:rsid w:val="00B76372"/>
    <w:rsid w:val="00B763E9"/>
    <w:rsid w:val="00B764A2"/>
    <w:rsid w:val="00B765F8"/>
    <w:rsid w:val="00B76614"/>
    <w:rsid w:val="00B7678E"/>
    <w:rsid w:val="00B76795"/>
    <w:rsid w:val="00B767A4"/>
    <w:rsid w:val="00B767BF"/>
    <w:rsid w:val="00B76807"/>
    <w:rsid w:val="00B769B6"/>
    <w:rsid w:val="00B76BBE"/>
    <w:rsid w:val="00B76C94"/>
    <w:rsid w:val="00B76D3E"/>
    <w:rsid w:val="00B76D58"/>
    <w:rsid w:val="00B76E5B"/>
    <w:rsid w:val="00B76EAF"/>
    <w:rsid w:val="00B76F0D"/>
    <w:rsid w:val="00B77062"/>
    <w:rsid w:val="00B776A0"/>
    <w:rsid w:val="00B776C6"/>
    <w:rsid w:val="00B77842"/>
    <w:rsid w:val="00B778A6"/>
    <w:rsid w:val="00B77B91"/>
    <w:rsid w:val="00B77BCA"/>
    <w:rsid w:val="00B77D02"/>
    <w:rsid w:val="00B77E59"/>
    <w:rsid w:val="00B77E67"/>
    <w:rsid w:val="00B77EC5"/>
    <w:rsid w:val="00B80191"/>
    <w:rsid w:val="00B8042C"/>
    <w:rsid w:val="00B80515"/>
    <w:rsid w:val="00B8056F"/>
    <w:rsid w:val="00B80574"/>
    <w:rsid w:val="00B805E1"/>
    <w:rsid w:val="00B8064D"/>
    <w:rsid w:val="00B808D6"/>
    <w:rsid w:val="00B809B3"/>
    <w:rsid w:val="00B809D8"/>
    <w:rsid w:val="00B80A6E"/>
    <w:rsid w:val="00B80BF2"/>
    <w:rsid w:val="00B80C8C"/>
    <w:rsid w:val="00B80D5A"/>
    <w:rsid w:val="00B80E24"/>
    <w:rsid w:val="00B80F44"/>
    <w:rsid w:val="00B80FBE"/>
    <w:rsid w:val="00B811D3"/>
    <w:rsid w:val="00B815C2"/>
    <w:rsid w:val="00B81648"/>
    <w:rsid w:val="00B816A2"/>
    <w:rsid w:val="00B816EC"/>
    <w:rsid w:val="00B81746"/>
    <w:rsid w:val="00B8178F"/>
    <w:rsid w:val="00B81804"/>
    <w:rsid w:val="00B81998"/>
    <w:rsid w:val="00B81B67"/>
    <w:rsid w:val="00B81C1A"/>
    <w:rsid w:val="00B81D51"/>
    <w:rsid w:val="00B81D91"/>
    <w:rsid w:val="00B81E16"/>
    <w:rsid w:val="00B81EF1"/>
    <w:rsid w:val="00B81F5B"/>
    <w:rsid w:val="00B81FBD"/>
    <w:rsid w:val="00B8211D"/>
    <w:rsid w:val="00B822E3"/>
    <w:rsid w:val="00B823D2"/>
    <w:rsid w:val="00B823D3"/>
    <w:rsid w:val="00B82574"/>
    <w:rsid w:val="00B8258D"/>
    <w:rsid w:val="00B82595"/>
    <w:rsid w:val="00B825DE"/>
    <w:rsid w:val="00B826E6"/>
    <w:rsid w:val="00B82837"/>
    <w:rsid w:val="00B82BA7"/>
    <w:rsid w:val="00B82C02"/>
    <w:rsid w:val="00B82E1D"/>
    <w:rsid w:val="00B82E67"/>
    <w:rsid w:val="00B82E70"/>
    <w:rsid w:val="00B82E87"/>
    <w:rsid w:val="00B82F43"/>
    <w:rsid w:val="00B82F6C"/>
    <w:rsid w:val="00B82F7B"/>
    <w:rsid w:val="00B8305D"/>
    <w:rsid w:val="00B8313D"/>
    <w:rsid w:val="00B833BA"/>
    <w:rsid w:val="00B8340B"/>
    <w:rsid w:val="00B83469"/>
    <w:rsid w:val="00B834C5"/>
    <w:rsid w:val="00B837A9"/>
    <w:rsid w:val="00B83816"/>
    <w:rsid w:val="00B8386F"/>
    <w:rsid w:val="00B839B2"/>
    <w:rsid w:val="00B83A4C"/>
    <w:rsid w:val="00B83B8D"/>
    <w:rsid w:val="00B83D25"/>
    <w:rsid w:val="00B83E98"/>
    <w:rsid w:val="00B83F2A"/>
    <w:rsid w:val="00B83FAB"/>
    <w:rsid w:val="00B84054"/>
    <w:rsid w:val="00B84074"/>
    <w:rsid w:val="00B84559"/>
    <w:rsid w:val="00B845C9"/>
    <w:rsid w:val="00B847F5"/>
    <w:rsid w:val="00B84876"/>
    <w:rsid w:val="00B8492E"/>
    <w:rsid w:val="00B849F3"/>
    <w:rsid w:val="00B84A83"/>
    <w:rsid w:val="00B84BE2"/>
    <w:rsid w:val="00B84BF2"/>
    <w:rsid w:val="00B84C42"/>
    <w:rsid w:val="00B84CF1"/>
    <w:rsid w:val="00B84DAF"/>
    <w:rsid w:val="00B84F5E"/>
    <w:rsid w:val="00B84FA7"/>
    <w:rsid w:val="00B85032"/>
    <w:rsid w:val="00B8509C"/>
    <w:rsid w:val="00B8511D"/>
    <w:rsid w:val="00B8518B"/>
    <w:rsid w:val="00B8520E"/>
    <w:rsid w:val="00B853F3"/>
    <w:rsid w:val="00B856D3"/>
    <w:rsid w:val="00B85757"/>
    <w:rsid w:val="00B8590D"/>
    <w:rsid w:val="00B85B69"/>
    <w:rsid w:val="00B85C04"/>
    <w:rsid w:val="00B85C2E"/>
    <w:rsid w:val="00B85E23"/>
    <w:rsid w:val="00B85E57"/>
    <w:rsid w:val="00B85F39"/>
    <w:rsid w:val="00B85F42"/>
    <w:rsid w:val="00B860AE"/>
    <w:rsid w:val="00B8612B"/>
    <w:rsid w:val="00B86245"/>
    <w:rsid w:val="00B8632C"/>
    <w:rsid w:val="00B86398"/>
    <w:rsid w:val="00B86526"/>
    <w:rsid w:val="00B86665"/>
    <w:rsid w:val="00B8666A"/>
    <w:rsid w:val="00B86841"/>
    <w:rsid w:val="00B86AF6"/>
    <w:rsid w:val="00B86C54"/>
    <w:rsid w:val="00B86CFF"/>
    <w:rsid w:val="00B86D4D"/>
    <w:rsid w:val="00B86D5C"/>
    <w:rsid w:val="00B86D64"/>
    <w:rsid w:val="00B86E2B"/>
    <w:rsid w:val="00B86E45"/>
    <w:rsid w:val="00B86F90"/>
    <w:rsid w:val="00B87034"/>
    <w:rsid w:val="00B87039"/>
    <w:rsid w:val="00B870F0"/>
    <w:rsid w:val="00B871E8"/>
    <w:rsid w:val="00B87211"/>
    <w:rsid w:val="00B87248"/>
    <w:rsid w:val="00B872EA"/>
    <w:rsid w:val="00B8731D"/>
    <w:rsid w:val="00B874DA"/>
    <w:rsid w:val="00B874EF"/>
    <w:rsid w:val="00B877BA"/>
    <w:rsid w:val="00B87ACD"/>
    <w:rsid w:val="00B87AFC"/>
    <w:rsid w:val="00B87DE7"/>
    <w:rsid w:val="00B87DFE"/>
    <w:rsid w:val="00B87E2D"/>
    <w:rsid w:val="00B87F61"/>
    <w:rsid w:val="00B87F64"/>
    <w:rsid w:val="00B90023"/>
    <w:rsid w:val="00B900DE"/>
    <w:rsid w:val="00B9010C"/>
    <w:rsid w:val="00B90298"/>
    <w:rsid w:val="00B9030D"/>
    <w:rsid w:val="00B90375"/>
    <w:rsid w:val="00B905C1"/>
    <w:rsid w:val="00B90633"/>
    <w:rsid w:val="00B90778"/>
    <w:rsid w:val="00B90813"/>
    <w:rsid w:val="00B90A13"/>
    <w:rsid w:val="00B90C1E"/>
    <w:rsid w:val="00B90F83"/>
    <w:rsid w:val="00B911A8"/>
    <w:rsid w:val="00B911B2"/>
    <w:rsid w:val="00B9121B"/>
    <w:rsid w:val="00B912C0"/>
    <w:rsid w:val="00B91306"/>
    <w:rsid w:val="00B9130C"/>
    <w:rsid w:val="00B9132F"/>
    <w:rsid w:val="00B9135F"/>
    <w:rsid w:val="00B91360"/>
    <w:rsid w:val="00B91466"/>
    <w:rsid w:val="00B91530"/>
    <w:rsid w:val="00B91743"/>
    <w:rsid w:val="00B9175E"/>
    <w:rsid w:val="00B919EC"/>
    <w:rsid w:val="00B91A49"/>
    <w:rsid w:val="00B91EC5"/>
    <w:rsid w:val="00B91FDB"/>
    <w:rsid w:val="00B921E6"/>
    <w:rsid w:val="00B92369"/>
    <w:rsid w:val="00B926FD"/>
    <w:rsid w:val="00B92741"/>
    <w:rsid w:val="00B92760"/>
    <w:rsid w:val="00B9276F"/>
    <w:rsid w:val="00B928A7"/>
    <w:rsid w:val="00B92974"/>
    <w:rsid w:val="00B92A16"/>
    <w:rsid w:val="00B92C50"/>
    <w:rsid w:val="00B92C54"/>
    <w:rsid w:val="00B92CA7"/>
    <w:rsid w:val="00B92CD0"/>
    <w:rsid w:val="00B92F2A"/>
    <w:rsid w:val="00B92F64"/>
    <w:rsid w:val="00B930B6"/>
    <w:rsid w:val="00B9315C"/>
    <w:rsid w:val="00B93233"/>
    <w:rsid w:val="00B93270"/>
    <w:rsid w:val="00B9328F"/>
    <w:rsid w:val="00B932F4"/>
    <w:rsid w:val="00B9350F"/>
    <w:rsid w:val="00B93895"/>
    <w:rsid w:val="00B93A1E"/>
    <w:rsid w:val="00B93C63"/>
    <w:rsid w:val="00B93CF4"/>
    <w:rsid w:val="00B93D07"/>
    <w:rsid w:val="00B93D1A"/>
    <w:rsid w:val="00B93DB8"/>
    <w:rsid w:val="00B93E07"/>
    <w:rsid w:val="00B93F01"/>
    <w:rsid w:val="00B93F22"/>
    <w:rsid w:val="00B93F7B"/>
    <w:rsid w:val="00B93F9C"/>
    <w:rsid w:val="00B94080"/>
    <w:rsid w:val="00B940AC"/>
    <w:rsid w:val="00B942D7"/>
    <w:rsid w:val="00B9433C"/>
    <w:rsid w:val="00B9434F"/>
    <w:rsid w:val="00B945C3"/>
    <w:rsid w:val="00B949C3"/>
    <w:rsid w:val="00B94AD5"/>
    <w:rsid w:val="00B94B29"/>
    <w:rsid w:val="00B94B58"/>
    <w:rsid w:val="00B94B65"/>
    <w:rsid w:val="00B94B8A"/>
    <w:rsid w:val="00B94C56"/>
    <w:rsid w:val="00B94C86"/>
    <w:rsid w:val="00B94D13"/>
    <w:rsid w:val="00B94D70"/>
    <w:rsid w:val="00B94D77"/>
    <w:rsid w:val="00B94F56"/>
    <w:rsid w:val="00B94F9B"/>
    <w:rsid w:val="00B952A8"/>
    <w:rsid w:val="00B953B5"/>
    <w:rsid w:val="00B953E3"/>
    <w:rsid w:val="00B953F9"/>
    <w:rsid w:val="00B954C0"/>
    <w:rsid w:val="00B9563F"/>
    <w:rsid w:val="00B956EA"/>
    <w:rsid w:val="00B9574D"/>
    <w:rsid w:val="00B95807"/>
    <w:rsid w:val="00B95878"/>
    <w:rsid w:val="00B95960"/>
    <w:rsid w:val="00B9599F"/>
    <w:rsid w:val="00B959B8"/>
    <w:rsid w:val="00B959DE"/>
    <w:rsid w:val="00B95D06"/>
    <w:rsid w:val="00B95DF3"/>
    <w:rsid w:val="00B9611F"/>
    <w:rsid w:val="00B962EC"/>
    <w:rsid w:val="00B96304"/>
    <w:rsid w:val="00B9638D"/>
    <w:rsid w:val="00B96626"/>
    <w:rsid w:val="00B967C7"/>
    <w:rsid w:val="00B9690C"/>
    <w:rsid w:val="00B9697E"/>
    <w:rsid w:val="00B969AC"/>
    <w:rsid w:val="00B96AD1"/>
    <w:rsid w:val="00B96B5C"/>
    <w:rsid w:val="00B96C40"/>
    <w:rsid w:val="00B96D42"/>
    <w:rsid w:val="00B96DA6"/>
    <w:rsid w:val="00B96E04"/>
    <w:rsid w:val="00B96E10"/>
    <w:rsid w:val="00B96EE2"/>
    <w:rsid w:val="00B96F34"/>
    <w:rsid w:val="00B96FCE"/>
    <w:rsid w:val="00B96FEE"/>
    <w:rsid w:val="00B9750A"/>
    <w:rsid w:val="00B97569"/>
    <w:rsid w:val="00B9756A"/>
    <w:rsid w:val="00B9756D"/>
    <w:rsid w:val="00B975E4"/>
    <w:rsid w:val="00B9765D"/>
    <w:rsid w:val="00B97665"/>
    <w:rsid w:val="00B97687"/>
    <w:rsid w:val="00B97752"/>
    <w:rsid w:val="00B9783D"/>
    <w:rsid w:val="00B97866"/>
    <w:rsid w:val="00B978DD"/>
    <w:rsid w:val="00B97B88"/>
    <w:rsid w:val="00B97C23"/>
    <w:rsid w:val="00B97CB8"/>
    <w:rsid w:val="00B97CFC"/>
    <w:rsid w:val="00B97D29"/>
    <w:rsid w:val="00B97E39"/>
    <w:rsid w:val="00B97E40"/>
    <w:rsid w:val="00B97FFE"/>
    <w:rsid w:val="00BA0102"/>
    <w:rsid w:val="00BA0126"/>
    <w:rsid w:val="00BA0164"/>
    <w:rsid w:val="00BA01FC"/>
    <w:rsid w:val="00BA0292"/>
    <w:rsid w:val="00BA02BE"/>
    <w:rsid w:val="00BA038C"/>
    <w:rsid w:val="00BA0403"/>
    <w:rsid w:val="00BA04CA"/>
    <w:rsid w:val="00BA0539"/>
    <w:rsid w:val="00BA0822"/>
    <w:rsid w:val="00BA0884"/>
    <w:rsid w:val="00BA08BC"/>
    <w:rsid w:val="00BA0983"/>
    <w:rsid w:val="00BA0A22"/>
    <w:rsid w:val="00BA0C1D"/>
    <w:rsid w:val="00BA0D7B"/>
    <w:rsid w:val="00BA0EDC"/>
    <w:rsid w:val="00BA0F06"/>
    <w:rsid w:val="00BA11D1"/>
    <w:rsid w:val="00BA124D"/>
    <w:rsid w:val="00BA1361"/>
    <w:rsid w:val="00BA166E"/>
    <w:rsid w:val="00BA16D8"/>
    <w:rsid w:val="00BA1900"/>
    <w:rsid w:val="00BA19D0"/>
    <w:rsid w:val="00BA1DF5"/>
    <w:rsid w:val="00BA1F4C"/>
    <w:rsid w:val="00BA1F6C"/>
    <w:rsid w:val="00BA1FBB"/>
    <w:rsid w:val="00BA2002"/>
    <w:rsid w:val="00BA201A"/>
    <w:rsid w:val="00BA207F"/>
    <w:rsid w:val="00BA20D6"/>
    <w:rsid w:val="00BA2385"/>
    <w:rsid w:val="00BA23B3"/>
    <w:rsid w:val="00BA24F2"/>
    <w:rsid w:val="00BA260A"/>
    <w:rsid w:val="00BA2664"/>
    <w:rsid w:val="00BA2719"/>
    <w:rsid w:val="00BA27DF"/>
    <w:rsid w:val="00BA2881"/>
    <w:rsid w:val="00BA2B96"/>
    <w:rsid w:val="00BA2BE4"/>
    <w:rsid w:val="00BA2C3E"/>
    <w:rsid w:val="00BA2D77"/>
    <w:rsid w:val="00BA2F25"/>
    <w:rsid w:val="00BA2F49"/>
    <w:rsid w:val="00BA2FE2"/>
    <w:rsid w:val="00BA3369"/>
    <w:rsid w:val="00BA342D"/>
    <w:rsid w:val="00BA34F9"/>
    <w:rsid w:val="00BA3676"/>
    <w:rsid w:val="00BA38B3"/>
    <w:rsid w:val="00BA3A73"/>
    <w:rsid w:val="00BA3BBE"/>
    <w:rsid w:val="00BA3D55"/>
    <w:rsid w:val="00BA3D85"/>
    <w:rsid w:val="00BA3DA5"/>
    <w:rsid w:val="00BA3E32"/>
    <w:rsid w:val="00BA413E"/>
    <w:rsid w:val="00BA41A9"/>
    <w:rsid w:val="00BA41DD"/>
    <w:rsid w:val="00BA4223"/>
    <w:rsid w:val="00BA43CD"/>
    <w:rsid w:val="00BA4499"/>
    <w:rsid w:val="00BA45B7"/>
    <w:rsid w:val="00BA45C7"/>
    <w:rsid w:val="00BA45C8"/>
    <w:rsid w:val="00BA4725"/>
    <w:rsid w:val="00BA48A6"/>
    <w:rsid w:val="00BA49E3"/>
    <w:rsid w:val="00BA5003"/>
    <w:rsid w:val="00BA5134"/>
    <w:rsid w:val="00BA514A"/>
    <w:rsid w:val="00BA52B9"/>
    <w:rsid w:val="00BA5462"/>
    <w:rsid w:val="00BA54FB"/>
    <w:rsid w:val="00BA5545"/>
    <w:rsid w:val="00BA568E"/>
    <w:rsid w:val="00BA56E1"/>
    <w:rsid w:val="00BA5799"/>
    <w:rsid w:val="00BA584D"/>
    <w:rsid w:val="00BA5A1C"/>
    <w:rsid w:val="00BA5A98"/>
    <w:rsid w:val="00BA5B61"/>
    <w:rsid w:val="00BA5C50"/>
    <w:rsid w:val="00BA5D25"/>
    <w:rsid w:val="00BA5DE6"/>
    <w:rsid w:val="00BA5F45"/>
    <w:rsid w:val="00BA5FB8"/>
    <w:rsid w:val="00BA603A"/>
    <w:rsid w:val="00BA6202"/>
    <w:rsid w:val="00BA6210"/>
    <w:rsid w:val="00BA6307"/>
    <w:rsid w:val="00BA64D8"/>
    <w:rsid w:val="00BA66CA"/>
    <w:rsid w:val="00BA66EE"/>
    <w:rsid w:val="00BA670A"/>
    <w:rsid w:val="00BA6775"/>
    <w:rsid w:val="00BA67FC"/>
    <w:rsid w:val="00BA6894"/>
    <w:rsid w:val="00BA6982"/>
    <w:rsid w:val="00BA6A15"/>
    <w:rsid w:val="00BA6A2F"/>
    <w:rsid w:val="00BA6A92"/>
    <w:rsid w:val="00BA6ACF"/>
    <w:rsid w:val="00BA6D66"/>
    <w:rsid w:val="00BA6D6C"/>
    <w:rsid w:val="00BA6E1F"/>
    <w:rsid w:val="00BA70C5"/>
    <w:rsid w:val="00BA70DE"/>
    <w:rsid w:val="00BA74BF"/>
    <w:rsid w:val="00BA758F"/>
    <w:rsid w:val="00BA7687"/>
    <w:rsid w:val="00BA7796"/>
    <w:rsid w:val="00BA7798"/>
    <w:rsid w:val="00BA7A4E"/>
    <w:rsid w:val="00BA7B52"/>
    <w:rsid w:val="00BA7BDF"/>
    <w:rsid w:val="00BA7D14"/>
    <w:rsid w:val="00BA7DA8"/>
    <w:rsid w:val="00BA7DC6"/>
    <w:rsid w:val="00BA7ED8"/>
    <w:rsid w:val="00BA7F2C"/>
    <w:rsid w:val="00BB0218"/>
    <w:rsid w:val="00BB02D6"/>
    <w:rsid w:val="00BB0546"/>
    <w:rsid w:val="00BB06C7"/>
    <w:rsid w:val="00BB070A"/>
    <w:rsid w:val="00BB0985"/>
    <w:rsid w:val="00BB09AC"/>
    <w:rsid w:val="00BB0A81"/>
    <w:rsid w:val="00BB0C68"/>
    <w:rsid w:val="00BB0D2B"/>
    <w:rsid w:val="00BB0DE2"/>
    <w:rsid w:val="00BB0DE8"/>
    <w:rsid w:val="00BB0E33"/>
    <w:rsid w:val="00BB0E36"/>
    <w:rsid w:val="00BB0EDD"/>
    <w:rsid w:val="00BB1177"/>
    <w:rsid w:val="00BB1234"/>
    <w:rsid w:val="00BB130A"/>
    <w:rsid w:val="00BB1A33"/>
    <w:rsid w:val="00BB1B5E"/>
    <w:rsid w:val="00BB1B66"/>
    <w:rsid w:val="00BB1BE8"/>
    <w:rsid w:val="00BB1C75"/>
    <w:rsid w:val="00BB1DFA"/>
    <w:rsid w:val="00BB1EC9"/>
    <w:rsid w:val="00BB1EFA"/>
    <w:rsid w:val="00BB1F75"/>
    <w:rsid w:val="00BB2025"/>
    <w:rsid w:val="00BB2038"/>
    <w:rsid w:val="00BB20B5"/>
    <w:rsid w:val="00BB2126"/>
    <w:rsid w:val="00BB2179"/>
    <w:rsid w:val="00BB21EF"/>
    <w:rsid w:val="00BB2278"/>
    <w:rsid w:val="00BB24BF"/>
    <w:rsid w:val="00BB24F7"/>
    <w:rsid w:val="00BB2621"/>
    <w:rsid w:val="00BB2651"/>
    <w:rsid w:val="00BB26A0"/>
    <w:rsid w:val="00BB2725"/>
    <w:rsid w:val="00BB2828"/>
    <w:rsid w:val="00BB2AE4"/>
    <w:rsid w:val="00BB2C4D"/>
    <w:rsid w:val="00BB2C85"/>
    <w:rsid w:val="00BB2D28"/>
    <w:rsid w:val="00BB2E61"/>
    <w:rsid w:val="00BB3105"/>
    <w:rsid w:val="00BB3175"/>
    <w:rsid w:val="00BB31D8"/>
    <w:rsid w:val="00BB3255"/>
    <w:rsid w:val="00BB3495"/>
    <w:rsid w:val="00BB3581"/>
    <w:rsid w:val="00BB372C"/>
    <w:rsid w:val="00BB378A"/>
    <w:rsid w:val="00BB38DE"/>
    <w:rsid w:val="00BB38F6"/>
    <w:rsid w:val="00BB3966"/>
    <w:rsid w:val="00BB3B66"/>
    <w:rsid w:val="00BB3B9F"/>
    <w:rsid w:val="00BB3CE6"/>
    <w:rsid w:val="00BB3FF7"/>
    <w:rsid w:val="00BB410D"/>
    <w:rsid w:val="00BB4134"/>
    <w:rsid w:val="00BB42D3"/>
    <w:rsid w:val="00BB42D5"/>
    <w:rsid w:val="00BB4337"/>
    <w:rsid w:val="00BB444E"/>
    <w:rsid w:val="00BB4623"/>
    <w:rsid w:val="00BB4753"/>
    <w:rsid w:val="00BB4755"/>
    <w:rsid w:val="00BB47D0"/>
    <w:rsid w:val="00BB4C18"/>
    <w:rsid w:val="00BB4D2F"/>
    <w:rsid w:val="00BB5143"/>
    <w:rsid w:val="00BB5245"/>
    <w:rsid w:val="00BB52E1"/>
    <w:rsid w:val="00BB534A"/>
    <w:rsid w:val="00BB544A"/>
    <w:rsid w:val="00BB5512"/>
    <w:rsid w:val="00BB5784"/>
    <w:rsid w:val="00BB59CB"/>
    <w:rsid w:val="00BB5A1C"/>
    <w:rsid w:val="00BB5B3D"/>
    <w:rsid w:val="00BB5C06"/>
    <w:rsid w:val="00BB5C32"/>
    <w:rsid w:val="00BB5D03"/>
    <w:rsid w:val="00BB5FC1"/>
    <w:rsid w:val="00BB5FDA"/>
    <w:rsid w:val="00BB6187"/>
    <w:rsid w:val="00BB627F"/>
    <w:rsid w:val="00BB62EC"/>
    <w:rsid w:val="00BB64A6"/>
    <w:rsid w:val="00BB6671"/>
    <w:rsid w:val="00BB66C0"/>
    <w:rsid w:val="00BB694E"/>
    <w:rsid w:val="00BB6A3C"/>
    <w:rsid w:val="00BB6B1F"/>
    <w:rsid w:val="00BB6B32"/>
    <w:rsid w:val="00BB6BF3"/>
    <w:rsid w:val="00BB6C9F"/>
    <w:rsid w:val="00BB6D59"/>
    <w:rsid w:val="00BB6DE6"/>
    <w:rsid w:val="00BB6E1B"/>
    <w:rsid w:val="00BB6E63"/>
    <w:rsid w:val="00BB6F62"/>
    <w:rsid w:val="00BB700D"/>
    <w:rsid w:val="00BB714B"/>
    <w:rsid w:val="00BB71C3"/>
    <w:rsid w:val="00BB71CA"/>
    <w:rsid w:val="00BB72FE"/>
    <w:rsid w:val="00BB7330"/>
    <w:rsid w:val="00BB73FD"/>
    <w:rsid w:val="00BB744B"/>
    <w:rsid w:val="00BB7686"/>
    <w:rsid w:val="00BB7702"/>
    <w:rsid w:val="00BB77F9"/>
    <w:rsid w:val="00BB7804"/>
    <w:rsid w:val="00BB7829"/>
    <w:rsid w:val="00BB799F"/>
    <w:rsid w:val="00BB7A25"/>
    <w:rsid w:val="00BB7ADA"/>
    <w:rsid w:val="00BB7B9E"/>
    <w:rsid w:val="00BB7CA3"/>
    <w:rsid w:val="00BB7E39"/>
    <w:rsid w:val="00BB7F0A"/>
    <w:rsid w:val="00BB7F4D"/>
    <w:rsid w:val="00BC0060"/>
    <w:rsid w:val="00BC0106"/>
    <w:rsid w:val="00BC0144"/>
    <w:rsid w:val="00BC0330"/>
    <w:rsid w:val="00BC03C6"/>
    <w:rsid w:val="00BC0AA1"/>
    <w:rsid w:val="00BC0AE1"/>
    <w:rsid w:val="00BC0AE7"/>
    <w:rsid w:val="00BC0B5E"/>
    <w:rsid w:val="00BC0B76"/>
    <w:rsid w:val="00BC0BB8"/>
    <w:rsid w:val="00BC0C44"/>
    <w:rsid w:val="00BC0CD0"/>
    <w:rsid w:val="00BC0D31"/>
    <w:rsid w:val="00BC0D52"/>
    <w:rsid w:val="00BC0E43"/>
    <w:rsid w:val="00BC0EDB"/>
    <w:rsid w:val="00BC11AF"/>
    <w:rsid w:val="00BC11DC"/>
    <w:rsid w:val="00BC1243"/>
    <w:rsid w:val="00BC130E"/>
    <w:rsid w:val="00BC139F"/>
    <w:rsid w:val="00BC155D"/>
    <w:rsid w:val="00BC1668"/>
    <w:rsid w:val="00BC1670"/>
    <w:rsid w:val="00BC1780"/>
    <w:rsid w:val="00BC17D5"/>
    <w:rsid w:val="00BC17F5"/>
    <w:rsid w:val="00BC182F"/>
    <w:rsid w:val="00BC1911"/>
    <w:rsid w:val="00BC1A22"/>
    <w:rsid w:val="00BC1A61"/>
    <w:rsid w:val="00BC1B25"/>
    <w:rsid w:val="00BC1E0F"/>
    <w:rsid w:val="00BC1E39"/>
    <w:rsid w:val="00BC1F76"/>
    <w:rsid w:val="00BC1F78"/>
    <w:rsid w:val="00BC1FB8"/>
    <w:rsid w:val="00BC20D4"/>
    <w:rsid w:val="00BC210F"/>
    <w:rsid w:val="00BC225E"/>
    <w:rsid w:val="00BC227E"/>
    <w:rsid w:val="00BC23CD"/>
    <w:rsid w:val="00BC2404"/>
    <w:rsid w:val="00BC25AF"/>
    <w:rsid w:val="00BC2693"/>
    <w:rsid w:val="00BC29AB"/>
    <w:rsid w:val="00BC2B86"/>
    <w:rsid w:val="00BC2CD8"/>
    <w:rsid w:val="00BC2EC3"/>
    <w:rsid w:val="00BC2F8D"/>
    <w:rsid w:val="00BC30E6"/>
    <w:rsid w:val="00BC31CF"/>
    <w:rsid w:val="00BC338E"/>
    <w:rsid w:val="00BC33CB"/>
    <w:rsid w:val="00BC3423"/>
    <w:rsid w:val="00BC3432"/>
    <w:rsid w:val="00BC3468"/>
    <w:rsid w:val="00BC3470"/>
    <w:rsid w:val="00BC35A9"/>
    <w:rsid w:val="00BC35AB"/>
    <w:rsid w:val="00BC35BE"/>
    <w:rsid w:val="00BC36DE"/>
    <w:rsid w:val="00BC387F"/>
    <w:rsid w:val="00BC38F2"/>
    <w:rsid w:val="00BC3A7F"/>
    <w:rsid w:val="00BC3B96"/>
    <w:rsid w:val="00BC3C39"/>
    <w:rsid w:val="00BC3D80"/>
    <w:rsid w:val="00BC3E29"/>
    <w:rsid w:val="00BC3EA3"/>
    <w:rsid w:val="00BC3F5A"/>
    <w:rsid w:val="00BC3F97"/>
    <w:rsid w:val="00BC40BD"/>
    <w:rsid w:val="00BC40E0"/>
    <w:rsid w:val="00BC431A"/>
    <w:rsid w:val="00BC451C"/>
    <w:rsid w:val="00BC4537"/>
    <w:rsid w:val="00BC4592"/>
    <w:rsid w:val="00BC47C5"/>
    <w:rsid w:val="00BC47F0"/>
    <w:rsid w:val="00BC48A5"/>
    <w:rsid w:val="00BC493B"/>
    <w:rsid w:val="00BC4A9E"/>
    <w:rsid w:val="00BC4AAC"/>
    <w:rsid w:val="00BC4B66"/>
    <w:rsid w:val="00BC4C22"/>
    <w:rsid w:val="00BC4C4D"/>
    <w:rsid w:val="00BC4D5C"/>
    <w:rsid w:val="00BC4DAE"/>
    <w:rsid w:val="00BC4F40"/>
    <w:rsid w:val="00BC5308"/>
    <w:rsid w:val="00BC5412"/>
    <w:rsid w:val="00BC5413"/>
    <w:rsid w:val="00BC54B5"/>
    <w:rsid w:val="00BC5518"/>
    <w:rsid w:val="00BC560C"/>
    <w:rsid w:val="00BC56D1"/>
    <w:rsid w:val="00BC57DE"/>
    <w:rsid w:val="00BC57F4"/>
    <w:rsid w:val="00BC5881"/>
    <w:rsid w:val="00BC58CC"/>
    <w:rsid w:val="00BC591C"/>
    <w:rsid w:val="00BC5AC3"/>
    <w:rsid w:val="00BC5AF9"/>
    <w:rsid w:val="00BC5B30"/>
    <w:rsid w:val="00BC5BAA"/>
    <w:rsid w:val="00BC5BEF"/>
    <w:rsid w:val="00BC5FD6"/>
    <w:rsid w:val="00BC618A"/>
    <w:rsid w:val="00BC61D1"/>
    <w:rsid w:val="00BC622D"/>
    <w:rsid w:val="00BC6312"/>
    <w:rsid w:val="00BC631E"/>
    <w:rsid w:val="00BC640E"/>
    <w:rsid w:val="00BC6538"/>
    <w:rsid w:val="00BC6910"/>
    <w:rsid w:val="00BC6BBE"/>
    <w:rsid w:val="00BC6C19"/>
    <w:rsid w:val="00BC6C21"/>
    <w:rsid w:val="00BC6C58"/>
    <w:rsid w:val="00BC6D9D"/>
    <w:rsid w:val="00BC6E4B"/>
    <w:rsid w:val="00BC6E7E"/>
    <w:rsid w:val="00BC7056"/>
    <w:rsid w:val="00BC708F"/>
    <w:rsid w:val="00BC70B2"/>
    <w:rsid w:val="00BC70C7"/>
    <w:rsid w:val="00BC71C8"/>
    <w:rsid w:val="00BC7229"/>
    <w:rsid w:val="00BC7428"/>
    <w:rsid w:val="00BC744B"/>
    <w:rsid w:val="00BC75E6"/>
    <w:rsid w:val="00BC76B6"/>
    <w:rsid w:val="00BC776B"/>
    <w:rsid w:val="00BC77DA"/>
    <w:rsid w:val="00BC795B"/>
    <w:rsid w:val="00BC79D2"/>
    <w:rsid w:val="00BC79F7"/>
    <w:rsid w:val="00BC7A7A"/>
    <w:rsid w:val="00BC7C1F"/>
    <w:rsid w:val="00BC7CDD"/>
    <w:rsid w:val="00BC7D76"/>
    <w:rsid w:val="00BC7DA7"/>
    <w:rsid w:val="00BD005C"/>
    <w:rsid w:val="00BD0253"/>
    <w:rsid w:val="00BD02AF"/>
    <w:rsid w:val="00BD02C9"/>
    <w:rsid w:val="00BD0427"/>
    <w:rsid w:val="00BD0474"/>
    <w:rsid w:val="00BD0592"/>
    <w:rsid w:val="00BD05FF"/>
    <w:rsid w:val="00BD06B4"/>
    <w:rsid w:val="00BD0825"/>
    <w:rsid w:val="00BD0860"/>
    <w:rsid w:val="00BD0A1B"/>
    <w:rsid w:val="00BD0A2D"/>
    <w:rsid w:val="00BD0CA7"/>
    <w:rsid w:val="00BD0D99"/>
    <w:rsid w:val="00BD0DB9"/>
    <w:rsid w:val="00BD0E22"/>
    <w:rsid w:val="00BD0E80"/>
    <w:rsid w:val="00BD11C1"/>
    <w:rsid w:val="00BD11F3"/>
    <w:rsid w:val="00BD1226"/>
    <w:rsid w:val="00BD12EF"/>
    <w:rsid w:val="00BD1618"/>
    <w:rsid w:val="00BD1657"/>
    <w:rsid w:val="00BD168C"/>
    <w:rsid w:val="00BD16D2"/>
    <w:rsid w:val="00BD17BA"/>
    <w:rsid w:val="00BD19B2"/>
    <w:rsid w:val="00BD1B87"/>
    <w:rsid w:val="00BD1C18"/>
    <w:rsid w:val="00BD1C1C"/>
    <w:rsid w:val="00BD1C9B"/>
    <w:rsid w:val="00BD1CDB"/>
    <w:rsid w:val="00BD1D69"/>
    <w:rsid w:val="00BD1DC0"/>
    <w:rsid w:val="00BD1DE2"/>
    <w:rsid w:val="00BD1E54"/>
    <w:rsid w:val="00BD1EB7"/>
    <w:rsid w:val="00BD21E1"/>
    <w:rsid w:val="00BD2209"/>
    <w:rsid w:val="00BD237F"/>
    <w:rsid w:val="00BD24DF"/>
    <w:rsid w:val="00BD24EA"/>
    <w:rsid w:val="00BD26C8"/>
    <w:rsid w:val="00BD26D8"/>
    <w:rsid w:val="00BD26F0"/>
    <w:rsid w:val="00BD2734"/>
    <w:rsid w:val="00BD2A84"/>
    <w:rsid w:val="00BD2ABB"/>
    <w:rsid w:val="00BD2B19"/>
    <w:rsid w:val="00BD2CFD"/>
    <w:rsid w:val="00BD2F09"/>
    <w:rsid w:val="00BD2F53"/>
    <w:rsid w:val="00BD2F76"/>
    <w:rsid w:val="00BD3068"/>
    <w:rsid w:val="00BD306A"/>
    <w:rsid w:val="00BD30E1"/>
    <w:rsid w:val="00BD312F"/>
    <w:rsid w:val="00BD3222"/>
    <w:rsid w:val="00BD3292"/>
    <w:rsid w:val="00BD32A3"/>
    <w:rsid w:val="00BD3435"/>
    <w:rsid w:val="00BD344C"/>
    <w:rsid w:val="00BD34BD"/>
    <w:rsid w:val="00BD3752"/>
    <w:rsid w:val="00BD37CB"/>
    <w:rsid w:val="00BD37E0"/>
    <w:rsid w:val="00BD384E"/>
    <w:rsid w:val="00BD3879"/>
    <w:rsid w:val="00BD3BE3"/>
    <w:rsid w:val="00BD3F43"/>
    <w:rsid w:val="00BD401A"/>
    <w:rsid w:val="00BD401C"/>
    <w:rsid w:val="00BD402F"/>
    <w:rsid w:val="00BD4058"/>
    <w:rsid w:val="00BD42D8"/>
    <w:rsid w:val="00BD434F"/>
    <w:rsid w:val="00BD4367"/>
    <w:rsid w:val="00BD441B"/>
    <w:rsid w:val="00BD4597"/>
    <w:rsid w:val="00BD47D4"/>
    <w:rsid w:val="00BD4809"/>
    <w:rsid w:val="00BD4820"/>
    <w:rsid w:val="00BD482D"/>
    <w:rsid w:val="00BD489D"/>
    <w:rsid w:val="00BD48CE"/>
    <w:rsid w:val="00BD4A8C"/>
    <w:rsid w:val="00BD4BB9"/>
    <w:rsid w:val="00BD4BD2"/>
    <w:rsid w:val="00BD4CA3"/>
    <w:rsid w:val="00BD4D19"/>
    <w:rsid w:val="00BD4D22"/>
    <w:rsid w:val="00BD4F15"/>
    <w:rsid w:val="00BD4FCB"/>
    <w:rsid w:val="00BD50CD"/>
    <w:rsid w:val="00BD52DB"/>
    <w:rsid w:val="00BD53FE"/>
    <w:rsid w:val="00BD555F"/>
    <w:rsid w:val="00BD562C"/>
    <w:rsid w:val="00BD563F"/>
    <w:rsid w:val="00BD58BD"/>
    <w:rsid w:val="00BD5949"/>
    <w:rsid w:val="00BD5AB8"/>
    <w:rsid w:val="00BD5B0D"/>
    <w:rsid w:val="00BD5B2A"/>
    <w:rsid w:val="00BD5C05"/>
    <w:rsid w:val="00BD5C64"/>
    <w:rsid w:val="00BD5D19"/>
    <w:rsid w:val="00BD5D3D"/>
    <w:rsid w:val="00BD60B9"/>
    <w:rsid w:val="00BD60C3"/>
    <w:rsid w:val="00BD610D"/>
    <w:rsid w:val="00BD6157"/>
    <w:rsid w:val="00BD6354"/>
    <w:rsid w:val="00BD6373"/>
    <w:rsid w:val="00BD63A1"/>
    <w:rsid w:val="00BD6644"/>
    <w:rsid w:val="00BD66C1"/>
    <w:rsid w:val="00BD6B62"/>
    <w:rsid w:val="00BD6BD0"/>
    <w:rsid w:val="00BD6C9B"/>
    <w:rsid w:val="00BD6DA0"/>
    <w:rsid w:val="00BD6F1A"/>
    <w:rsid w:val="00BD6F1F"/>
    <w:rsid w:val="00BD6FD1"/>
    <w:rsid w:val="00BD6FE8"/>
    <w:rsid w:val="00BD7091"/>
    <w:rsid w:val="00BD710A"/>
    <w:rsid w:val="00BD7150"/>
    <w:rsid w:val="00BD7192"/>
    <w:rsid w:val="00BD71D0"/>
    <w:rsid w:val="00BD75AE"/>
    <w:rsid w:val="00BD776D"/>
    <w:rsid w:val="00BD7783"/>
    <w:rsid w:val="00BD782D"/>
    <w:rsid w:val="00BD799F"/>
    <w:rsid w:val="00BD79F4"/>
    <w:rsid w:val="00BD7AF5"/>
    <w:rsid w:val="00BD7B85"/>
    <w:rsid w:val="00BD7C81"/>
    <w:rsid w:val="00BE0178"/>
    <w:rsid w:val="00BE0259"/>
    <w:rsid w:val="00BE0261"/>
    <w:rsid w:val="00BE0722"/>
    <w:rsid w:val="00BE074C"/>
    <w:rsid w:val="00BE078B"/>
    <w:rsid w:val="00BE07DF"/>
    <w:rsid w:val="00BE08F1"/>
    <w:rsid w:val="00BE0A5A"/>
    <w:rsid w:val="00BE0A60"/>
    <w:rsid w:val="00BE0A79"/>
    <w:rsid w:val="00BE0B61"/>
    <w:rsid w:val="00BE0D8B"/>
    <w:rsid w:val="00BE0EC8"/>
    <w:rsid w:val="00BE121A"/>
    <w:rsid w:val="00BE1220"/>
    <w:rsid w:val="00BE1406"/>
    <w:rsid w:val="00BE141B"/>
    <w:rsid w:val="00BE1508"/>
    <w:rsid w:val="00BE1567"/>
    <w:rsid w:val="00BE156A"/>
    <w:rsid w:val="00BE1619"/>
    <w:rsid w:val="00BE1663"/>
    <w:rsid w:val="00BE1676"/>
    <w:rsid w:val="00BE18D1"/>
    <w:rsid w:val="00BE1973"/>
    <w:rsid w:val="00BE19F1"/>
    <w:rsid w:val="00BE1BAC"/>
    <w:rsid w:val="00BE1F74"/>
    <w:rsid w:val="00BE2022"/>
    <w:rsid w:val="00BE2076"/>
    <w:rsid w:val="00BE219E"/>
    <w:rsid w:val="00BE21F2"/>
    <w:rsid w:val="00BE2213"/>
    <w:rsid w:val="00BE2222"/>
    <w:rsid w:val="00BE22B5"/>
    <w:rsid w:val="00BE25B1"/>
    <w:rsid w:val="00BE25E7"/>
    <w:rsid w:val="00BE25EE"/>
    <w:rsid w:val="00BE2733"/>
    <w:rsid w:val="00BE290E"/>
    <w:rsid w:val="00BE293A"/>
    <w:rsid w:val="00BE29D2"/>
    <w:rsid w:val="00BE2AB2"/>
    <w:rsid w:val="00BE2B7E"/>
    <w:rsid w:val="00BE2BD6"/>
    <w:rsid w:val="00BE2CA5"/>
    <w:rsid w:val="00BE2CDA"/>
    <w:rsid w:val="00BE2E5E"/>
    <w:rsid w:val="00BE2E73"/>
    <w:rsid w:val="00BE2FB6"/>
    <w:rsid w:val="00BE315D"/>
    <w:rsid w:val="00BE31C6"/>
    <w:rsid w:val="00BE31F8"/>
    <w:rsid w:val="00BE32CB"/>
    <w:rsid w:val="00BE32EA"/>
    <w:rsid w:val="00BE338D"/>
    <w:rsid w:val="00BE3442"/>
    <w:rsid w:val="00BE369D"/>
    <w:rsid w:val="00BE377B"/>
    <w:rsid w:val="00BE37EA"/>
    <w:rsid w:val="00BE3918"/>
    <w:rsid w:val="00BE395C"/>
    <w:rsid w:val="00BE3963"/>
    <w:rsid w:val="00BE3A67"/>
    <w:rsid w:val="00BE3B68"/>
    <w:rsid w:val="00BE3D62"/>
    <w:rsid w:val="00BE3DE8"/>
    <w:rsid w:val="00BE3E67"/>
    <w:rsid w:val="00BE3E8C"/>
    <w:rsid w:val="00BE40B6"/>
    <w:rsid w:val="00BE4413"/>
    <w:rsid w:val="00BE445E"/>
    <w:rsid w:val="00BE44BE"/>
    <w:rsid w:val="00BE455C"/>
    <w:rsid w:val="00BE47C3"/>
    <w:rsid w:val="00BE4850"/>
    <w:rsid w:val="00BE493E"/>
    <w:rsid w:val="00BE4962"/>
    <w:rsid w:val="00BE4A82"/>
    <w:rsid w:val="00BE4AFA"/>
    <w:rsid w:val="00BE4C79"/>
    <w:rsid w:val="00BE4D04"/>
    <w:rsid w:val="00BE4E02"/>
    <w:rsid w:val="00BE4E4E"/>
    <w:rsid w:val="00BE5040"/>
    <w:rsid w:val="00BE5062"/>
    <w:rsid w:val="00BE5168"/>
    <w:rsid w:val="00BE5367"/>
    <w:rsid w:val="00BE548D"/>
    <w:rsid w:val="00BE5492"/>
    <w:rsid w:val="00BE5499"/>
    <w:rsid w:val="00BE550B"/>
    <w:rsid w:val="00BE5591"/>
    <w:rsid w:val="00BE57A3"/>
    <w:rsid w:val="00BE5947"/>
    <w:rsid w:val="00BE5A51"/>
    <w:rsid w:val="00BE5F76"/>
    <w:rsid w:val="00BE5FD0"/>
    <w:rsid w:val="00BE62F6"/>
    <w:rsid w:val="00BE6496"/>
    <w:rsid w:val="00BE6570"/>
    <w:rsid w:val="00BE6838"/>
    <w:rsid w:val="00BE68D6"/>
    <w:rsid w:val="00BE68FF"/>
    <w:rsid w:val="00BE6916"/>
    <w:rsid w:val="00BE6AC7"/>
    <w:rsid w:val="00BE6B3C"/>
    <w:rsid w:val="00BE6BA3"/>
    <w:rsid w:val="00BE7285"/>
    <w:rsid w:val="00BE7505"/>
    <w:rsid w:val="00BE7717"/>
    <w:rsid w:val="00BE7865"/>
    <w:rsid w:val="00BE79E8"/>
    <w:rsid w:val="00BE7A59"/>
    <w:rsid w:val="00BE7AF8"/>
    <w:rsid w:val="00BE7D1C"/>
    <w:rsid w:val="00BE7E40"/>
    <w:rsid w:val="00BE7EB9"/>
    <w:rsid w:val="00BE7F8F"/>
    <w:rsid w:val="00BF0088"/>
    <w:rsid w:val="00BF011E"/>
    <w:rsid w:val="00BF01EE"/>
    <w:rsid w:val="00BF0472"/>
    <w:rsid w:val="00BF0843"/>
    <w:rsid w:val="00BF0971"/>
    <w:rsid w:val="00BF0A6B"/>
    <w:rsid w:val="00BF0ACA"/>
    <w:rsid w:val="00BF0D21"/>
    <w:rsid w:val="00BF0F47"/>
    <w:rsid w:val="00BF12D7"/>
    <w:rsid w:val="00BF1518"/>
    <w:rsid w:val="00BF1525"/>
    <w:rsid w:val="00BF156A"/>
    <w:rsid w:val="00BF16C3"/>
    <w:rsid w:val="00BF174C"/>
    <w:rsid w:val="00BF183B"/>
    <w:rsid w:val="00BF1A32"/>
    <w:rsid w:val="00BF1A63"/>
    <w:rsid w:val="00BF1B0A"/>
    <w:rsid w:val="00BF1BBA"/>
    <w:rsid w:val="00BF1C09"/>
    <w:rsid w:val="00BF1C10"/>
    <w:rsid w:val="00BF1C14"/>
    <w:rsid w:val="00BF1C95"/>
    <w:rsid w:val="00BF1CE0"/>
    <w:rsid w:val="00BF1E95"/>
    <w:rsid w:val="00BF1FB7"/>
    <w:rsid w:val="00BF21CE"/>
    <w:rsid w:val="00BF221C"/>
    <w:rsid w:val="00BF223E"/>
    <w:rsid w:val="00BF2394"/>
    <w:rsid w:val="00BF23C9"/>
    <w:rsid w:val="00BF2463"/>
    <w:rsid w:val="00BF2484"/>
    <w:rsid w:val="00BF250C"/>
    <w:rsid w:val="00BF2633"/>
    <w:rsid w:val="00BF269C"/>
    <w:rsid w:val="00BF2776"/>
    <w:rsid w:val="00BF294A"/>
    <w:rsid w:val="00BF2981"/>
    <w:rsid w:val="00BF2AF9"/>
    <w:rsid w:val="00BF2B23"/>
    <w:rsid w:val="00BF2B9F"/>
    <w:rsid w:val="00BF2BEA"/>
    <w:rsid w:val="00BF2D05"/>
    <w:rsid w:val="00BF2E79"/>
    <w:rsid w:val="00BF2F9D"/>
    <w:rsid w:val="00BF2FDE"/>
    <w:rsid w:val="00BF30FD"/>
    <w:rsid w:val="00BF3280"/>
    <w:rsid w:val="00BF33B3"/>
    <w:rsid w:val="00BF35A1"/>
    <w:rsid w:val="00BF3924"/>
    <w:rsid w:val="00BF39D2"/>
    <w:rsid w:val="00BF39FB"/>
    <w:rsid w:val="00BF3A27"/>
    <w:rsid w:val="00BF3A99"/>
    <w:rsid w:val="00BF3D8A"/>
    <w:rsid w:val="00BF3DC2"/>
    <w:rsid w:val="00BF3EDE"/>
    <w:rsid w:val="00BF3F1B"/>
    <w:rsid w:val="00BF3F68"/>
    <w:rsid w:val="00BF3F76"/>
    <w:rsid w:val="00BF42B6"/>
    <w:rsid w:val="00BF4385"/>
    <w:rsid w:val="00BF4533"/>
    <w:rsid w:val="00BF4591"/>
    <w:rsid w:val="00BF46AE"/>
    <w:rsid w:val="00BF46F9"/>
    <w:rsid w:val="00BF4731"/>
    <w:rsid w:val="00BF476B"/>
    <w:rsid w:val="00BF479E"/>
    <w:rsid w:val="00BF4884"/>
    <w:rsid w:val="00BF49D3"/>
    <w:rsid w:val="00BF4B25"/>
    <w:rsid w:val="00BF4C32"/>
    <w:rsid w:val="00BF4D29"/>
    <w:rsid w:val="00BF4EDC"/>
    <w:rsid w:val="00BF4F77"/>
    <w:rsid w:val="00BF50A0"/>
    <w:rsid w:val="00BF522A"/>
    <w:rsid w:val="00BF5249"/>
    <w:rsid w:val="00BF5261"/>
    <w:rsid w:val="00BF5343"/>
    <w:rsid w:val="00BF5810"/>
    <w:rsid w:val="00BF58B3"/>
    <w:rsid w:val="00BF5936"/>
    <w:rsid w:val="00BF596E"/>
    <w:rsid w:val="00BF5A5C"/>
    <w:rsid w:val="00BF5B91"/>
    <w:rsid w:val="00BF5C0A"/>
    <w:rsid w:val="00BF5CA8"/>
    <w:rsid w:val="00BF5F25"/>
    <w:rsid w:val="00BF5F77"/>
    <w:rsid w:val="00BF5FC5"/>
    <w:rsid w:val="00BF5FCE"/>
    <w:rsid w:val="00BF61F9"/>
    <w:rsid w:val="00BF6367"/>
    <w:rsid w:val="00BF670A"/>
    <w:rsid w:val="00BF67CE"/>
    <w:rsid w:val="00BF67F6"/>
    <w:rsid w:val="00BF6924"/>
    <w:rsid w:val="00BF6989"/>
    <w:rsid w:val="00BF6A55"/>
    <w:rsid w:val="00BF6AFC"/>
    <w:rsid w:val="00BF6BDD"/>
    <w:rsid w:val="00BF6C45"/>
    <w:rsid w:val="00BF6C63"/>
    <w:rsid w:val="00BF6D5F"/>
    <w:rsid w:val="00BF6E46"/>
    <w:rsid w:val="00BF6EA4"/>
    <w:rsid w:val="00BF702F"/>
    <w:rsid w:val="00BF718A"/>
    <w:rsid w:val="00BF722F"/>
    <w:rsid w:val="00BF7693"/>
    <w:rsid w:val="00BF76E8"/>
    <w:rsid w:val="00BF7A49"/>
    <w:rsid w:val="00BF7BB7"/>
    <w:rsid w:val="00BF7BC5"/>
    <w:rsid w:val="00BF7C1B"/>
    <w:rsid w:val="00BF7D86"/>
    <w:rsid w:val="00C00117"/>
    <w:rsid w:val="00C001AC"/>
    <w:rsid w:val="00C001C0"/>
    <w:rsid w:val="00C001D3"/>
    <w:rsid w:val="00C002FC"/>
    <w:rsid w:val="00C00307"/>
    <w:rsid w:val="00C003C6"/>
    <w:rsid w:val="00C004B7"/>
    <w:rsid w:val="00C00703"/>
    <w:rsid w:val="00C007A4"/>
    <w:rsid w:val="00C00994"/>
    <w:rsid w:val="00C00A2F"/>
    <w:rsid w:val="00C00B76"/>
    <w:rsid w:val="00C00C8B"/>
    <w:rsid w:val="00C00DD4"/>
    <w:rsid w:val="00C00EF0"/>
    <w:rsid w:val="00C00F66"/>
    <w:rsid w:val="00C00FE4"/>
    <w:rsid w:val="00C0107C"/>
    <w:rsid w:val="00C01138"/>
    <w:rsid w:val="00C0125E"/>
    <w:rsid w:val="00C01474"/>
    <w:rsid w:val="00C014B2"/>
    <w:rsid w:val="00C014DD"/>
    <w:rsid w:val="00C015FA"/>
    <w:rsid w:val="00C01644"/>
    <w:rsid w:val="00C01728"/>
    <w:rsid w:val="00C017A4"/>
    <w:rsid w:val="00C01819"/>
    <w:rsid w:val="00C01856"/>
    <w:rsid w:val="00C018D7"/>
    <w:rsid w:val="00C01995"/>
    <w:rsid w:val="00C01A17"/>
    <w:rsid w:val="00C01A9D"/>
    <w:rsid w:val="00C01B6F"/>
    <w:rsid w:val="00C01DD7"/>
    <w:rsid w:val="00C01DF9"/>
    <w:rsid w:val="00C02239"/>
    <w:rsid w:val="00C0245C"/>
    <w:rsid w:val="00C024E0"/>
    <w:rsid w:val="00C0250F"/>
    <w:rsid w:val="00C0286C"/>
    <w:rsid w:val="00C02B1E"/>
    <w:rsid w:val="00C02B52"/>
    <w:rsid w:val="00C02B9A"/>
    <w:rsid w:val="00C02DC0"/>
    <w:rsid w:val="00C02E47"/>
    <w:rsid w:val="00C02E57"/>
    <w:rsid w:val="00C02F5A"/>
    <w:rsid w:val="00C03053"/>
    <w:rsid w:val="00C030BA"/>
    <w:rsid w:val="00C03110"/>
    <w:rsid w:val="00C03256"/>
    <w:rsid w:val="00C032BC"/>
    <w:rsid w:val="00C03380"/>
    <w:rsid w:val="00C0350B"/>
    <w:rsid w:val="00C036C6"/>
    <w:rsid w:val="00C03730"/>
    <w:rsid w:val="00C03752"/>
    <w:rsid w:val="00C037B7"/>
    <w:rsid w:val="00C0392C"/>
    <w:rsid w:val="00C039CB"/>
    <w:rsid w:val="00C03A4F"/>
    <w:rsid w:val="00C03CD3"/>
    <w:rsid w:val="00C03DE5"/>
    <w:rsid w:val="00C04109"/>
    <w:rsid w:val="00C044AD"/>
    <w:rsid w:val="00C044C3"/>
    <w:rsid w:val="00C045A4"/>
    <w:rsid w:val="00C0464A"/>
    <w:rsid w:val="00C0464D"/>
    <w:rsid w:val="00C0484B"/>
    <w:rsid w:val="00C04947"/>
    <w:rsid w:val="00C04B3C"/>
    <w:rsid w:val="00C04B43"/>
    <w:rsid w:val="00C04BC9"/>
    <w:rsid w:val="00C04C71"/>
    <w:rsid w:val="00C04F51"/>
    <w:rsid w:val="00C05161"/>
    <w:rsid w:val="00C05463"/>
    <w:rsid w:val="00C05782"/>
    <w:rsid w:val="00C0598A"/>
    <w:rsid w:val="00C059FA"/>
    <w:rsid w:val="00C05A8E"/>
    <w:rsid w:val="00C05AA1"/>
    <w:rsid w:val="00C05AE9"/>
    <w:rsid w:val="00C05AFF"/>
    <w:rsid w:val="00C05B34"/>
    <w:rsid w:val="00C05C94"/>
    <w:rsid w:val="00C05CE4"/>
    <w:rsid w:val="00C05D85"/>
    <w:rsid w:val="00C05E99"/>
    <w:rsid w:val="00C06022"/>
    <w:rsid w:val="00C06115"/>
    <w:rsid w:val="00C06121"/>
    <w:rsid w:val="00C06166"/>
    <w:rsid w:val="00C06366"/>
    <w:rsid w:val="00C0639B"/>
    <w:rsid w:val="00C063C4"/>
    <w:rsid w:val="00C064A7"/>
    <w:rsid w:val="00C06760"/>
    <w:rsid w:val="00C067DE"/>
    <w:rsid w:val="00C067F0"/>
    <w:rsid w:val="00C06870"/>
    <w:rsid w:val="00C06A0D"/>
    <w:rsid w:val="00C06A0F"/>
    <w:rsid w:val="00C06A7B"/>
    <w:rsid w:val="00C06BFC"/>
    <w:rsid w:val="00C06CDE"/>
    <w:rsid w:val="00C06DC5"/>
    <w:rsid w:val="00C07020"/>
    <w:rsid w:val="00C07058"/>
    <w:rsid w:val="00C071BB"/>
    <w:rsid w:val="00C071DD"/>
    <w:rsid w:val="00C07237"/>
    <w:rsid w:val="00C07303"/>
    <w:rsid w:val="00C07470"/>
    <w:rsid w:val="00C076DA"/>
    <w:rsid w:val="00C077A2"/>
    <w:rsid w:val="00C077CF"/>
    <w:rsid w:val="00C07811"/>
    <w:rsid w:val="00C078AA"/>
    <w:rsid w:val="00C07A22"/>
    <w:rsid w:val="00C07A8B"/>
    <w:rsid w:val="00C07AF1"/>
    <w:rsid w:val="00C07B73"/>
    <w:rsid w:val="00C07B8B"/>
    <w:rsid w:val="00C07C10"/>
    <w:rsid w:val="00C07C4F"/>
    <w:rsid w:val="00C07DB5"/>
    <w:rsid w:val="00C07EE6"/>
    <w:rsid w:val="00C07FC2"/>
    <w:rsid w:val="00C10136"/>
    <w:rsid w:val="00C101FF"/>
    <w:rsid w:val="00C102E9"/>
    <w:rsid w:val="00C1038C"/>
    <w:rsid w:val="00C10438"/>
    <w:rsid w:val="00C10553"/>
    <w:rsid w:val="00C1059E"/>
    <w:rsid w:val="00C10600"/>
    <w:rsid w:val="00C10932"/>
    <w:rsid w:val="00C10943"/>
    <w:rsid w:val="00C10AF1"/>
    <w:rsid w:val="00C10B03"/>
    <w:rsid w:val="00C10CB8"/>
    <w:rsid w:val="00C110CC"/>
    <w:rsid w:val="00C11189"/>
    <w:rsid w:val="00C112D6"/>
    <w:rsid w:val="00C113BE"/>
    <w:rsid w:val="00C1141A"/>
    <w:rsid w:val="00C11562"/>
    <w:rsid w:val="00C1156C"/>
    <w:rsid w:val="00C11624"/>
    <w:rsid w:val="00C116F8"/>
    <w:rsid w:val="00C11701"/>
    <w:rsid w:val="00C11790"/>
    <w:rsid w:val="00C118BA"/>
    <w:rsid w:val="00C1193B"/>
    <w:rsid w:val="00C11B54"/>
    <w:rsid w:val="00C11BD9"/>
    <w:rsid w:val="00C11C05"/>
    <w:rsid w:val="00C1200C"/>
    <w:rsid w:val="00C121AF"/>
    <w:rsid w:val="00C121B3"/>
    <w:rsid w:val="00C12473"/>
    <w:rsid w:val="00C124C4"/>
    <w:rsid w:val="00C1257A"/>
    <w:rsid w:val="00C12581"/>
    <w:rsid w:val="00C12651"/>
    <w:rsid w:val="00C1266B"/>
    <w:rsid w:val="00C1266F"/>
    <w:rsid w:val="00C127B3"/>
    <w:rsid w:val="00C128E2"/>
    <w:rsid w:val="00C12916"/>
    <w:rsid w:val="00C12C29"/>
    <w:rsid w:val="00C13082"/>
    <w:rsid w:val="00C13136"/>
    <w:rsid w:val="00C132EF"/>
    <w:rsid w:val="00C13310"/>
    <w:rsid w:val="00C1347B"/>
    <w:rsid w:val="00C134CB"/>
    <w:rsid w:val="00C13536"/>
    <w:rsid w:val="00C135AA"/>
    <w:rsid w:val="00C136AC"/>
    <w:rsid w:val="00C136E1"/>
    <w:rsid w:val="00C13A38"/>
    <w:rsid w:val="00C13B33"/>
    <w:rsid w:val="00C13B63"/>
    <w:rsid w:val="00C13CD9"/>
    <w:rsid w:val="00C140EB"/>
    <w:rsid w:val="00C141A8"/>
    <w:rsid w:val="00C141BC"/>
    <w:rsid w:val="00C1424D"/>
    <w:rsid w:val="00C14474"/>
    <w:rsid w:val="00C14631"/>
    <w:rsid w:val="00C147DC"/>
    <w:rsid w:val="00C1496D"/>
    <w:rsid w:val="00C149E2"/>
    <w:rsid w:val="00C149F2"/>
    <w:rsid w:val="00C14B3E"/>
    <w:rsid w:val="00C14CFB"/>
    <w:rsid w:val="00C14DAC"/>
    <w:rsid w:val="00C14E8E"/>
    <w:rsid w:val="00C14EC2"/>
    <w:rsid w:val="00C14EE3"/>
    <w:rsid w:val="00C14F2E"/>
    <w:rsid w:val="00C14F7F"/>
    <w:rsid w:val="00C14FA3"/>
    <w:rsid w:val="00C150D5"/>
    <w:rsid w:val="00C1517D"/>
    <w:rsid w:val="00C153E6"/>
    <w:rsid w:val="00C156A6"/>
    <w:rsid w:val="00C156B9"/>
    <w:rsid w:val="00C156E9"/>
    <w:rsid w:val="00C1573F"/>
    <w:rsid w:val="00C15860"/>
    <w:rsid w:val="00C159DC"/>
    <w:rsid w:val="00C15A59"/>
    <w:rsid w:val="00C15C70"/>
    <w:rsid w:val="00C15D19"/>
    <w:rsid w:val="00C15E46"/>
    <w:rsid w:val="00C15EDD"/>
    <w:rsid w:val="00C15FCA"/>
    <w:rsid w:val="00C15FD3"/>
    <w:rsid w:val="00C160B4"/>
    <w:rsid w:val="00C16130"/>
    <w:rsid w:val="00C1616B"/>
    <w:rsid w:val="00C16381"/>
    <w:rsid w:val="00C163D6"/>
    <w:rsid w:val="00C16462"/>
    <w:rsid w:val="00C164CC"/>
    <w:rsid w:val="00C16584"/>
    <w:rsid w:val="00C16AE3"/>
    <w:rsid w:val="00C16B7B"/>
    <w:rsid w:val="00C16E96"/>
    <w:rsid w:val="00C16F4C"/>
    <w:rsid w:val="00C16F92"/>
    <w:rsid w:val="00C17166"/>
    <w:rsid w:val="00C17234"/>
    <w:rsid w:val="00C17244"/>
    <w:rsid w:val="00C172EC"/>
    <w:rsid w:val="00C173E0"/>
    <w:rsid w:val="00C1787F"/>
    <w:rsid w:val="00C17883"/>
    <w:rsid w:val="00C17937"/>
    <w:rsid w:val="00C1795E"/>
    <w:rsid w:val="00C1799E"/>
    <w:rsid w:val="00C179A0"/>
    <w:rsid w:val="00C17A65"/>
    <w:rsid w:val="00C17A7E"/>
    <w:rsid w:val="00C17BBA"/>
    <w:rsid w:val="00C17C29"/>
    <w:rsid w:val="00C17E32"/>
    <w:rsid w:val="00C17E3F"/>
    <w:rsid w:val="00C17ECF"/>
    <w:rsid w:val="00C17F46"/>
    <w:rsid w:val="00C20078"/>
    <w:rsid w:val="00C200FC"/>
    <w:rsid w:val="00C201F5"/>
    <w:rsid w:val="00C202CE"/>
    <w:rsid w:val="00C202D5"/>
    <w:rsid w:val="00C202E1"/>
    <w:rsid w:val="00C202EB"/>
    <w:rsid w:val="00C20554"/>
    <w:rsid w:val="00C2082C"/>
    <w:rsid w:val="00C2090C"/>
    <w:rsid w:val="00C2099F"/>
    <w:rsid w:val="00C20C1C"/>
    <w:rsid w:val="00C20CE4"/>
    <w:rsid w:val="00C20CFF"/>
    <w:rsid w:val="00C20D83"/>
    <w:rsid w:val="00C20F36"/>
    <w:rsid w:val="00C21026"/>
    <w:rsid w:val="00C21036"/>
    <w:rsid w:val="00C21269"/>
    <w:rsid w:val="00C214C6"/>
    <w:rsid w:val="00C21528"/>
    <w:rsid w:val="00C21712"/>
    <w:rsid w:val="00C2178B"/>
    <w:rsid w:val="00C219CE"/>
    <w:rsid w:val="00C21AC2"/>
    <w:rsid w:val="00C21B73"/>
    <w:rsid w:val="00C21BCF"/>
    <w:rsid w:val="00C21DD8"/>
    <w:rsid w:val="00C21EC5"/>
    <w:rsid w:val="00C21F70"/>
    <w:rsid w:val="00C21F90"/>
    <w:rsid w:val="00C220CF"/>
    <w:rsid w:val="00C221B5"/>
    <w:rsid w:val="00C221F5"/>
    <w:rsid w:val="00C22250"/>
    <w:rsid w:val="00C22544"/>
    <w:rsid w:val="00C2259C"/>
    <w:rsid w:val="00C22622"/>
    <w:rsid w:val="00C227B0"/>
    <w:rsid w:val="00C22897"/>
    <w:rsid w:val="00C22910"/>
    <w:rsid w:val="00C229C3"/>
    <w:rsid w:val="00C22AFF"/>
    <w:rsid w:val="00C22B26"/>
    <w:rsid w:val="00C22B60"/>
    <w:rsid w:val="00C22C80"/>
    <w:rsid w:val="00C22DD0"/>
    <w:rsid w:val="00C22DD8"/>
    <w:rsid w:val="00C22F44"/>
    <w:rsid w:val="00C23051"/>
    <w:rsid w:val="00C23126"/>
    <w:rsid w:val="00C23361"/>
    <w:rsid w:val="00C236CB"/>
    <w:rsid w:val="00C23969"/>
    <w:rsid w:val="00C23C0D"/>
    <w:rsid w:val="00C23C42"/>
    <w:rsid w:val="00C23CC5"/>
    <w:rsid w:val="00C23D53"/>
    <w:rsid w:val="00C23F05"/>
    <w:rsid w:val="00C23FBE"/>
    <w:rsid w:val="00C23FC5"/>
    <w:rsid w:val="00C23FD4"/>
    <w:rsid w:val="00C241D3"/>
    <w:rsid w:val="00C24238"/>
    <w:rsid w:val="00C242F6"/>
    <w:rsid w:val="00C244D6"/>
    <w:rsid w:val="00C24528"/>
    <w:rsid w:val="00C245D1"/>
    <w:rsid w:val="00C24619"/>
    <w:rsid w:val="00C2464F"/>
    <w:rsid w:val="00C24725"/>
    <w:rsid w:val="00C248CD"/>
    <w:rsid w:val="00C24900"/>
    <w:rsid w:val="00C24940"/>
    <w:rsid w:val="00C249D7"/>
    <w:rsid w:val="00C249E7"/>
    <w:rsid w:val="00C24A6B"/>
    <w:rsid w:val="00C24BED"/>
    <w:rsid w:val="00C24C66"/>
    <w:rsid w:val="00C24CEA"/>
    <w:rsid w:val="00C24D43"/>
    <w:rsid w:val="00C24EB7"/>
    <w:rsid w:val="00C250A5"/>
    <w:rsid w:val="00C2526B"/>
    <w:rsid w:val="00C25469"/>
    <w:rsid w:val="00C254A7"/>
    <w:rsid w:val="00C2551A"/>
    <w:rsid w:val="00C25546"/>
    <w:rsid w:val="00C2569A"/>
    <w:rsid w:val="00C25723"/>
    <w:rsid w:val="00C25745"/>
    <w:rsid w:val="00C2576F"/>
    <w:rsid w:val="00C2588A"/>
    <w:rsid w:val="00C2594F"/>
    <w:rsid w:val="00C25A05"/>
    <w:rsid w:val="00C25A3B"/>
    <w:rsid w:val="00C25B96"/>
    <w:rsid w:val="00C25B98"/>
    <w:rsid w:val="00C25BD5"/>
    <w:rsid w:val="00C25C83"/>
    <w:rsid w:val="00C25D06"/>
    <w:rsid w:val="00C25D4A"/>
    <w:rsid w:val="00C25DAE"/>
    <w:rsid w:val="00C25DF4"/>
    <w:rsid w:val="00C25DF9"/>
    <w:rsid w:val="00C25F1A"/>
    <w:rsid w:val="00C260C6"/>
    <w:rsid w:val="00C26285"/>
    <w:rsid w:val="00C26412"/>
    <w:rsid w:val="00C2665E"/>
    <w:rsid w:val="00C266B3"/>
    <w:rsid w:val="00C26730"/>
    <w:rsid w:val="00C268F3"/>
    <w:rsid w:val="00C26BCC"/>
    <w:rsid w:val="00C26BDD"/>
    <w:rsid w:val="00C26C63"/>
    <w:rsid w:val="00C26DDB"/>
    <w:rsid w:val="00C26E6D"/>
    <w:rsid w:val="00C26F74"/>
    <w:rsid w:val="00C2743B"/>
    <w:rsid w:val="00C275BE"/>
    <w:rsid w:val="00C27713"/>
    <w:rsid w:val="00C2775E"/>
    <w:rsid w:val="00C27841"/>
    <w:rsid w:val="00C27960"/>
    <w:rsid w:val="00C27989"/>
    <w:rsid w:val="00C27996"/>
    <w:rsid w:val="00C27CC1"/>
    <w:rsid w:val="00C27DBF"/>
    <w:rsid w:val="00C27DF1"/>
    <w:rsid w:val="00C27FA2"/>
    <w:rsid w:val="00C30022"/>
    <w:rsid w:val="00C300E1"/>
    <w:rsid w:val="00C30168"/>
    <w:rsid w:val="00C301CF"/>
    <w:rsid w:val="00C301F7"/>
    <w:rsid w:val="00C30202"/>
    <w:rsid w:val="00C303A8"/>
    <w:rsid w:val="00C30415"/>
    <w:rsid w:val="00C304A3"/>
    <w:rsid w:val="00C3050D"/>
    <w:rsid w:val="00C3059A"/>
    <w:rsid w:val="00C305EB"/>
    <w:rsid w:val="00C30893"/>
    <w:rsid w:val="00C30A02"/>
    <w:rsid w:val="00C30D35"/>
    <w:rsid w:val="00C30E0E"/>
    <w:rsid w:val="00C30F21"/>
    <w:rsid w:val="00C31050"/>
    <w:rsid w:val="00C31211"/>
    <w:rsid w:val="00C31639"/>
    <w:rsid w:val="00C317F2"/>
    <w:rsid w:val="00C31950"/>
    <w:rsid w:val="00C31AD9"/>
    <w:rsid w:val="00C31C51"/>
    <w:rsid w:val="00C31CAE"/>
    <w:rsid w:val="00C31F17"/>
    <w:rsid w:val="00C321E8"/>
    <w:rsid w:val="00C321F1"/>
    <w:rsid w:val="00C325FD"/>
    <w:rsid w:val="00C32747"/>
    <w:rsid w:val="00C32752"/>
    <w:rsid w:val="00C327D8"/>
    <w:rsid w:val="00C32AF7"/>
    <w:rsid w:val="00C32B05"/>
    <w:rsid w:val="00C32B14"/>
    <w:rsid w:val="00C32BBE"/>
    <w:rsid w:val="00C32CBB"/>
    <w:rsid w:val="00C32EA3"/>
    <w:rsid w:val="00C33078"/>
    <w:rsid w:val="00C3311E"/>
    <w:rsid w:val="00C3318D"/>
    <w:rsid w:val="00C331B6"/>
    <w:rsid w:val="00C3346C"/>
    <w:rsid w:val="00C33498"/>
    <w:rsid w:val="00C334C4"/>
    <w:rsid w:val="00C335BC"/>
    <w:rsid w:val="00C3361E"/>
    <w:rsid w:val="00C336BF"/>
    <w:rsid w:val="00C3380F"/>
    <w:rsid w:val="00C3391B"/>
    <w:rsid w:val="00C3392D"/>
    <w:rsid w:val="00C33A0F"/>
    <w:rsid w:val="00C33A63"/>
    <w:rsid w:val="00C33AE0"/>
    <w:rsid w:val="00C34044"/>
    <w:rsid w:val="00C340D4"/>
    <w:rsid w:val="00C34286"/>
    <w:rsid w:val="00C342BD"/>
    <w:rsid w:val="00C343F0"/>
    <w:rsid w:val="00C3440B"/>
    <w:rsid w:val="00C34479"/>
    <w:rsid w:val="00C3451B"/>
    <w:rsid w:val="00C34567"/>
    <w:rsid w:val="00C34691"/>
    <w:rsid w:val="00C3470C"/>
    <w:rsid w:val="00C3474C"/>
    <w:rsid w:val="00C34777"/>
    <w:rsid w:val="00C34809"/>
    <w:rsid w:val="00C34861"/>
    <w:rsid w:val="00C3490E"/>
    <w:rsid w:val="00C34A0A"/>
    <w:rsid w:val="00C34A38"/>
    <w:rsid w:val="00C34A74"/>
    <w:rsid w:val="00C34ACB"/>
    <w:rsid w:val="00C34B67"/>
    <w:rsid w:val="00C34BA1"/>
    <w:rsid w:val="00C34C1C"/>
    <w:rsid w:val="00C34C94"/>
    <w:rsid w:val="00C34EDF"/>
    <w:rsid w:val="00C34F37"/>
    <w:rsid w:val="00C34F89"/>
    <w:rsid w:val="00C34F99"/>
    <w:rsid w:val="00C351A4"/>
    <w:rsid w:val="00C3523A"/>
    <w:rsid w:val="00C352C9"/>
    <w:rsid w:val="00C3544C"/>
    <w:rsid w:val="00C354E5"/>
    <w:rsid w:val="00C35776"/>
    <w:rsid w:val="00C3580A"/>
    <w:rsid w:val="00C35883"/>
    <w:rsid w:val="00C35924"/>
    <w:rsid w:val="00C35CEB"/>
    <w:rsid w:val="00C35DAA"/>
    <w:rsid w:val="00C35DB2"/>
    <w:rsid w:val="00C35E2B"/>
    <w:rsid w:val="00C35E4C"/>
    <w:rsid w:val="00C35F10"/>
    <w:rsid w:val="00C3613F"/>
    <w:rsid w:val="00C361D3"/>
    <w:rsid w:val="00C361E2"/>
    <w:rsid w:val="00C364F3"/>
    <w:rsid w:val="00C3652A"/>
    <w:rsid w:val="00C365D1"/>
    <w:rsid w:val="00C3663D"/>
    <w:rsid w:val="00C366C3"/>
    <w:rsid w:val="00C36744"/>
    <w:rsid w:val="00C367E8"/>
    <w:rsid w:val="00C36802"/>
    <w:rsid w:val="00C36867"/>
    <w:rsid w:val="00C36908"/>
    <w:rsid w:val="00C3691E"/>
    <w:rsid w:val="00C36A46"/>
    <w:rsid w:val="00C36A87"/>
    <w:rsid w:val="00C36A8B"/>
    <w:rsid w:val="00C36D20"/>
    <w:rsid w:val="00C36D8E"/>
    <w:rsid w:val="00C36FBD"/>
    <w:rsid w:val="00C370C0"/>
    <w:rsid w:val="00C370E5"/>
    <w:rsid w:val="00C3725F"/>
    <w:rsid w:val="00C372B2"/>
    <w:rsid w:val="00C37406"/>
    <w:rsid w:val="00C375D8"/>
    <w:rsid w:val="00C37635"/>
    <w:rsid w:val="00C37674"/>
    <w:rsid w:val="00C37A18"/>
    <w:rsid w:val="00C37AA3"/>
    <w:rsid w:val="00C37B43"/>
    <w:rsid w:val="00C37CF8"/>
    <w:rsid w:val="00C37D40"/>
    <w:rsid w:val="00C37DF6"/>
    <w:rsid w:val="00C37F18"/>
    <w:rsid w:val="00C400AA"/>
    <w:rsid w:val="00C403B7"/>
    <w:rsid w:val="00C4061B"/>
    <w:rsid w:val="00C406DB"/>
    <w:rsid w:val="00C40733"/>
    <w:rsid w:val="00C4075F"/>
    <w:rsid w:val="00C407BF"/>
    <w:rsid w:val="00C407ED"/>
    <w:rsid w:val="00C409C5"/>
    <w:rsid w:val="00C409CE"/>
    <w:rsid w:val="00C40A05"/>
    <w:rsid w:val="00C40A41"/>
    <w:rsid w:val="00C40C5E"/>
    <w:rsid w:val="00C40C63"/>
    <w:rsid w:val="00C40EAC"/>
    <w:rsid w:val="00C40F4C"/>
    <w:rsid w:val="00C41083"/>
    <w:rsid w:val="00C410C1"/>
    <w:rsid w:val="00C4117E"/>
    <w:rsid w:val="00C412B5"/>
    <w:rsid w:val="00C415A1"/>
    <w:rsid w:val="00C4161A"/>
    <w:rsid w:val="00C418F0"/>
    <w:rsid w:val="00C4192C"/>
    <w:rsid w:val="00C419B2"/>
    <w:rsid w:val="00C41AAE"/>
    <w:rsid w:val="00C41B6F"/>
    <w:rsid w:val="00C41DEE"/>
    <w:rsid w:val="00C41E05"/>
    <w:rsid w:val="00C41EA3"/>
    <w:rsid w:val="00C41F2E"/>
    <w:rsid w:val="00C41F6A"/>
    <w:rsid w:val="00C42194"/>
    <w:rsid w:val="00C42225"/>
    <w:rsid w:val="00C42274"/>
    <w:rsid w:val="00C422E8"/>
    <w:rsid w:val="00C427DB"/>
    <w:rsid w:val="00C427DE"/>
    <w:rsid w:val="00C427DF"/>
    <w:rsid w:val="00C428EE"/>
    <w:rsid w:val="00C42A4F"/>
    <w:rsid w:val="00C42AF9"/>
    <w:rsid w:val="00C42D44"/>
    <w:rsid w:val="00C42D88"/>
    <w:rsid w:val="00C42F14"/>
    <w:rsid w:val="00C42F24"/>
    <w:rsid w:val="00C42F37"/>
    <w:rsid w:val="00C42F84"/>
    <w:rsid w:val="00C4304B"/>
    <w:rsid w:val="00C430A8"/>
    <w:rsid w:val="00C431D6"/>
    <w:rsid w:val="00C4328C"/>
    <w:rsid w:val="00C43383"/>
    <w:rsid w:val="00C43392"/>
    <w:rsid w:val="00C43463"/>
    <w:rsid w:val="00C43515"/>
    <w:rsid w:val="00C43A0E"/>
    <w:rsid w:val="00C43F18"/>
    <w:rsid w:val="00C43F94"/>
    <w:rsid w:val="00C4415B"/>
    <w:rsid w:val="00C4424D"/>
    <w:rsid w:val="00C442CF"/>
    <w:rsid w:val="00C442E7"/>
    <w:rsid w:val="00C4448A"/>
    <w:rsid w:val="00C4453B"/>
    <w:rsid w:val="00C445A2"/>
    <w:rsid w:val="00C44696"/>
    <w:rsid w:val="00C447CC"/>
    <w:rsid w:val="00C4481E"/>
    <w:rsid w:val="00C44A7C"/>
    <w:rsid w:val="00C44B02"/>
    <w:rsid w:val="00C44B60"/>
    <w:rsid w:val="00C44BB9"/>
    <w:rsid w:val="00C44C79"/>
    <w:rsid w:val="00C44CA5"/>
    <w:rsid w:val="00C44CA7"/>
    <w:rsid w:val="00C44E8C"/>
    <w:rsid w:val="00C44EAC"/>
    <w:rsid w:val="00C45061"/>
    <w:rsid w:val="00C450A9"/>
    <w:rsid w:val="00C45165"/>
    <w:rsid w:val="00C452B1"/>
    <w:rsid w:val="00C45445"/>
    <w:rsid w:val="00C4546C"/>
    <w:rsid w:val="00C45510"/>
    <w:rsid w:val="00C45776"/>
    <w:rsid w:val="00C45802"/>
    <w:rsid w:val="00C4590F"/>
    <w:rsid w:val="00C45A65"/>
    <w:rsid w:val="00C45CE1"/>
    <w:rsid w:val="00C45D57"/>
    <w:rsid w:val="00C45F06"/>
    <w:rsid w:val="00C45FC7"/>
    <w:rsid w:val="00C4606E"/>
    <w:rsid w:val="00C460C1"/>
    <w:rsid w:val="00C461C8"/>
    <w:rsid w:val="00C462EF"/>
    <w:rsid w:val="00C463DB"/>
    <w:rsid w:val="00C4649E"/>
    <w:rsid w:val="00C466D9"/>
    <w:rsid w:val="00C46D44"/>
    <w:rsid w:val="00C46D4B"/>
    <w:rsid w:val="00C46D90"/>
    <w:rsid w:val="00C46E5A"/>
    <w:rsid w:val="00C46FEB"/>
    <w:rsid w:val="00C47267"/>
    <w:rsid w:val="00C47286"/>
    <w:rsid w:val="00C4728A"/>
    <w:rsid w:val="00C473BC"/>
    <w:rsid w:val="00C47488"/>
    <w:rsid w:val="00C475B7"/>
    <w:rsid w:val="00C4770C"/>
    <w:rsid w:val="00C47802"/>
    <w:rsid w:val="00C47953"/>
    <w:rsid w:val="00C479CF"/>
    <w:rsid w:val="00C47A8B"/>
    <w:rsid w:val="00C47B1A"/>
    <w:rsid w:val="00C47C9D"/>
    <w:rsid w:val="00C47D67"/>
    <w:rsid w:val="00C47D8D"/>
    <w:rsid w:val="00C50192"/>
    <w:rsid w:val="00C501DF"/>
    <w:rsid w:val="00C5035A"/>
    <w:rsid w:val="00C50425"/>
    <w:rsid w:val="00C50576"/>
    <w:rsid w:val="00C506AD"/>
    <w:rsid w:val="00C506ED"/>
    <w:rsid w:val="00C50794"/>
    <w:rsid w:val="00C50843"/>
    <w:rsid w:val="00C50AE7"/>
    <w:rsid w:val="00C50AF0"/>
    <w:rsid w:val="00C50CB5"/>
    <w:rsid w:val="00C50D5B"/>
    <w:rsid w:val="00C50D5E"/>
    <w:rsid w:val="00C50E97"/>
    <w:rsid w:val="00C50FE0"/>
    <w:rsid w:val="00C51114"/>
    <w:rsid w:val="00C51158"/>
    <w:rsid w:val="00C513BF"/>
    <w:rsid w:val="00C514C0"/>
    <w:rsid w:val="00C5151E"/>
    <w:rsid w:val="00C51598"/>
    <w:rsid w:val="00C516DF"/>
    <w:rsid w:val="00C51808"/>
    <w:rsid w:val="00C51A40"/>
    <w:rsid w:val="00C51C9A"/>
    <w:rsid w:val="00C51D0C"/>
    <w:rsid w:val="00C51D0F"/>
    <w:rsid w:val="00C51F42"/>
    <w:rsid w:val="00C51F95"/>
    <w:rsid w:val="00C51FBB"/>
    <w:rsid w:val="00C5214D"/>
    <w:rsid w:val="00C52211"/>
    <w:rsid w:val="00C52212"/>
    <w:rsid w:val="00C522BA"/>
    <w:rsid w:val="00C5233C"/>
    <w:rsid w:val="00C5239D"/>
    <w:rsid w:val="00C523B6"/>
    <w:rsid w:val="00C5247F"/>
    <w:rsid w:val="00C52570"/>
    <w:rsid w:val="00C52582"/>
    <w:rsid w:val="00C525DF"/>
    <w:rsid w:val="00C52678"/>
    <w:rsid w:val="00C526B8"/>
    <w:rsid w:val="00C526E5"/>
    <w:rsid w:val="00C5272D"/>
    <w:rsid w:val="00C52855"/>
    <w:rsid w:val="00C528D3"/>
    <w:rsid w:val="00C528F3"/>
    <w:rsid w:val="00C52A82"/>
    <w:rsid w:val="00C52B7B"/>
    <w:rsid w:val="00C52BCC"/>
    <w:rsid w:val="00C52CD0"/>
    <w:rsid w:val="00C52D70"/>
    <w:rsid w:val="00C52FD1"/>
    <w:rsid w:val="00C5318D"/>
    <w:rsid w:val="00C53197"/>
    <w:rsid w:val="00C5325E"/>
    <w:rsid w:val="00C5344E"/>
    <w:rsid w:val="00C534DB"/>
    <w:rsid w:val="00C535DA"/>
    <w:rsid w:val="00C537A1"/>
    <w:rsid w:val="00C53878"/>
    <w:rsid w:val="00C538D2"/>
    <w:rsid w:val="00C53AAF"/>
    <w:rsid w:val="00C53C55"/>
    <w:rsid w:val="00C53CF3"/>
    <w:rsid w:val="00C53E2F"/>
    <w:rsid w:val="00C53F8F"/>
    <w:rsid w:val="00C54024"/>
    <w:rsid w:val="00C54082"/>
    <w:rsid w:val="00C54197"/>
    <w:rsid w:val="00C541CF"/>
    <w:rsid w:val="00C542F5"/>
    <w:rsid w:val="00C54605"/>
    <w:rsid w:val="00C546BC"/>
    <w:rsid w:val="00C548FF"/>
    <w:rsid w:val="00C549CC"/>
    <w:rsid w:val="00C54C63"/>
    <w:rsid w:val="00C54CC9"/>
    <w:rsid w:val="00C54D7F"/>
    <w:rsid w:val="00C54E49"/>
    <w:rsid w:val="00C54F1C"/>
    <w:rsid w:val="00C54F62"/>
    <w:rsid w:val="00C54FB0"/>
    <w:rsid w:val="00C551EA"/>
    <w:rsid w:val="00C55314"/>
    <w:rsid w:val="00C55315"/>
    <w:rsid w:val="00C555B1"/>
    <w:rsid w:val="00C555F1"/>
    <w:rsid w:val="00C55620"/>
    <w:rsid w:val="00C55657"/>
    <w:rsid w:val="00C55712"/>
    <w:rsid w:val="00C55755"/>
    <w:rsid w:val="00C55948"/>
    <w:rsid w:val="00C5599D"/>
    <w:rsid w:val="00C55A12"/>
    <w:rsid w:val="00C55B11"/>
    <w:rsid w:val="00C55B81"/>
    <w:rsid w:val="00C55BB8"/>
    <w:rsid w:val="00C55BFE"/>
    <w:rsid w:val="00C55C53"/>
    <w:rsid w:val="00C55CB5"/>
    <w:rsid w:val="00C55D2E"/>
    <w:rsid w:val="00C55DCC"/>
    <w:rsid w:val="00C55EF1"/>
    <w:rsid w:val="00C55EF5"/>
    <w:rsid w:val="00C565CA"/>
    <w:rsid w:val="00C5661D"/>
    <w:rsid w:val="00C56706"/>
    <w:rsid w:val="00C568E3"/>
    <w:rsid w:val="00C56A4C"/>
    <w:rsid w:val="00C56A56"/>
    <w:rsid w:val="00C56A5F"/>
    <w:rsid w:val="00C56D12"/>
    <w:rsid w:val="00C56F7B"/>
    <w:rsid w:val="00C5702B"/>
    <w:rsid w:val="00C57035"/>
    <w:rsid w:val="00C57145"/>
    <w:rsid w:val="00C571EF"/>
    <w:rsid w:val="00C57322"/>
    <w:rsid w:val="00C57412"/>
    <w:rsid w:val="00C574DB"/>
    <w:rsid w:val="00C576D8"/>
    <w:rsid w:val="00C579E9"/>
    <w:rsid w:val="00C57A2C"/>
    <w:rsid w:val="00C57A36"/>
    <w:rsid w:val="00C57B0D"/>
    <w:rsid w:val="00C57B76"/>
    <w:rsid w:val="00C57BA4"/>
    <w:rsid w:val="00C57C59"/>
    <w:rsid w:val="00C600C7"/>
    <w:rsid w:val="00C601F8"/>
    <w:rsid w:val="00C603F4"/>
    <w:rsid w:val="00C60424"/>
    <w:rsid w:val="00C6046B"/>
    <w:rsid w:val="00C6051A"/>
    <w:rsid w:val="00C60689"/>
    <w:rsid w:val="00C6076C"/>
    <w:rsid w:val="00C60BFE"/>
    <w:rsid w:val="00C60C2A"/>
    <w:rsid w:val="00C60C6B"/>
    <w:rsid w:val="00C60C8F"/>
    <w:rsid w:val="00C60CAF"/>
    <w:rsid w:val="00C60EDB"/>
    <w:rsid w:val="00C60F75"/>
    <w:rsid w:val="00C6117D"/>
    <w:rsid w:val="00C611EA"/>
    <w:rsid w:val="00C61354"/>
    <w:rsid w:val="00C6136F"/>
    <w:rsid w:val="00C613C0"/>
    <w:rsid w:val="00C61407"/>
    <w:rsid w:val="00C6154F"/>
    <w:rsid w:val="00C61680"/>
    <w:rsid w:val="00C6175B"/>
    <w:rsid w:val="00C61778"/>
    <w:rsid w:val="00C61798"/>
    <w:rsid w:val="00C619AA"/>
    <w:rsid w:val="00C61A39"/>
    <w:rsid w:val="00C61B1E"/>
    <w:rsid w:val="00C61BA6"/>
    <w:rsid w:val="00C61CA1"/>
    <w:rsid w:val="00C61CEF"/>
    <w:rsid w:val="00C61F19"/>
    <w:rsid w:val="00C620A5"/>
    <w:rsid w:val="00C6211E"/>
    <w:rsid w:val="00C62142"/>
    <w:rsid w:val="00C62250"/>
    <w:rsid w:val="00C623B3"/>
    <w:rsid w:val="00C62432"/>
    <w:rsid w:val="00C626C6"/>
    <w:rsid w:val="00C626E3"/>
    <w:rsid w:val="00C627EA"/>
    <w:rsid w:val="00C627F6"/>
    <w:rsid w:val="00C62957"/>
    <w:rsid w:val="00C629B0"/>
    <w:rsid w:val="00C62A72"/>
    <w:rsid w:val="00C62AC9"/>
    <w:rsid w:val="00C62BC6"/>
    <w:rsid w:val="00C62CDE"/>
    <w:rsid w:val="00C62E4E"/>
    <w:rsid w:val="00C63011"/>
    <w:rsid w:val="00C6301E"/>
    <w:rsid w:val="00C6336C"/>
    <w:rsid w:val="00C633B4"/>
    <w:rsid w:val="00C633E6"/>
    <w:rsid w:val="00C6341D"/>
    <w:rsid w:val="00C6345D"/>
    <w:rsid w:val="00C63608"/>
    <w:rsid w:val="00C6393B"/>
    <w:rsid w:val="00C63A00"/>
    <w:rsid w:val="00C63ADE"/>
    <w:rsid w:val="00C63E42"/>
    <w:rsid w:val="00C63E5F"/>
    <w:rsid w:val="00C63ECF"/>
    <w:rsid w:val="00C63F3C"/>
    <w:rsid w:val="00C6402F"/>
    <w:rsid w:val="00C6404E"/>
    <w:rsid w:val="00C64103"/>
    <w:rsid w:val="00C64167"/>
    <w:rsid w:val="00C643C8"/>
    <w:rsid w:val="00C643F5"/>
    <w:rsid w:val="00C64572"/>
    <w:rsid w:val="00C6465A"/>
    <w:rsid w:val="00C646C2"/>
    <w:rsid w:val="00C6470F"/>
    <w:rsid w:val="00C647EB"/>
    <w:rsid w:val="00C64911"/>
    <w:rsid w:val="00C649C4"/>
    <w:rsid w:val="00C649E5"/>
    <w:rsid w:val="00C64A8B"/>
    <w:rsid w:val="00C64ABC"/>
    <w:rsid w:val="00C64B43"/>
    <w:rsid w:val="00C64F7D"/>
    <w:rsid w:val="00C65207"/>
    <w:rsid w:val="00C6531B"/>
    <w:rsid w:val="00C65383"/>
    <w:rsid w:val="00C65537"/>
    <w:rsid w:val="00C65567"/>
    <w:rsid w:val="00C6561D"/>
    <w:rsid w:val="00C656C8"/>
    <w:rsid w:val="00C657F0"/>
    <w:rsid w:val="00C65999"/>
    <w:rsid w:val="00C659E3"/>
    <w:rsid w:val="00C65A2C"/>
    <w:rsid w:val="00C65A60"/>
    <w:rsid w:val="00C65B1C"/>
    <w:rsid w:val="00C65B3A"/>
    <w:rsid w:val="00C65D11"/>
    <w:rsid w:val="00C65D93"/>
    <w:rsid w:val="00C660A2"/>
    <w:rsid w:val="00C660F3"/>
    <w:rsid w:val="00C66194"/>
    <w:rsid w:val="00C66255"/>
    <w:rsid w:val="00C662DC"/>
    <w:rsid w:val="00C663ED"/>
    <w:rsid w:val="00C663FB"/>
    <w:rsid w:val="00C66456"/>
    <w:rsid w:val="00C6658D"/>
    <w:rsid w:val="00C6680E"/>
    <w:rsid w:val="00C66876"/>
    <w:rsid w:val="00C6694D"/>
    <w:rsid w:val="00C669E1"/>
    <w:rsid w:val="00C66A89"/>
    <w:rsid w:val="00C66BDE"/>
    <w:rsid w:val="00C66D25"/>
    <w:rsid w:val="00C66FF5"/>
    <w:rsid w:val="00C6707C"/>
    <w:rsid w:val="00C6711F"/>
    <w:rsid w:val="00C671C1"/>
    <w:rsid w:val="00C672BF"/>
    <w:rsid w:val="00C674FB"/>
    <w:rsid w:val="00C675A8"/>
    <w:rsid w:val="00C67668"/>
    <w:rsid w:val="00C6766C"/>
    <w:rsid w:val="00C676B4"/>
    <w:rsid w:val="00C677C0"/>
    <w:rsid w:val="00C67829"/>
    <w:rsid w:val="00C67945"/>
    <w:rsid w:val="00C67A56"/>
    <w:rsid w:val="00C67A8C"/>
    <w:rsid w:val="00C67D3D"/>
    <w:rsid w:val="00C67DD0"/>
    <w:rsid w:val="00C67DDA"/>
    <w:rsid w:val="00C67F31"/>
    <w:rsid w:val="00C67FB5"/>
    <w:rsid w:val="00C701C9"/>
    <w:rsid w:val="00C7031A"/>
    <w:rsid w:val="00C70E08"/>
    <w:rsid w:val="00C710F2"/>
    <w:rsid w:val="00C7128B"/>
    <w:rsid w:val="00C71330"/>
    <w:rsid w:val="00C714DE"/>
    <w:rsid w:val="00C7154D"/>
    <w:rsid w:val="00C715D8"/>
    <w:rsid w:val="00C71715"/>
    <w:rsid w:val="00C7175E"/>
    <w:rsid w:val="00C71772"/>
    <w:rsid w:val="00C71890"/>
    <w:rsid w:val="00C71AB2"/>
    <w:rsid w:val="00C71B5F"/>
    <w:rsid w:val="00C71CC7"/>
    <w:rsid w:val="00C71DED"/>
    <w:rsid w:val="00C71E2C"/>
    <w:rsid w:val="00C72101"/>
    <w:rsid w:val="00C72225"/>
    <w:rsid w:val="00C7224E"/>
    <w:rsid w:val="00C72784"/>
    <w:rsid w:val="00C7295A"/>
    <w:rsid w:val="00C7297D"/>
    <w:rsid w:val="00C72B84"/>
    <w:rsid w:val="00C72B8F"/>
    <w:rsid w:val="00C72BFE"/>
    <w:rsid w:val="00C72EC4"/>
    <w:rsid w:val="00C72ED0"/>
    <w:rsid w:val="00C72F2A"/>
    <w:rsid w:val="00C730B8"/>
    <w:rsid w:val="00C73303"/>
    <w:rsid w:val="00C7330E"/>
    <w:rsid w:val="00C73441"/>
    <w:rsid w:val="00C7347C"/>
    <w:rsid w:val="00C7350D"/>
    <w:rsid w:val="00C7356A"/>
    <w:rsid w:val="00C73667"/>
    <w:rsid w:val="00C73823"/>
    <w:rsid w:val="00C738E2"/>
    <w:rsid w:val="00C73A01"/>
    <w:rsid w:val="00C73A29"/>
    <w:rsid w:val="00C73B18"/>
    <w:rsid w:val="00C73D91"/>
    <w:rsid w:val="00C73DC0"/>
    <w:rsid w:val="00C73E51"/>
    <w:rsid w:val="00C73EB9"/>
    <w:rsid w:val="00C74109"/>
    <w:rsid w:val="00C741A8"/>
    <w:rsid w:val="00C7420B"/>
    <w:rsid w:val="00C742F9"/>
    <w:rsid w:val="00C7430D"/>
    <w:rsid w:val="00C7431E"/>
    <w:rsid w:val="00C7440A"/>
    <w:rsid w:val="00C74455"/>
    <w:rsid w:val="00C74460"/>
    <w:rsid w:val="00C7449D"/>
    <w:rsid w:val="00C744F2"/>
    <w:rsid w:val="00C7465E"/>
    <w:rsid w:val="00C746C1"/>
    <w:rsid w:val="00C74727"/>
    <w:rsid w:val="00C748B7"/>
    <w:rsid w:val="00C748CF"/>
    <w:rsid w:val="00C74A02"/>
    <w:rsid w:val="00C74B0F"/>
    <w:rsid w:val="00C74BE6"/>
    <w:rsid w:val="00C74DDC"/>
    <w:rsid w:val="00C74DEA"/>
    <w:rsid w:val="00C74EEE"/>
    <w:rsid w:val="00C74FF0"/>
    <w:rsid w:val="00C751FB"/>
    <w:rsid w:val="00C7537A"/>
    <w:rsid w:val="00C754BC"/>
    <w:rsid w:val="00C754D8"/>
    <w:rsid w:val="00C754F6"/>
    <w:rsid w:val="00C756E1"/>
    <w:rsid w:val="00C75852"/>
    <w:rsid w:val="00C7585C"/>
    <w:rsid w:val="00C75AFF"/>
    <w:rsid w:val="00C75D92"/>
    <w:rsid w:val="00C76036"/>
    <w:rsid w:val="00C76173"/>
    <w:rsid w:val="00C76216"/>
    <w:rsid w:val="00C76300"/>
    <w:rsid w:val="00C764F8"/>
    <w:rsid w:val="00C766E8"/>
    <w:rsid w:val="00C767DA"/>
    <w:rsid w:val="00C768CC"/>
    <w:rsid w:val="00C76932"/>
    <w:rsid w:val="00C76A11"/>
    <w:rsid w:val="00C76C50"/>
    <w:rsid w:val="00C76D46"/>
    <w:rsid w:val="00C76D98"/>
    <w:rsid w:val="00C76DBF"/>
    <w:rsid w:val="00C76DF3"/>
    <w:rsid w:val="00C77118"/>
    <w:rsid w:val="00C77152"/>
    <w:rsid w:val="00C77155"/>
    <w:rsid w:val="00C77260"/>
    <w:rsid w:val="00C774F3"/>
    <w:rsid w:val="00C7754A"/>
    <w:rsid w:val="00C775B9"/>
    <w:rsid w:val="00C776E9"/>
    <w:rsid w:val="00C77809"/>
    <w:rsid w:val="00C77814"/>
    <w:rsid w:val="00C77A0A"/>
    <w:rsid w:val="00C77AEA"/>
    <w:rsid w:val="00C77BD1"/>
    <w:rsid w:val="00C77C53"/>
    <w:rsid w:val="00C80119"/>
    <w:rsid w:val="00C803CF"/>
    <w:rsid w:val="00C803EB"/>
    <w:rsid w:val="00C80643"/>
    <w:rsid w:val="00C8082C"/>
    <w:rsid w:val="00C80AC8"/>
    <w:rsid w:val="00C80B27"/>
    <w:rsid w:val="00C80B8E"/>
    <w:rsid w:val="00C80C90"/>
    <w:rsid w:val="00C80EE5"/>
    <w:rsid w:val="00C80F7F"/>
    <w:rsid w:val="00C80FB6"/>
    <w:rsid w:val="00C8102B"/>
    <w:rsid w:val="00C811FB"/>
    <w:rsid w:val="00C81259"/>
    <w:rsid w:val="00C8153D"/>
    <w:rsid w:val="00C81572"/>
    <w:rsid w:val="00C815EA"/>
    <w:rsid w:val="00C816FA"/>
    <w:rsid w:val="00C819E2"/>
    <w:rsid w:val="00C81C5C"/>
    <w:rsid w:val="00C81EDC"/>
    <w:rsid w:val="00C8231E"/>
    <w:rsid w:val="00C82343"/>
    <w:rsid w:val="00C82465"/>
    <w:rsid w:val="00C824E3"/>
    <w:rsid w:val="00C825AC"/>
    <w:rsid w:val="00C82733"/>
    <w:rsid w:val="00C82869"/>
    <w:rsid w:val="00C8287C"/>
    <w:rsid w:val="00C82899"/>
    <w:rsid w:val="00C82A2E"/>
    <w:rsid w:val="00C82AD7"/>
    <w:rsid w:val="00C82CD7"/>
    <w:rsid w:val="00C82D96"/>
    <w:rsid w:val="00C82DEB"/>
    <w:rsid w:val="00C82ECC"/>
    <w:rsid w:val="00C8306C"/>
    <w:rsid w:val="00C8312A"/>
    <w:rsid w:val="00C83182"/>
    <w:rsid w:val="00C8318F"/>
    <w:rsid w:val="00C831A6"/>
    <w:rsid w:val="00C83530"/>
    <w:rsid w:val="00C8371E"/>
    <w:rsid w:val="00C839AD"/>
    <w:rsid w:val="00C839FA"/>
    <w:rsid w:val="00C83B65"/>
    <w:rsid w:val="00C83B79"/>
    <w:rsid w:val="00C83E99"/>
    <w:rsid w:val="00C83F78"/>
    <w:rsid w:val="00C84087"/>
    <w:rsid w:val="00C8416D"/>
    <w:rsid w:val="00C8431B"/>
    <w:rsid w:val="00C84442"/>
    <w:rsid w:val="00C84449"/>
    <w:rsid w:val="00C84641"/>
    <w:rsid w:val="00C84736"/>
    <w:rsid w:val="00C8476D"/>
    <w:rsid w:val="00C84906"/>
    <w:rsid w:val="00C84998"/>
    <w:rsid w:val="00C84A0F"/>
    <w:rsid w:val="00C84B38"/>
    <w:rsid w:val="00C84B87"/>
    <w:rsid w:val="00C84C3C"/>
    <w:rsid w:val="00C84D26"/>
    <w:rsid w:val="00C84DA7"/>
    <w:rsid w:val="00C84E14"/>
    <w:rsid w:val="00C84E26"/>
    <w:rsid w:val="00C84F24"/>
    <w:rsid w:val="00C84F86"/>
    <w:rsid w:val="00C84FD3"/>
    <w:rsid w:val="00C8519E"/>
    <w:rsid w:val="00C853C5"/>
    <w:rsid w:val="00C85491"/>
    <w:rsid w:val="00C854DD"/>
    <w:rsid w:val="00C85676"/>
    <w:rsid w:val="00C8572F"/>
    <w:rsid w:val="00C8580C"/>
    <w:rsid w:val="00C8593D"/>
    <w:rsid w:val="00C85A16"/>
    <w:rsid w:val="00C85C8B"/>
    <w:rsid w:val="00C85DD7"/>
    <w:rsid w:val="00C8605C"/>
    <w:rsid w:val="00C860E4"/>
    <w:rsid w:val="00C861BE"/>
    <w:rsid w:val="00C861E0"/>
    <w:rsid w:val="00C8621D"/>
    <w:rsid w:val="00C86254"/>
    <w:rsid w:val="00C862AB"/>
    <w:rsid w:val="00C8639E"/>
    <w:rsid w:val="00C86410"/>
    <w:rsid w:val="00C8641E"/>
    <w:rsid w:val="00C8645F"/>
    <w:rsid w:val="00C86507"/>
    <w:rsid w:val="00C86647"/>
    <w:rsid w:val="00C8674F"/>
    <w:rsid w:val="00C867CF"/>
    <w:rsid w:val="00C867D6"/>
    <w:rsid w:val="00C8681C"/>
    <w:rsid w:val="00C869AA"/>
    <w:rsid w:val="00C869B4"/>
    <w:rsid w:val="00C86B78"/>
    <w:rsid w:val="00C86C0B"/>
    <w:rsid w:val="00C86DF6"/>
    <w:rsid w:val="00C86EDC"/>
    <w:rsid w:val="00C86F91"/>
    <w:rsid w:val="00C87083"/>
    <w:rsid w:val="00C870FE"/>
    <w:rsid w:val="00C8719F"/>
    <w:rsid w:val="00C87309"/>
    <w:rsid w:val="00C87380"/>
    <w:rsid w:val="00C875F2"/>
    <w:rsid w:val="00C876CA"/>
    <w:rsid w:val="00C876CC"/>
    <w:rsid w:val="00C876E6"/>
    <w:rsid w:val="00C87787"/>
    <w:rsid w:val="00C877A2"/>
    <w:rsid w:val="00C87941"/>
    <w:rsid w:val="00C87A7A"/>
    <w:rsid w:val="00C87FD3"/>
    <w:rsid w:val="00C90133"/>
    <w:rsid w:val="00C9040A"/>
    <w:rsid w:val="00C904D6"/>
    <w:rsid w:val="00C905D7"/>
    <w:rsid w:val="00C9080C"/>
    <w:rsid w:val="00C90B4F"/>
    <w:rsid w:val="00C90C71"/>
    <w:rsid w:val="00C90C99"/>
    <w:rsid w:val="00C90D08"/>
    <w:rsid w:val="00C90D9F"/>
    <w:rsid w:val="00C90DC8"/>
    <w:rsid w:val="00C90F8D"/>
    <w:rsid w:val="00C910B8"/>
    <w:rsid w:val="00C91232"/>
    <w:rsid w:val="00C91263"/>
    <w:rsid w:val="00C912E6"/>
    <w:rsid w:val="00C91355"/>
    <w:rsid w:val="00C913FA"/>
    <w:rsid w:val="00C91468"/>
    <w:rsid w:val="00C91482"/>
    <w:rsid w:val="00C915D7"/>
    <w:rsid w:val="00C9180C"/>
    <w:rsid w:val="00C919D9"/>
    <w:rsid w:val="00C91CB8"/>
    <w:rsid w:val="00C91E2D"/>
    <w:rsid w:val="00C92012"/>
    <w:rsid w:val="00C920E8"/>
    <w:rsid w:val="00C92106"/>
    <w:rsid w:val="00C92132"/>
    <w:rsid w:val="00C92191"/>
    <w:rsid w:val="00C922E2"/>
    <w:rsid w:val="00C92390"/>
    <w:rsid w:val="00C92480"/>
    <w:rsid w:val="00C925F1"/>
    <w:rsid w:val="00C92686"/>
    <w:rsid w:val="00C926CA"/>
    <w:rsid w:val="00C9296B"/>
    <w:rsid w:val="00C92BB9"/>
    <w:rsid w:val="00C92C98"/>
    <w:rsid w:val="00C92CD2"/>
    <w:rsid w:val="00C92E84"/>
    <w:rsid w:val="00C930E5"/>
    <w:rsid w:val="00C931F7"/>
    <w:rsid w:val="00C932EA"/>
    <w:rsid w:val="00C9344C"/>
    <w:rsid w:val="00C93536"/>
    <w:rsid w:val="00C935B6"/>
    <w:rsid w:val="00C936EF"/>
    <w:rsid w:val="00C938D6"/>
    <w:rsid w:val="00C939F6"/>
    <w:rsid w:val="00C93C55"/>
    <w:rsid w:val="00C93C5B"/>
    <w:rsid w:val="00C93D9D"/>
    <w:rsid w:val="00C93E91"/>
    <w:rsid w:val="00C93F20"/>
    <w:rsid w:val="00C940A9"/>
    <w:rsid w:val="00C940BD"/>
    <w:rsid w:val="00C9412A"/>
    <w:rsid w:val="00C945CC"/>
    <w:rsid w:val="00C94661"/>
    <w:rsid w:val="00C94736"/>
    <w:rsid w:val="00C9473B"/>
    <w:rsid w:val="00C947C0"/>
    <w:rsid w:val="00C9482C"/>
    <w:rsid w:val="00C9485F"/>
    <w:rsid w:val="00C949DA"/>
    <w:rsid w:val="00C94A5D"/>
    <w:rsid w:val="00C94C33"/>
    <w:rsid w:val="00C94EF6"/>
    <w:rsid w:val="00C94F7E"/>
    <w:rsid w:val="00C94F90"/>
    <w:rsid w:val="00C95041"/>
    <w:rsid w:val="00C9507D"/>
    <w:rsid w:val="00C952BB"/>
    <w:rsid w:val="00C952E3"/>
    <w:rsid w:val="00C95701"/>
    <w:rsid w:val="00C9590F"/>
    <w:rsid w:val="00C95940"/>
    <w:rsid w:val="00C95B00"/>
    <w:rsid w:val="00C95BEE"/>
    <w:rsid w:val="00C95E6F"/>
    <w:rsid w:val="00C95EEF"/>
    <w:rsid w:val="00C95F59"/>
    <w:rsid w:val="00C95F92"/>
    <w:rsid w:val="00C95FC5"/>
    <w:rsid w:val="00C960AB"/>
    <w:rsid w:val="00C960B6"/>
    <w:rsid w:val="00C960E8"/>
    <w:rsid w:val="00C9619F"/>
    <w:rsid w:val="00C96272"/>
    <w:rsid w:val="00C963B3"/>
    <w:rsid w:val="00C965F3"/>
    <w:rsid w:val="00C965F4"/>
    <w:rsid w:val="00C966A5"/>
    <w:rsid w:val="00C967B9"/>
    <w:rsid w:val="00C968F3"/>
    <w:rsid w:val="00C9691C"/>
    <w:rsid w:val="00C9696C"/>
    <w:rsid w:val="00C96C22"/>
    <w:rsid w:val="00C96EC3"/>
    <w:rsid w:val="00C96FF3"/>
    <w:rsid w:val="00C9710E"/>
    <w:rsid w:val="00C972B6"/>
    <w:rsid w:val="00C9733A"/>
    <w:rsid w:val="00C97391"/>
    <w:rsid w:val="00C973C0"/>
    <w:rsid w:val="00C9753E"/>
    <w:rsid w:val="00C97718"/>
    <w:rsid w:val="00C9785A"/>
    <w:rsid w:val="00C978AD"/>
    <w:rsid w:val="00C979F4"/>
    <w:rsid w:val="00C97A0C"/>
    <w:rsid w:val="00C97A3F"/>
    <w:rsid w:val="00C97AFF"/>
    <w:rsid w:val="00C97B43"/>
    <w:rsid w:val="00CA0076"/>
    <w:rsid w:val="00CA00B6"/>
    <w:rsid w:val="00CA01F5"/>
    <w:rsid w:val="00CA01FC"/>
    <w:rsid w:val="00CA0269"/>
    <w:rsid w:val="00CA0365"/>
    <w:rsid w:val="00CA039F"/>
    <w:rsid w:val="00CA04D4"/>
    <w:rsid w:val="00CA085D"/>
    <w:rsid w:val="00CA09E1"/>
    <w:rsid w:val="00CA0BA0"/>
    <w:rsid w:val="00CA0D1D"/>
    <w:rsid w:val="00CA0EA2"/>
    <w:rsid w:val="00CA10B9"/>
    <w:rsid w:val="00CA113F"/>
    <w:rsid w:val="00CA1347"/>
    <w:rsid w:val="00CA13BF"/>
    <w:rsid w:val="00CA14E4"/>
    <w:rsid w:val="00CA154A"/>
    <w:rsid w:val="00CA15DF"/>
    <w:rsid w:val="00CA162B"/>
    <w:rsid w:val="00CA18B6"/>
    <w:rsid w:val="00CA1998"/>
    <w:rsid w:val="00CA19F1"/>
    <w:rsid w:val="00CA1A2B"/>
    <w:rsid w:val="00CA1A36"/>
    <w:rsid w:val="00CA1C1B"/>
    <w:rsid w:val="00CA1CEB"/>
    <w:rsid w:val="00CA1D9B"/>
    <w:rsid w:val="00CA1DAE"/>
    <w:rsid w:val="00CA1FA8"/>
    <w:rsid w:val="00CA2391"/>
    <w:rsid w:val="00CA26F7"/>
    <w:rsid w:val="00CA27E6"/>
    <w:rsid w:val="00CA2892"/>
    <w:rsid w:val="00CA28C8"/>
    <w:rsid w:val="00CA28E3"/>
    <w:rsid w:val="00CA2CD7"/>
    <w:rsid w:val="00CA2F49"/>
    <w:rsid w:val="00CA3020"/>
    <w:rsid w:val="00CA30A9"/>
    <w:rsid w:val="00CA3185"/>
    <w:rsid w:val="00CA327B"/>
    <w:rsid w:val="00CA32AF"/>
    <w:rsid w:val="00CA3347"/>
    <w:rsid w:val="00CA3406"/>
    <w:rsid w:val="00CA3439"/>
    <w:rsid w:val="00CA3453"/>
    <w:rsid w:val="00CA357F"/>
    <w:rsid w:val="00CA3701"/>
    <w:rsid w:val="00CA38D1"/>
    <w:rsid w:val="00CA3927"/>
    <w:rsid w:val="00CA3A61"/>
    <w:rsid w:val="00CA4027"/>
    <w:rsid w:val="00CA4130"/>
    <w:rsid w:val="00CA41CB"/>
    <w:rsid w:val="00CA4401"/>
    <w:rsid w:val="00CA4412"/>
    <w:rsid w:val="00CA4415"/>
    <w:rsid w:val="00CA442B"/>
    <w:rsid w:val="00CA4596"/>
    <w:rsid w:val="00CA45A1"/>
    <w:rsid w:val="00CA4658"/>
    <w:rsid w:val="00CA468C"/>
    <w:rsid w:val="00CA46B7"/>
    <w:rsid w:val="00CA4752"/>
    <w:rsid w:val="00CA47DF"/>
    <w:rsid w:val="00CA492C"/>
    <w:rsid w:val="00CA495B"/>
    <w:rsid w:val="00CA4C65"/>
    <w:rsid w:val="00CA4D28"/>
    <w:rsid w:val="00CA4E50"/>
    <w:rsid w:val="00CA4F72"/>
    <w:rsid w:val="00CA4F7E"/>
    <w:rsid w:val="00CA5024"/>
    <w:rsid w:val="00CA51B2"/>
    <w:rsid w:val="00CA5315"/>
    <w:rsid w:val="00CA53DB"/>
    <w:rsid w:val="00CA5781"/>
    <w:rsid w:val="00CA5880"/>
    <w:rsid w:val="00CA5BFE"/>
    <w:rsid w:val="00CA5D40"/>
    <w:rsid w:val="00CA5ED6"/>
    <w:rsid w:val="00CA5FFB"/>
    <w:rsid w:val="00CA6036"/>
    <w:rsid w:val="00CA6089"/>
    <w:rsid w:val="00CA622B"/>
    <w:rsid w:val="00CA6243"/>
    <w:rsid w:val="00CA6293"/>
    <w:rsid w:val="00CA640A"/>
    <w:rsid w:val="00CA644E"/>
    <w:rsid w:val="00CA6453"/>
    <w:rsid w:val="00CA653D"/>
    <w:rsid w:val="00CA6545"/>
    <w:rsid w:val="00CA662A"/>
    <w:rsid w:val="00CA666D"/>
    <w:rsid w:val="00CA68E0"/>
    <w:rsid w:val="00CA6B3D"/>
    <w:rsid w:val="00CA6B9A"/>
    <w:rsid w:val="00CA6D4B"/>
    <w:rsid w:val="00CA6D78"/>
    <w:rsid w:val="00CA6DA5"/>
    <w:rsid w:val="00CA6F0F"/>
    <w:rsid w:val="00CA70CE"/>
    <w:rsid w:val="00CA7132"/>
    <w:rsid w:val="00CA71D9"/>
    <w:rsid w:val="00CA7291"/>
    <w:rsid w:val="00CA7296"/>
    <w:rsid w:val="00CA7328"/>
    <w:rsid w:val="00CA7434"/>
    <w:rsid w:val="00CA7574"/>
    <w:rsid w:val="00CA7835"/>
    <w:rsid w:val="00CA798C"/>
    <w:rsid w:val="00CA7999"/>
    <w:rsid w:val="00CA7A27"/>
    <w:rsid w:val="00CA7BD6"/>
    <w:rsid w:val="00CA7C50"/>
    <w:rsid w:val="00CA7CA8"/>
    <w:rsid w:val="00CA7CE6"/>
    <w:rsid w:val="00CA7DBD"/>
    <w:rsid w:val="00CA7E37"/>
    <w:rsid w:val="00CA7EE3"/>
    <w:rsid w:val="00CA7F26"/>
    <w:rsid w:val="00CB003C"/>
    <w:rsid w:val="00CB00E1"/>
    <w:rsid w:val="00CB012B"/>
    <w:rsid w:val="00CB0164"/>
    <w:rsid w:val="00CB0172"/>
    <w:rsid w:val="00CB01D8"/>
    <w:rsid w:val="00CB02AE"/>
    <w:rsid w:val="00CB034A"/>
    <w:rsid w:val="00CB0680"/>
    <w:rsid w:val="00CB08CC"/>
    <w:rsid w:val="00CB0ADB"/>
    <w:rsid w:val="00CB0C02"/>
    <w:rsid w:val="00CB0C0E"/>
    <w:rsid w:val="00CB0C8D"/>
    <w:rsid w:val="00CB0CEA"/>
    <w:rsid w:val="00CB0D31"/>
    <w:rsid w:val="00CB0DC6"/>
    <w:rsid w:val="00CB1011"/>
    <w:rsid w:val="00CB10A8"/>
    <w:rsid w:val="00CB1182"/>
    <w:rsid w:val="00CB127D"/>
    <w:rsid w:val="00CB1339"/>
    <w:rsid w:val="00CB141A"/>
    <w:rsid w:val="00CB1535"/>
    <w:rsid w:val="00CB161D"/>
    <w:rsid w:val="00CB1734"/>
    <w:rsid w:val="00CB1782"/>
    <w:rsid w:val="00CB17BB"/>
    <w:rsid w:val="00CB1B74"/>
    <w:rsid w:val="00CB1C18"/>
    <w:rsid w:val="00CB1C28"/>
    <w:rsid w:val="00CB1C8D"/>
    <w:rsid w:val="00CB1D0E"/>
    <w:rsid w:val="00CB1D1C"/>
    <w:rsid w:val="00CB1D8F"/>
    <w:rsid w:val="00CB1E69"/>
    <w:rsid w:val="00CB2024"/>
    <w:rsid w:val="00CB2029"/>
    <w:rsid w:val="00CB2120"/>
    <w:rsid w:val="00CB214A"/>
    <w:rsid w:val="00CB2255"/>
    <w:rsid w:val="00CB2279"/>
    <w:rsid w:val="00CB2344"/>
    <w:rsid w:val="00CB2406"/>
    <w:rsid w:val="00CB241C"/>
    <w:rsid w:val="00CB257B"/>
    <w:rsid w:val="00CB257E"/>
    <w:rsid w:val="00CB2626"/>
    <w:rsid w:val="00CB2769"/>
    <w:rsid w:val="00CB2819"/>
    <w:rsid w:val="00CB290A"/>
    <w:rsid w:val="00CB2994"/>
    <w:rsid w:val="00CB29CD"/>
    <w:rsid w:val="00CB2DCB"/>
    <w:rsid w:val="00CB2FCF"/>
    <w:rsid w:val="00CB2FED"/>
    <w:rsid w:val="00CB3210"/>
    <w:rsid w:val="00CB322F"/>
    <w:rsid w:val="00CB3478"/>
    <w:rsid w:val="00CB35E5"/>
    <w:rsid w:val="00CB364C"/>
    <w:rsid w:val="00CB37F0"/>
    <w:rsid w:val="00CB37F6"/>
    <w:rsid w:val="00CB3C33"/>
    <w:rsid w:val="00CB3C42"/>
    <w:rsid w:val="00CB3CEA"/>
    <w:rsid w:val="00CB3E1F"/>
    <w:rsid w:val="00CB3E6F"/>
    <w:rsid w:val="00CB408C"/>
    <w:rsid w:val="00CB40C4"/>
    <w:rsid w:val="00CB423E"/>
    <w:rsid w:val="00CB429E"/>
    <w:rsid w:val="00CB42A3"/>
    <w:rsid w:val="00CB42DB"/>
    <w:rsid w:val="00CB434C"/>
    <w:rsid w:val="00CB43C1"/>
    <w:rsid w:val="00CB45B9"/>
    <w:rsid w:val="00CB464C"/>
    <w:rsid w:val="00CB48AC"/>
    <w:rsid w:val="00CB492A"/>
    <w:rsid w:val="00CB4BB7"/>
    <w:rsid w:val="00CB4D1B"/>
    <w:rsid w:val="00CB4D40"/>
    <w:rsid w:val="00CB4E46"/>
    <w:rsid w:val="00CB5067"/>
    <w:rsid w:val="00CB5140"/>
    <w:rsid w:val="00CB5213"/>
    <w:rsid w:val="00CB52F7"/>
    <w:rsid w:val="00CB535D"/>
    <w:rsid w:val="00CB5360"/>
    <w:rsid w:val="00CB5392"/>
    <w:rsid w:val="00CB55CA"/>
    <w:rsid w:val="00CB5645"/>
    <w:rsid w:val="00CB56D5"/>
    <w:rsid w:val="00CB57C6"/>
    <w:rsid w:val="00CB58DA"/>
    <w:rsid w:val="00CB5966"/>
    <w:rsid w:val="00CB59C8"/>
    <w:rsid w:val="00CB5A11"/>
    <w:rsid w:val="00CB5A23"/>
    <w:rsid w:val="00CB5AE5"/>
    <w:rsid w:val="00CB5D4A"/>
    <w:rsid w:val="00CB5DA6"/>
    <w:rsid w:val="00CB5DF3"/>
    <w:rsid w:val="00CB5F1A"/>
    <w:rsid w:val="00CB5FEF"/>
    <w:rsid w:val="00CB602C"/>
    <w:rsid w:val="00CB6150"/>
    <w:rsid w:val="00CB616E"/>
    <w:rsid w:val="00CB6174"/>
    <w:rsid w:val="00CB6228"/>
    <w:rsid w:val="00CB629C"/>
    <w:rsid w:val="00CB62EB"/>
    <w:rsid w:val="00CB6670"/>
    <w:rsid w:val="00CB6952"/>
    <w:rsid w:val="00CB69B2"/>
    <w:rsid w:val="00CB69E3"/>
    <w:rsid w:val="00CB6A77"/>
    <w:rsid w:val="00CB6BC2"/>
    <w:rsid w:val="00CB6BEF"/>
    <w:rsid w:val="00CB6C6B"/>
    <w:rsid w:val="00CB6EB6"/>
    <w:rsid w:val="00CB7036"/>
    <w:rsid w:val="00CB7103"/>
    <w:rsid w:val="00CB72A5"/>
    <w:rsid w:val="00CB746D"/>
    <w:rsid w:val="00CB7525"/>
    <w:rsid w:val="00CB76B5"/>
    <w:rsid w:val="00CB7713"/>
    <w:rsid w:val="00CB773E"/>
    <w:rsid w:val="00CB782E"/>
    <w:rsid w:val="00CB784E"/>
    <w:rsid w:val="00CB787C"/>
    <w:rsid w:val="00CB7981"/>
    <w:rsid w:val="00CB7B37"/>
    <w:rsid w:val="00CB7E45"/>
    <w:rsid w:val="00CC00A0"/>
    <w:rsid w:val="00CC00E9"/>
    <w:rsid w:val="00CC0131"/>
    <w:rsid w:val="00CC01DD"/>
    <w:rsid w:val="00CC01FA"/>
    <w:rsid w:val="00CC0327"/>
    <w:rsid w:val="00CC07FA"/>
    <w:rsid w:val="00CC0A66"/>
    <w:rsid w:val="00CC0D04"/>
    <w:rsid w:val="00CC0EC7"/>
    <w:rsid w:val="00CC103B"/>
    <w:rsid w:val="00CC108D"/>
    <w:rsid w:val="00CC11A3"/>
    <w:rsid w:val="00CC144A"/>
    <w:rsid w:val="00CC14EE"/>
    <w:rsid w:val="00CC16D1"/>
    <w:rsid w:val="00CC1875"/>
    <w:rsid w:val="00CC18F2"/>
    <w:rsid w:val="00CC19D9"/>
    <w:rsid w:val="00CC1B31"/>
    <w:rsid w:val="00CC1BB8"/>
    <w:rsid w:val="00CC1C1D"/>
    <w:rsid w:val="00CC1D5A"/>
    <w:rsid w:val="00CC1D76"/>
    <w:rsid w:val="00CC1F2B"/>
    <w:rsid w:val="00CC1FC9"/>
    <w:rsid w:val="00CC1FCD"/>
    <w:rsid w:val="00CC22DA"/>
    <w:rsid w:val="00CC22FD"/>
    <w:rsid w:val="00CC2418"/>
    <w:rsid w:val="00CC25F5"/>
    <w:rsid w:val="00CC2719"/>
    <w:rsid w:val="00CC2722"/>
    <w:rsid w:val="00CC28EF"/>
    <w:rsid w:val="00CC2932"/>
    <w:rsid w:val="00CC2982"/>
    <w:rsid w:val="00CC29EE"/>
    <w:rsid w:val="00CC2B18"/>
    <w:rsid w:val="00CC2B55"/>
    <w:rsid w:val="00CC2C04"/>
    <w:rsid w:val="00CC2F0F"/>
    <w:rsid w:val="00CC2F1D"/>
    <w:rsid w:val="00CC2F24"/>
    <w:rsid w:val="00CC2F3E"/>
    <w:rsid w:val="00CC2FC6"/>
    <w:rsid w:val="00CC316B"/>
    <w:rsid w:val="00CC32F8"/>
    <w:rsid w:val="00CC334B"/>
    <w:rsid w:val="00CC33D0"/>
    <w:rsid w:val="00CC33F6"/>
    <w:rsid w:val="00CC3463"/>
    <w:rsid w:val="00CC34C3"/>
    <w:rsid w:val="00CC37A2"/>
    <w:rsid w:val="00CC37B8"/>
    <w:rsid w:val="00CC3906"/>
    <w:rsid w:val="00CC3A56"/>
    <w:rsid w:val="00CC3AC4"/>
    <w:rsid w:val="00CC3B46"/>
    <w:rsid w:val="00CC3BC4"/>
    <w:rsid w:val="00CC3CCC"/>
    <w:rsid w:val="00CC3D8D"/>
    <w:rsid w:val="00CC3DA5"/>
    <w:rsid w:val="00CC3E67"/>
    <w:rsid w:val="00CC3F0F"/>
    <w:rsid w:val="00CC3FF7"/>
    <w:rsid w:val="00CC42D7"/>
    <w:rsid w:val="00CC444B"/>
    <w:rsid w:val="00CC4816"/>
    <w:rsid w:val="00CC492A"/>
    <w:rsid w:val="00CC4932"/>
    <w:rsid w:val="00CC4978"/>
    <w:rsid w:val="00CC4A0F"/>
    <w:rsid w:val="00CC4B19"/>
    <w:rsid w:val="00CC4B56"/>
    <w:rsid w:val="00CC4B88"/>
    <w:rsid w:val="00CC4CED"/>
    <w:rsid w:val="00CC4CFA"/>
    <w:rsid w:val="00CC4D13"/>
    <w:rsid w:val="00CC4EFE"/>
    <w:rsid w:val="00CC4F55"/>
    <w:rsid w:val="00CC4F87"/>
    <w:rsid w:val="00CC4FDA"/>
    <w:rsid w:val="00CC544A"/>
    <w:rsid w:val="00CC5450"/>
    <w:rsid w:val="00CC54A5"/>
    <w:rsid w:val="00CC553A"/>
    <w:rsid w:val="00CC57D2"/>
    <w:rsid w:val="00CC57D6"/>
    <w:rsid w:val="00CC5858"/>
    <w:rsid w:val="00CC5886"/>
    <w:rsid w:val="00CC5A1A"/>
    <w:rsid w:val="00CC5EB2"/>
    <w:rsid w:val="00CC5F23"/>
    <w:rsid w:val="00CC5F9E"/>
    <w:rsid w:val="00CC5FC8"/>
    <w:rsid w:val="00CC60EF"/>
    <w:rsid w:val="00CC6338"/>
    <w:rsid w:val="00CC6384"/>
    <w:rsid w:val="00CC64B7"/>
    <w:rsid w:val="00CC670A"/>
    <w:rsid w:val="00CC6887"/>
    <w:rsid w:val="00CC6C69"/>
    <w:rsid w:val="00CC6D51"/>
    <w:rsid w:val="00CC6EED"/>
    <w:rsid w:val="00CC706F"/>
    <w:rsid w:val="00CC70B1"/>
    <w:rsid w:val="00CC71B9"/>
    <w:rsid w:val="00CC72C0"/>
    <w:rsid w:val="00CC72CF"/>
    <w:rsid w:val="00CC7333"/>
    <w:rsid w:val="00CC7361"/>
    <w:rsid w:val="00CC740B"/>
    <w:rsid w:val="00CC7467"/>
    <w:rsid w:val="00CC763D"/>
    <w:rsid w:val="00CC76FC"/>
    <w:rsid w:val="00CC778B"/>
    <w:rsid w:val="00CC7865"/>
    <w:rsid w:val="00CC78FD"/>
    <w:rsid w:val="00CC7A2A"/>
    <w:rsid w:val="00CC7C05"/>
    <w:rsid w:val="00CC7C57"/>
    <w:rsid w:val="00CC7F06"/>
    <w:rsid w:val="00CC7F3A"/>
    <w:rsid w:val="00CD02D2"/>
    <w:rsid w:val="00CD0370"/>
    <w:rsid w:val="00CD04E8"/>
    <w:rsid w:val="00CD0609"/>
    <w:rsid w:val="00CD0950"/>
    <w:rsid w:val="00CD0A96"/>
    <w:rsid w:val="00CD0EDC"/>
    <w:rsid w:val="00CD0F1D"/>
    <w:rsid w:val="00CD0F64"/>
    <w:rsid w:val="00CD1048"/>
    <w:rsid w:val="00CD107D"/>
    <w:rsid w:val="00CD108F"/>
    <w:rsid w:val="00CD11BE"/>
    <w:rsid w:val="00CD139F"/>
    <w:rsid w:val="00CD1464"/>
    <w:rsid w:val="00CD1503"/>
    <w:rsid w:val="00CD162B"/>
    <w:rsid w:val="00CD1658"/>
    <w:rsid w:val="00CD16FC"/>
    <w:rsid w:val="00CD1B47"/>
    <w:rsid w:val="00CD1BF7"/>
    <w:rsid w:val="00CD1F94"/>
    <w:rsid w:val="00CD1FEA"/>
    <w:rsid w:val="00CD2047"/>
    <w:rsid w:val="00CD20E9"/>
    <w:rsid w:val="00CD224D"/>
    <w:rsid w:val="00CD23C6"/>
    <w:rsid w:val="00CD2450"/>
    <w:rsid w:val="00CD24B7"/>
    <w:rsid w:val="00CD2545"/>
    <w:rsid w:val="00CD285A"/>
    <w:rsid w:val="00CD295A"/>
    <w:rsid w:val="00CD2A9E"/>
    <w:rsid w:val="00CD2AE4"/>
    <w:rsid w:val="00CD2B2F"/>
    <w:rsid w:val="00CD2BA3"/>
    <w:rsid w:val="00CD2BEF"/>
    <w:rsid w:val="00CD2C25"/>
    <w:rsid w:val="00CD2CE4"/>
    <w:rsid w:val="00CD2D2A"/>
    <w:rsid w:val="00CD2F73"/>
    <w:rsid w:val="00CD300E"/>
    <w:rsid w:val="00CD3246"/>
    <w:rsid w:val="00CD3320"/>
    <w:rsid w:val="00CD3325"/>
    <w:rsid w:val="00CD3335"/>
    <w:rsid w:val="00CD3408"/>
    <w:rsid w:val="00CD354E"/>
    <w:rsid w:val="00CD35E0"/>
    <w:rsid w:val="00CD3704"/>
    <w:rsid w:val="00CD384C"/>
    <w:rsid w:val="00CD3983"/>
    <w:rsid w:val="00CD3AC8"/>
    <w:rsid w:val="00CD3C50"/>
    <w:rsid w:val="00CD3E0A"/>
    <w:rsid w:val="00CD3F17"/>
    <w:rsid w:val="00CD3F2C"/>
    <w:rsid w:val="00CD430C"/>
    <w:rsid w:val="00CD43D5"/>
    <w:rsid w:val="00CD44F4"/>
    <w:rsid w:val="00CD46C5"/>
    <w:rsid w:val="00CD46CA"/>
    <w:rsid w:val="00CD4790"/>
    <w:rsid w:val="00CD4934"/>
    <w:rsid w:val="00CD4C93"/>
    <w:rsid w:val="00CD4CFC"/>
    <w:rsid w:val="00CD4E04"/>
    <w:rsid w:val="00CD4ECB"/>
    <w:rsid w:val="00CD4ECF"/>
    <w:rsid w:val="00CD4EE0"/>
    <w:rsid w:val="00CD4FFD"/>
    <w:rsid w:val="00CD531D"/>
    <w:rsid w:val="00CD552A"/>
    <w:rsid w:val="00CD562F"/>
    <w:rsid w:val="00CD56F2"/>
    <w:rsid w:val="00CD5906"/>
    <w:rsid w:val="00CD59CA"/>
    <w:rsid w:val="00CD5B09"/>
    <w:rsid w:val="00CD5B32"/>
    <w:rsid w:val="00CD5C03"/>
    <w:rsid w:val="00CD5C89"/>
    <w:rsid w:val="00CD5D7F"/>
    <w:rsid w:val="00CD6090"/>
    <w:rsid w:val="00CD6098"/>
    <w:rsid w:val="00CD61DF"/>
    <w:rsid w:val="00CD6302"/>
    <w:rsid w:val="00CD6317"/>
    <w:rsid w:val="00CD631E"/>
    <w:rsid w:val="00CD635A"/>
    <w:rsid w:val="00CD6656"/>
    <w:rsid w:val="00CD688F"/>
    <w:rsid w:val="00CD689E"/>
    <w:rsid w:val="00CD6B4F"/>
    <w:rsid w:val="00CD6CB1"/>
    <w:rsid w:val="00CD6CCD"/>
    <w:rsid w:val="00CD714E"/>
    <w:rsid w:val="00CD726B"/>
    <w:rsid w:val="00CD72F6"/>
    <w:rsid w:val="00CD7320"/>
    <w:rsid w:val="00CD736D"/>
    <w:rsid w:val="00CD73A5"/>
    <w:rsid w:val="00CD7518"/>
    <w:rsid w:val="00CD7579"/>
    <w:rsid w:val="00CD767C"/>
    <w:rsid w:val="00CD76B6"/>
    <w:rsid w:val="00CD7814"/>
    <w:rsid w:val="00CD7936"/>
    <w:rsid w:val="00CD7958"/>
    <w:rsid w:val="00CD7A7D"/>
    <w:rsid w:val="00CD7B30"/>
    <w:rsid w:val="00CD7BCA"/>
    <w:rsid w:val="00CD7BE4"/>
    <w:rsid w:val="00CD7C19"/>
    <w:rsid w:val="00CD7F3F"/>
    <w:rsid w:val="00CD7FCD"/>
    <w:rsid w:val="00CE00C1"/>
    <w:rsid w:val="00CE022A"/>
    <w:rsid w:val="00CE03B9"/>
    <w:rsid w:val="00CE043F"/>
    <w:rsid w:val="00CE048C"/>
    <w:rsid w:val="00CE0587"/>
    <w:rsid w:val="00CE0B78"/>
    <w:rsid w:val="00CE0BA1"/>
    <w:rsid w:val="00CE0C0B"/>
    <w:rsid w:val="00CE0C61"/>
    <w:rsid w:val="00CE0CBE"/>
    <w:rsid w:val="00CE0CF5"/>
    <w:rsid w:val="00CE0D24"/>
    <w:rsid w:val="00CE0D97"/>
    <w:rsid w:val="00CE0DB3"/>
    <w:rsid w:val="00CE0F8B"/>
    <w:rsid w:val="00CE0FA1"/>
    <w:rsid w:val="00CE0FFE"/>
    <w:rsid w:val="00CE1025"/>
    <w:rsid w:val="00CE1060"/>
    <w:rsid w:val="00CE1145"/>
    <w:rsid w:val="00CE11BA"/>
    <w:rsid w:val="00CE1243"/>
    <w:rsid w:val="00CE134A"/>
    <w:rsid w:val="00CE1692"/>
    <w:rsid w:val="00CE175C"/>
    <w:rsid w:val="00CE1987"/>
    <w:rsid w:val="00CE1990"/>
    <w:rsid w:val="00CE19B6"/>
    <w:rsid w:val="00CE1A58"/>
    <w:rsid w:val="00CE1A94"/>
    <w:rsid w:val="00CE1CE6"/>
    <w:rsid w:val="00CE1D67"/>
    <w:rsid w:val="00CE1EAC"/>
    <w:rsid w:val="00CE1F3B"/>
    <w:rsid w:val="00CE1F70"/>
    <w:rsid w:val="00CE2077"/>
    <w:rsid w:val="00CE2157"/>
    <w:rsid w:val="00CE230E"/>
    <w:rsid w:val="00CE246A"/>
    <w:rsid w:val="00CE24FA"/>
    <w:rsid w:val="00CE2756"/>
    <w:rsid w:val="00CE288A"/>
    <w:rsid w:val="00CE28B1"/>
    <w:rsid w:val="00CE28B2"/>
    <w:rsid w:val="00CE2A63"/>
    <w:rsid w:val="00CE2C34"/>
    <w:rsid w:val="00CE2CF0"/>
    <w:rsid w:val="00CE2D46"/>
    <w:rsid w:val="00CE2DDE"/>
    <w:rsid w:val="00CE2E9E"/>
    <w:rsid w:val="00CE2FD7"/>
    <w:rsid w:val="00CE2FE6"/>
    <w:rsid w:val="00CE303F"/>
    <w:rsid w:val="00CE331B"/>
    <w:rsid w:val="00CE3325"/>
    <w:rsid w:val="00CE346B"/>
    <w:rsid w:val="00CE3478"/>
    <w:rsid w:val="00CE3610"/>
    <w:rsid w:val="00CE3617"/>
    <w:rsid w:val="00CE380E"/>
    <w:rsid w:val="00CE38C4"/>
    <w:rsid w:val="00CE3AF8"/>
    <w:rsid w:val="00CE3B15"/>
    <w:rsid w:val="00CE3B7B"/>
    <w:rsid w:val="00CE3DA4"/>
    <w:rsid w:val="00CE3F04"/>
    <w:rsid w:val="00CE3FEB"/>
    <w:rsid w:val="00CE417D"/>
    <w:rsid w:val="00CE4238"/>
    <w:rsid w:val="00CE4395"/>
    <w:rsid w:val="00CE44FF"/>
    <w:rsid w:val="00CE450C"/>
    <w:rsid w:val="00CE4757"/>
    <w:rsid w:val="00CE476C"/>
    <w:rsid w:val="00CE4849"/>
    <w:rsid w:val="00CE48DF"/>
    <w:rsid w:val="00CE4904"/>
    <w:rsid w:val="00CE4990"/>
    <w:rsid w:val="00CE4AD8"/>
    <w:rsid w:val="00CE4B25"/>
    <w:rsid w:val="00CE4BC5"/>
    <w:rsid w:val="00CE4CC2"/>
    <w:rsid w:val="00CE4F8F"/>
    <w:rsid w:val="00CE5140"/>
    <w:rsid w:val="00CE51F9"/>
    <w:rsid w:val="00CE5272"/>
    <w:rsid w:val="00CE52B8"/>
    <w:rsid w:val="00CE52D8"/>
    <w:rsid w:val="00CE53D4"/>
    <w:rsid w:val="00CE53F7"/>
    <w:rsid w:val="00CE5488"/>
    <w:rsid w:val="00CE548B"/>
    <w:rsid w:val="00CE54E2"/>
    <w:rsid w:val="00CE557E"/>
    <w:rsid w:val="00CE5597"/>
    <w:rsid w:val="00CE55DD"/>
    <w:rsid w:val="00CE567C"/>
    <w:rsid w:val="00CE5808"/>
    <w:rsid w:val="00CE5AA2"/>
    <w:rsid w:val="00CE5B5D"/>
    <w:rsid w:val="00CE5BE1"/>
    <w:rsid w:val="00CE5C36"/>
    <w:rsid w:val="00CE5C72"/>
    <w:rsid w:val="00CE5CB2"/>
    <w:rsid w:val="00CE5CE9"/>
    <w:rsid w:val="00CE5CEE"/>
    <w:rsid w:val="00CE5EC1"/>
    <w:rsid w:val="00CE5F67"/>
    <w:rsid w:val="00CE5FEA"/>
    <w:rsid w:val="00CE6105"/>
    <w:rsid w:val="00CE6111"/>
    <w:rsid w:val="00CE6123"/>
    <w:rsid w:val="00CE6243"/>
    <w:rsid w:val="00CE62BD"/>
    <w:rsid w:val="00CE62E3"/>
    <w:rsid w:val="00CE6316"/>
    <w:rsid w:val="00CE63F1"/>
    <w:rsid w:val="00CE683A"/>
    <w:rsid w:val="00CE68C6"/>
    <w:rsid w:val="00CE6B9F"/>
    <w:rsid w:val="00CE6C14"/>
    <w:rsid w:val="00CE6D9B"/>
    <w:rsid w:val="00CE6E61"/>
    <w:rsid w:val="00CE6F27"/>
    <w:rsid w:val="00CE7113"/>
    <w:rsid w:val="00CE7142"/>
    <w:rsid w:val="00CE7223"/>
    <w:rsid w:val="00CE7239"/>
    <w:rsid w:val="00CE731E"/>
    <w:rsid w:val="00CE73FF"/>
    <w:rsid w:val="00CE749B"/>
    <w:rsid w:val="00CE7762"/>
    <w:rsid w:val="00CE7767"/>
    <w:rsid w:val="00CE778C"/>
    <w:rsid w:val="00CE7843"/>
    <w:rsid w:val="00CE79DD"/>
    <w:rsid w:val="00CE7B0A"/>
    <w:rsid w:val="00CE7B23"/>
    <w:rsid w:val="00CE7BFC"/>
    <w:rsid w:val="00CE7FD5"/>
    <w:rsid w:val="00CF01BE"/>
    <w:rsid w:val="00CF0628"/>
    <w:rsid w:val="00CF0694"/>
    <w:rsid w:val="00CF085E"/>
    <w:rsid w:val="00CF08EE"/>
    <w:rsid w:val="00CF091F"/>
    <w:rsid w:val="00CF097A"/>
    <w:rsid w:val="00CF0ACB"/>
    <w:rsid w:val="00CF0CB6"/>
    <w:rsid w:val="00CF0CE0"/>
    <w:rsid w:val="00CF0FD0"/>
    <w:rsid w:val="00CF1190"/>
    <w:rsid w:val="00CF11D5"/>
    <w:rsid w:val="00CF1270"/>
    <w:rsid w:val="00CF128B"/>
    <w:rsid w:val="00CF1297"/>
    <w:rsid w:val="00CF13E6"/>
    <w:rsid w:val="00CF15B1"/>
    <w:rsid w:val="00CF15CF"/>
    <w:rsid w:val="00CF1685"/>
    <w:rsid w:val="00CF16F1"/>
    <w:rsid w:val="00CF1727"/>
    <w:rsid w:val="00CF18DC"/>
    <w:rsid w:val="00CF1AF4"/>
    <w:rsid w:val="00CF1E0D"/>
    <w:rsid w:val="00CF1E9C"/>
    <w:rsid w:val="00CF1FB8"/>
    <w:rsid w:val="00CF2014"/>
    <w:rsid w:val="00CF2110"/>
    <w:rsid w:val="00CF22CF"/>
    <w:rsid w:val="00CF2344"/>
    <w:rsid w:val="00CF2420"/>
    <w:rsid w:val="00CF2574"/>
    <w:rsid w:val="00CF269E"/>
    <w:rsid w:val="00CF270B"/>
    <w:rsid w:val="00CF2983"/>
    <w:rsid w:val="00CF2994"/>
    <w:rsid w:val="00CF2A3D"/>
    <w:rsid w:val="00CF2DDA"/>
    <w:rsid w:val="00CF2E5C"/>
    <w:rsid w:val="00CF2FE1"/>
    <w:rsid w:val="00CF3130"/>
    <w:rsid w:val="00CF3414"/>
    <w:rsid w:val="00CF348F"/>
    <w:rsid w:val="00CF34F1"/>
    <w:rsid w:val="00CF36DA"/>
    <w:rsid w:val="00CF380A"/>
    <w:rsid w:val="00CF38F1"/>
    <w:rsid w:val="00CF3B06"/>
    <w:rsid w:val="00CF3B3A"/>
    <w:rsid w:val="00CF3B77"/>
    <w:rsid w:val="00CF3C11"/>
    <w:rsid w:val="00CF3D64"/>
    <w:rsid w:val="00CF3F6B"/>
    <w:rsid w:val="00CF420C"/>
    <w:rsid w:val="00CF4262"/>
    <w:rsid w:val="00CF42B3"/>
    <w:rsid w:val="00CF436B"/>
    <w:rsid w:val="00CF4419"/>
    <w:rsid w:val="00CF448F"/>
    <w:rsid w:val="00CF455B"/>
    <w:rsid w:val="00CF48F9"/>
    <w:rsid w:val="00CF491B"/>
    <w:rsid w:val="00CF491D"/>
    <w:rsid w:val="00CF4A15"/>
    <w:rsid w:val="00CF4A1F"/>
    <w:rsid w:val="00CF4AC1"/>
    <w:rsid w:val="00CF4B2A"/>
    <w:rsid w:val="00CF4BFD"/>
    <w:rsid w:val="00CF4C26"/>
    <w:rsid w:val="00CF4C4A"/>
    <w:rsid w:val="00CF4DD2"/>
    <w:rsid w:val="00CF4E4A"/>
    <w:rsid w:val="00CF4FD6"/>
    <w:rsid w:val="00CF5053"/>
    <w:rsid w:val="00CF5102"/>
    <w:rsid w:val="00CF52E2"/>
    <w:rsid w:val="00CF53D2"/>
    <w:rsid w:val="00CF53D8"/>
    <w:rsid w:val="00CF550B"/>
    <w:rsid w:val="00CF55A5"/>
    <w:rsid w:val="00CF57D8"/>
    <w:rsid w:val="00CF583B"/>
    <w:rsid w:val="00CF58AB"/>
    <w:rsid w:val="00CF59D4"/>
    <w:rsid w:val="00CF59FF"/>
    <w:rsid w:val="00CF5B4B"/>
    <w:rsid w:val="00CF5BCD"/>
    <w:rsid w:val="00CF5BF3"/>
    <w:rsid w:val="00CF5C21"/>
    <w:rsid w:val="00CF5CB5"/>
    <w:rsid w:val="00CF5F60"/>
    <w:rsid w:val="00CF617E"/>
    <w:rsid w:val="00CF6263"/>
    <w:rsid w:val="00CF627F"/>
    <w:rsid w:val="00CF636C"/>
    <w:rsid w:val="00CF6372"/>
    <w:rsid w:val="00CF6375"/>
    <w:rsid w:val="00CF63BE"/>
    <w:rsid w:val="00CF6484"/>
    <w:rsid w:val="00CF64FE"/>
    <w:rsid w:val="00CF6554"/>
    <w:rsid w:val="00CF6570"/>
    <w:rsid w:val="00CF658B"/>
    <w:rsid w:val="00CF65EF"/>
    <w:rsid w:val="00CF68C2"/>
    <w:rsid w:val="00CF6991"/>
    <w:rsid w:val="00CF6B0C"/>
    <w:rsid w:val="00CF6BE3"/>
    <w:rsid w:val="00CF6C58"/>
    <w:rsid w:val="00CF6D3C"/>
    <w:rsid w:val="00CF6D9A"/>
    <w:rsid w:val="00CF70D5"/>
    <w:rsid w:val="00CF7112"/>
    <w:rsid w:val="00CF71A1"/>
    <w:rsid w:val="00CF72DC"/>
    <w:rsid w:val="00CF730D"/>
    <w:rsid w:val="00CF73AC"/>
    <w:rsid w:val="00CF744D"/>
    <w:rsid w:val="00CF750B"/>
    <w:rsid w:val="00CF7704"/>
    <w:rsid w:val="00CF773B"/>
    <w:rsid w:val="00CF78F8"/>
    <w:rsid w:val="00CF79BA"/>
    <w:rsid w:val="00CF7AAE"/>
    <w:rsid w:val="00CF7B09"/>
    <w:rsid w:val="00CF7D42"/>
    <w:rsid w:val="00CF7D80"/>
    <w:rsid w:val="00CF7E07"/>
    <w:rsid w:val="00CF7E17"/>
    <w:rsid w:val="00D000EF"/>
    <w:rsid w:val="00D001BC"/>
    <w:rsid w:val="00D002AF"/>
    <w:rsid w:val="00D00365"/>
    <w:rsid w:val="00D00585"/>
    <w:rsid w:val="00D005D1"/>
    <w:rsid w:val="00D0071A"/>
    <w:rsid w:val="00D0071F"/>
    <w:rsid w:val="00D007FB"/>
    <w:rsid w:val="00D0083D"/>
    <w:rsid w:val="00D00A2B"/>
    <w:rsid w:val="00D00D31"/>
    <w:rsid w:val="00D00D83"/>
    <w:rsid w:val="00D00D87"/>
    <w:rsid w:val="00D00D8C"/>
    <w:rsid w:val="00D00FDF"/>
    <w:rsid w:val="00D01001"/>
    <w:rsid w:val="00D0111F"/>
    <w:rsid w:val="00D0139B"/>
    <w:rsid w:val="00D015A5"/>
    <w:rsid w:val="00D015E0"/>
    <w:rsid w:val="00D01770"/>
    <w:rsid w:val="00D01A21"/>
    <w:rsid w:val="00D01AA2"/>
    <w:rsid w:val="00D01B61"/>
    <w:rsid w:val="00D01CB3"/>
    <w:rsid w:val="00D01D25"/>
    <w:rsid w:val="00D01D81"/>
    <w:rsid w:val="00D01E64"/>
    <w:rsid w:val="00D01E91"/>
    <w:rsid w:val="00D020BF"/>
    <w:rsid w:val="00D021AF"/>
    <w:rsid w:val="00D026DD"/>
    <w:rsid w:val="00D02710"/>
    <w:rsid w:val="00D02A05"/>
    <w:rsid w:val="00D02A4E"/>
    <w:rsid w:val="00D02AB3"/>
    <w:rsid w:val="00D02AB6"/>
    <w:rsid w:val="00D02B03"/>
    <w:rsid w:val="00D02B5F"/>
    <w:rsid w:val="00D02BAC"/>
    <w:rsid w:val="00D02D84"/>
    <w:rsid w:val="00D02DC2"/>
    <w:rsid w:val="00D02EE9"/>
    <w:rsid w:val="00D02F10"/>
    <w:rsid w:val="00D03032"/>
    <w:rsid w:val="00D0306D"/>
    <w:rsid w:val="00D031EE"/>
    <w:rsid w:val="00D0339F"/>
    <w:rsid w:val="00D03415"/>
    <w:rsid w:val="00D034BB"/>
    <w:rsid w:val="00D034E4"/>
    <w:rsid w:val="00D0354C"/>
    <w:rsid w:val="00D03568"/>
    <w:rsid w:val="00D038D1"/>
    <w:rsid w:val="00D03AAF"/>
    <w:rsid w:val="00D03B99"/>
    <w:rsid w:val="00D03CCA"/>
    <w:rsid w:val="00D03CEA"/>
    <w:rsid w:val="00D03DB8"/>
    <w:rsid w:val="00D03FD1"/>
    <w:rsid w:val="00D04092"/>
    <w:rsid w:val="00D040D6"/>
    <w:rsid w:val="00D041A1"/>
    <w:rsid w:val="00D04384"/>
    <w:rsid w:val="00D0441B"/>
    <w:rsid w:val="00D0448E"/>
    <w:rsid w:val="00D04742"/>
    <w:rsid w:val="00D04754"/>
    <w:rsid w:val="00D04803"/>
    <w:rsid w:val="00D04846"/>
    <w:rsid w:val="00D04A8D"/>
    <w:rsid w:val="00D04B5E"/>
    <w:rsid w:val="00D04D2C"/>
    <w:rsid w:val="00D04D7A"/>
    <w:rsid w:val="00D04ED5"/>
    <w:rsid w:val="00D04FA2"/>
    <w:rsid w:val="00D04FAF"/>
    <w:rsid w:val="00D04FF5"/>
    <w:rsid w:val="00D05008"/>
    <w:rsid w:val="00D052A8"/>
    <w:rsid w:val="00D052E3"/>
    <w:rsid w:val="00D053BE"/>
    <w:rsid w:val="00D05441"/>
    <w:rsid w:val="00D05453"/>
    <w:rsid w:val="00D05455"/>
    <w:rsid w:val="00D0576C"/>
    <w:rsid w:val="00D0583F"/>
    <w:rsid w:val="00D05AA0"/>
    <w:rsid w:val="00D05DB5"/>
    <w:rsid w:val="00D05E39"/>
    <w:rsid w:val="00D05E42"/>
    <w:rsid w:val="00D05E45"/>
    <w:rsid w:val="00D0611E"/>
    <w:rsid w:val="00D06315"/>
    <w:rsid w:val="00D06371"/>
    <w:rsid w:val="00D064E7"/>
    <w:rsid w:val="00D06561"/>
    <w:rsid w:val="00D065C1"/>
    <w:rsid w:val="00D06677"/>
    <w:rsid w:val="00D066AE"/>
    <w:rsid w:val="00D067C6"/>
    <w:rsid w:val="00D06BC9"/>
    <w:rsid w:val="00D06C50"/>
    <w:rsid w:val="00D06D20"/>
    <w:rsid w:val="00D06DA8"/>
    <w:rsid w:val="00D06DE3"/>
    <w:rsid w:val="00D07025"/>
    <w:rsid w:val="00D07027"/>
    <w:rsid w:val="00D07156"/>
    <w:rsid w:val="00D0725A"/>
    <w:rsid w:val="00D073D7"/>
    <w:rsid w:val="00D07762"/>
    <w:rsid w:val="00D07940"/>
    <w:rsid w:val="00D07964"/>
    <w:rsid w:val="00D079BB"/>
    <w:rsid w:val="00D07ADE"/>
    <w:rsid w:val="00D07B04"/>
    <w:rsid w:val="00D07B5C"/>
    <w:rsid w:val="00D07EF7"/>
    <w:rsid w:val="00D10332"/>
    <w:rsid w:val="00D10401"/>
    <w:rsid w:val="00D10559"/>
    <w:rsid w:val="00D10651"/>
    <w:rsid w:val="00D10769"/>
    <w:rsid w:val="00D10981"/>
    <w:rsid w:val="00D10995"/>
    <w:rsid w:val="00D10A86"/>
    <w:rsid w:val="00D10F68"/>
    <w:rsid w:val="00D1106A"/>
    <w:rsid w:val="00D110CB"/>
    <w:rsid w:val="00D110E5"/>
    <w:rsid w:val="00D110EC"/>
    <w:rsid w:val="00D11125"/>
    <w:rsid w:val="00D11171"/>
    <w:rsid w:val="00D11269"/>
    <w:rsid w:val="00D11329"/>
    <w:rsid w:val="00D11818"/>
    <w:rsid w:val="00D11859"/>
    <w:rsid w:val="00D118A5"/>
    <w:rsid w:val="00D11BC1"/>
    <w:rsid w:val="00D11C34"/>
    <w:rsid w:val="00D11DA5"/>
    <w:rsid w:val="00D11FB4"/>
    <w:rsid w:val="00D11FDF"/>
    <w:rsid w:val="00D1200E"/>
    <w:rsid w:val="00D12362"/>
    <w:rsid w:val="00D12965"/>
    <w:rsid w:val="00D12A58"/>
    <w:rsid w:val="00D12AFF"/>
    <w:rsid w:val="00D12CC9"/>
    <w:rsid w:val="00D12CD6"/>
    <w:rsid w:val="00D12E2C"/>
    <w:rsid w:val="00D12EB6"/>
    <w:rsid w:val="00D12FAC"/>
    <w:rsid w:val="00D13050"/>
    <w:rsid w:val="00D1307F"/>
    <w:rsid w:val="00D130C6"/>
    <w:rsid w:val="00D13353"/>
    <w:rsid w:val="00D133C7"/>
    <w:rsid w:val="00D133CD"/>
    <w:rsid w:val="00D13549"/>
    <w:rsid w:val="00D136E5"/>
    <w:rsid w:val="00D137C9"/>
    <w:rsid w:val="00D13829"/>
    <w:rsid w:val="00D13A2A"/>
    <w:rsid w:val="00D13A81"/>
    <w:rsid w:val="00D140F6"/>
    <w:rsid w:val="00D14369"/>
    <w:rsid w:val="00D1436A"/>
    <w:rsid w:val="00D14549"/>
    <w:rsid w:val="00D14598"/>
    <w:rsid w:val="00D1459E"/>
    <w:rsid w:val="00D14604"/>
    <w:rsid w:val="00D14652"/>
    <w:rsid w:val="00D148F1"/>
    <w:rsid w:val="00D14A9B"/>
    <w:rsid w:val="00D14AB9"/>
    <w:rsid w:val="00D14B07"/>
    <w:rsid w:val="00D14B32"/>
    <w:rsid w:val="00D14B47"/>
    <w:rsid w:val="00D14B56"/>
    <w:rsid w:val="00D14C01"/>
    <w:rsid w:val="00D14E02"/>
    <w:rsid w:val="00D14F12"/>
    <w:rsid w:val="00D14F71"/>
    <w:rsid w:val="00D152A4"/>
    <w:rsid w:val="00D152EB"/>
    <w:rsid w:val="00D15456"/>
    <w:rsid w:val="00D15476"/>
    <w:rsid w:val="00D15513"/>
    <w:rsid w:val="00D1564C"/>
    <w:rsid w:val="00D15659"/>
    <w:rsid w:val="00D156AF"/>
    <w:rsid w:val="00D156D9"/>
    <w:rsid w:val="00D159C1"/>
    <w:rsid w:val="00D15B18"/>
    <w:rsid w:val="00D15B31"/>
    <w:rsid w:val="00D15B9C"/>
    <w:rsid w:val="00D15C19"/>
    <w:rsid w:val="00D15DAC"/>
    <w:rsid w:val="00D15E1D"/>
    <w:rsid w:val="00D16045"/>
    <w:rsid w:val="00D16120"/>
    <w:rsid w:val="00D161AF"/>
    <w:rsid w:val="00D162D4"/>
    <w:rsid w:val="00D16302"/>
    <w:rsid w:val="00D16327"/>
    <w:rsid w:val="00D166F2"/>
    <w:rsid w:val="00D1694E"/>
    <w:rsid w:val="00D169BA"/>
    <w:rsid w:val="00D16AFA"/>
    <w:rsid w:val="00D16BFD"/>
    <w:rsid w:val="00D16D2C"/>
    <w:rsid w:val="00D16DFA"/>
    <w:rsid w:val="00D16EE1"/>
    <w:rsid w:val="00D16FB0"/>
    <w:rsid w:val="00D17185"/>
    <w:rsid w:val="00D17264"/>
    <w:rsid w:val="00D1731E"/>
    <w:rsid w:val="00D1734D"/>
    <w:rsid w:val="00D17364"/>
    <w:rsid w:val="00D17518"/>
    <w:rsid w:val="00D17556"/>
    <w:rsid w:val="00D17674"/>
    <w:rsid w:val="00D178B6"/>
    <w:rsid w:val="00D179E6"/>
    <w:rsid w:val="00D17AA4"/>
    <w:rsid w:val="00D17B19"/>
    <w:rsid w:val="00D17B46"/>
    <w:rsid w:val="00D17D45"/>
    <w:rsid w:val="00D17DB6"/>
    <w:rsid w:val="00D17E38"/>
    <w:rsid w:val="00D17E3F"/>
    <w:rsid w:val="00D20085"/>
    <w:rsid w:val="00D200B0"/>
    <w:rsid w:val="00D200BB"/>
    <w:rsid w:val="00D20133"/>
    <w:rsid w:val="00D20288"/>
    <w:rsid w:val="00D202CC"/>
    <w:rsid w:val="00D20498"/>
    <w:rsid w:val="00D204C2"/>
    <w:rsid w:val="00D20536"/>
    <w:rsid w:val="00D20569"/>
    <w:rsid w:val="00D205C8"/>
    <w:rsid w:val="00D20665"/>
    <w:rsid w:val="00D2067F"/>
    <w:rsid w:val="00D20690"/>
    <w:rsid w:val="00D20A94"/>
    <w:rsid w:val="00D20C57"/>
    <w:rsid w:val="00D20C99"/>
    <w:rsid w:val="00D20CB2"/>
    <w:rsid w:val="00D20E25"/>
    <w:rsid w:val="00D20EBA"/>
    <w:rsid w:val="00D2128A"/>
    <w:rsid w:val="00D21360"/>
    <w:rsid w:val="00D214D1"/>
    <w:rsid w:val="00D2160F"/>
    <w:rsid w:val="00D21717"/>
    <w:rsid w:val="00D21B53"/>
    <w:rsid w:val="00D21BC1"/>
    <w:rsid w:val="00D21BCE"/>
    <w:rsid w:val="00D21BED"/>
    <w:rsid w:val="00D21CCD"/>
    <w:rsid w:val="00D21D69"/>
    <w:rsid w:val="00D21E3A"/>
    <w:rsid w:val="00D21E77"/>
    <w:rsid w:val="00D21EAE"/>
    <w:rsid w:val="00D220FB"/>
    <w:rsid w:val="00D2215D"/>
    <w:rsid w:val="00D222E8"/>
    <w:rsid w:val="00D224F0"/>
    <w:rsid w:val="00D22776"/>
    <w:rsid w:val="00D2279E"/>
    <w:rsid w:val="00D22852"/>
    <w:rsid w:val="00D229C2"/>
    <w:rsid w:val="00D22C58"/>
    <w:rsid w:val="00D22C88"/>
    <w:rsid w:val="00D22C91"/>
    <w:rsid w:val="00D22CC7"/>
    <w:rsid w:val="00D22DF9"/>
    <w:rsid w:val="00D22EE4"/>
    <w:rsid w:val="00D22EE5"/>
    <w:rsid w:val="00D22FA8"/>
    <w:rsid w:val="00D22FB1"/>
    <w:rsid w:val="00D22FC6"/>
    <w:rsid w:val="00D22FE2"/>
    <w:rsid w:val="00D2328D"/>
    <w:rsid w:val="00D232BA"/>
    <w:rsid w:val="00D23780"/>
    <w:rsid w:val="00D23846"/>
    <w:rsid w:val="00D238AD"/>
    <w:rsid w:val="00D2394C"/>
    <w:rsid w:val="00D23A00"/>
    <w:rsid w:val="00D23A31"/>
    <w:rsid w:val="00D23A3C"/>
    <w:rsid w:val="00D23AD8"/>
    <w:rsid w:val="00D23E6F"/>
    <w:rsid w:val="00D24080"/>
    <w:rsid w:val="00D24271"/>
    <w:rsid w:val="00D2444A"/>
    <w:rsid w:val="00D24586"/>
    <w:rsid w:val="00D245A3"/>
    <w:rsid w:val="00D245D5"/>
    <w:rsid w:val="00D24713"/>
    <w:rsid w:val="00D24770"/>
    <w:rsid w:val="00D24793"/>
    <w:rsid w:val="00D248C7"/>
    <w:rsid w:val="00D24902"/>
    <w:rsid w:val="00D24952"/>
    <w:rsid w:val="00D24978"/>
    <w:rsid w:val="00D24B62"/>
    <w:rsid w:val="00D24C5C"/>
    <w:rsid w:val="00D24E44"/>
    <w:rsid w:val="00D24E88"/>
    <w:rsid w:val="00D24F5E"/>
    <w:rsid w:val="00D25085"/>
    <w:rsid w:val="00D2510E"/>
    <w:rsid w:val="00D2526E"/>
    <w:rsid w:val="00D254B9"/>
    <w:rsid w:val="00D25514"/>
    <w:rsid w:val="00D255F8"/>
    <w:rsid w:val="00D2560A"/>
    <w:rsid w:val="00D256C3"/>
    <w:rsid w:val="00D25860"/>
    <w:rsid w:val="00D25867"/>
    <w:rsid w:val="00D258DF"/>
    <w:rsid w:val="00D2597D"/>
    <w:rsid w:val="00D259F9"/>
    <w:rsid w:val="00D25BB1"/>
    <w:rsid w:val="00D25E07"/>
    <w:rsid w:val="00D25FC0"/>
    <w:rsid w:val="00D2601D"/>
    <w:rsid w:val="00D26077"/>
    <w:rsid w:val="00D263B3"/>
    <w:rsid w:val="00D26656"/>
    <w:rsid w:val="00D26919"/>
    <w:rsid w:val="00D26949"/>
    <w:rsid w:val="00D269D9"/>
    <w:rsid w:val="00D26DFA"/>
    <w:rsid w:val="00D26ED8"/>
    <w:rsid w:val="00D26FAD"/>
    <w:rsid w:val="00D26FDD"/>
    <w:rsid w:val="00D27373"/>
    <w:rsid w:val="00D27516"/>
    <w:rsid w:val="00D2767F"/>
    <w:rsid w:val="00D27E2A"/>
    <w:rsid w:val="00D27E48"/>
    <w:rsid w:val="00D27F26"/>
    <w:rsid w:val="00D27F4E"/>
    <w:rsid w:val="00D27FFA"/>
    <w:rsid w:val="00D3013D"/>
    <w:rsid w:val="00D30165"/>
    <w:rsid w:val="00D30169"/>
    <w:rsid w:val="00D30275"/>
    <w:rsid w:val="00D30346"/>
    <w:rsid w:val="00D30434"/>
    <w:rsid w:val="00D3044C"/>
    <w:rsid w:val="00D30508"/>
    <w:rsid w:val="00D30661"/>
    <w:rsid w:val="00D3079F"/>
    <w:rsid w:val="00D307D5"/>
    <w:rsid w:val="00D30833"/>
    <w:rsid w:val="00D30893"/>
    <w:rsid w:val="00D30A19"/>
    <w:rsid w:val="00D30A28"/>
    <w:rsid w:val="00D30A91"/>
    <w:rsid w:val="00D30AC3"/>
    <w:rsid w:val="00D30C28"/>
    <w:rsid w:val="00D30C81"/>
    <w:rsid w:val="00D30D02"/>
    <w:rsid w:val="00D30E4A"/>
    <w:rsid w:val="00D30E85"/>
    <w:rsid w:val="00D30EE6"/>
    <w:rsid w:val="00D31060"/>
    <w:rsid w:val="00D310D7"/>
    <w:rsid w:val="00D31203"/>
    <w:rsid w:val="00D31428"/>
    <w:rsid w:val="00D31437"/>
    <w:rsid w:val="00D31497"/>
    <w:rsid w:val="00D314FF"/>
    <w:rsid w:val="00D3168D"/>
    <w:rsid w:val="00D3178F"/>
    <w:rsid w:val="00D31A9B"/>
    <w:rsid w:val="00D31AC9"/>
    <w:rsid w:val="00D31F56"/>
    <w:rsid w:val="00D3237C"/>
    <w:rsid w:val="00D323DD"/>
    <w:rsid w:val="00D324E0"/>
    <w:rsid w:val="00D3260F"/>
    <w:rsid w:val="00D32861"/>
    <w:rsid w:val="00D329AF"/>
    <w:rsid w:val="00D32BF0"/>
    <w:rsid w:val="00D32C03"/>
    <w:rsid w:val="00D32C9D"/>
    <w:rsid w:val="00D32E3F"/>
    <w:rsid w:val="00D33030"/>
    <w:rsid w:val="00D330AB"/>
    <w:rsid w:val="00D33143"/>
    <w:rsid w:val="00D331C5"/>
    <w:rsid w:val="00D33522"/>
    <w:rsid w:val="00D335D8"/>
    <w:rsid w:val="00D3382B"/>
    <w:rsid w:val="00D33BF3"/>
    <w:rsid w:val="00D33C0E"/>
    <w:rsid w:val="00D33C51"/>
    <w:rsid w:val="00D33CCE"/>
    <w:rsid w:val="00D34071"/>
    <w:rsid w:val="00D34229"/>
    <w:rsid w:val="00D3422F"/>
    <w:rsid w:val="00D34239"/>
    <w:rsid w:val="00D34373"/>
    <w:rsid w:val="00D343CD"/>
    <w:rsid w:val="00D34433"/>
    <w:rsid w:val="00D345D9"/>
    <w:rsid w:val="00D3468D"/>
    <w:rsid w:val="00D34690"/>
    <w:rsid w:val="00D346CB"/>
    <w:rsid w:val="00D347F9"/>
    <w:rsid w:val="00D34870"/>
    <w:rsid w:val="00D34928"/>
    <w:rsid w:val="00D349E3"/>
    <w:rsid w:val="00D34A7C"/>
    <w:rsid w:val="00D34A95"/>
    <w:rsid w:val="00D34B8C"/>
    <w:rsid w:val="00D34EF1"/>
    <w:rsid w:val="00D34FD6"/>
    <w:rsid w:val="00D3506A"/>
    <w:rsid w:val="00D350C4"/>
    <w:rsid w:val="00D350DC"/>
    <w:rsid w:val="00D353B4"/>
    <w:rsid w:val="00D3555F"/>
    <w:rsid w:val="00D35780"/>
    <w:rsid w:val="00D35D0F"/>
    <w:rsid w:val="00D35D8F"/>
    <w:rsid w:val="00D3604B"/>
    <w:rsid w:val="00D36051"/>
    <w:rsid w:val="00D360B2"/>
    <w:rsid w:val="00D361B0"/>
    <w:rsid w:val="00D36228"/>
    <w:rsid w:val="00D3632F"/>
    <w:rsid w:val="00D36410"/>
    <w:rsid w:val="00D36660"/>
    <w:rsid w:val="00D366AB"/>
    <w:rsid w:val="00D368C0"/>
    <w:rsid w:val="00D368D0"/>
    <w:rsid w:val="00D369BF"/>
    <w:rsid w:val="00D36A0D"/>
    <w:rsid w:val="00D36A31"/>
    <w:rsid w:val="00D36A9C"/>
    <w:rsid w:val="00D36BAA"/>
    <w:rsid w:val="00D36D2C"/>
    <w:rsid w:val="00D36E08"/>
    <w:rsid w:val="00D36F78"/>
    <w:rsid w:val="00D37194"/>
    <w:rsid w:val="00D371EC"/>
    <w:rsid w:val="00D37272"/>
    <w:rsid w:val="00D37296"/>
    <w:rsid w:val="00D37307"/>
    <w:rsid w:val="00D373E2"/>
    <w:rsid w:val="00D3742D"/>
    <w:rsid w:val="00D375E1"/>
    <w:rsid w:val="00D375EF"/>
    <w:rsid w:val="00D377E9"/>
    <w:rsid w:val="00D378DE"/>
    <w:rsid w:val="00D37A3D"/>
    <w:rsid w:val="00D37B93"/>
    <w:rsid w:val="00D37CBC"/>
    <w:rsid w:val="00D37D55"/>
    <w:rsid w:val="00D37D7E"/>
    <w:rsid w:val="00D37DF5"/>
    <w:rsid w:val="00D37DFC"/>
    <w:rsid w:val="00D37F9C"/>
    <w:rsid w:val="00D400DD"/>
    <w:rsid w:val="00D400E8"/>
    <w:rsid w:val="00D40220"/>
    <w:rsid w:val="00D40421"/>
    <w:rsid w:val="00D404A1"/>
    <w:rsid w:val="00D404B0"/>
    <w:rsid w:val="00D4050A"/>
    <w:rsid w:val="00D40593"/>
    <w:rsid w:val="00D40A4A"/>
    <w:rsid w:val="00D40AD2"/>
    <w:rsid w:val="00D40B53"/>
    <w:rsid w:val="00D40D5B"/>
    <w:rsid w:val="00D40DD2"/>
    <w:rsid w:val="00D40EBB"/>
    <w:rsid w:val="00D40F11"/>
    <w:rsid w:val="00D40F48"/>
    <w:rsid w:val="00D40F64"/>
    <w:rsid w:val="00D40FA5"/>
    <w:rsid w:val="00D41029"/>
    <w:rsid w:val="00D4119F"/>
    <w:rsid w:val="00D4127D"/>
    <w:rsid w:val="00D412BA"/>
    <w:rsid w:val="00D412DA"/>
    <w:rsid w:val="00D41385"/>
    <w:rsid w:val="00D414B9"/>
    <w:rsid w:val="00D414CA"/>
    <w:rsid w:val="00D414FF"/>
    <w:rsid w:val="00D41553"/>
    <w:rsid w:val="00D41791"/>
    <w:rsid w:val="00D418E0"/>
    <w:rsid w:val="00D41A11"/>
    <w:rsid w:val="00D41BB3"/>
    <w:rsid w:val="00D41D58"/>
    <w:rsid w:val="00D41F2A"/>
    <w:rsid w:val="00D41F5E"/>
    <w:rsid w:val="00D42048"/>
    <w:rsid w:val="00D421FB"/>
    <w:rsid w:val="00D4225A"/>
    <w:rsid w:val="00D425AE"/>
    <w:rsid w:val="00D426AD"/>
    <w:rsid w:val="00D4274A"/>
    <w:rsid w:val="00D429FA"/>
    <w:rsid w:val="00D42A29"/>
    <w:rsid w:val="00D42A40"/>
    <w:rsid w:val="00D42AB3"/>
    <w:rsid w:val="00D42AC0"/>
    <w:rsid w:val="00D42B6A"/>
    <w:rsid w:val="00D42CF4"/>
    <w:rsid w:val="00D42CF9"/>
    <w:rsid w:val="00D42D1C"/>
    <w:rsid w:val="00D42D47"/>
    <w:rsid w:val="00D42F08"/>
    <w:rsid w:val="00D42FC2"/>
    <w:rsid w:val="00D42FDF"/>
    <w:rsid w:val="00D430F1"/>
    <w:rsid w:val="00D4328E"/>
    <w:rsid w:val="00D4344E"/>
    <w:rsid w:val="00D4345C"/>
    <w:rsid w:val="00D43562"/>
    <w:rsid w:val="00D43583"/>
    <w:rsid w:val="00D435BB"/>
    <w:rsid w:val="00D436B7"/>
    <w:rsid w:val="00D4386A"/>
    <w:rsid w:val="00D439BB"/>
    <w:rsid w:val="00D43BF2"/>
    <w:rsid w:val="00D43D27"/>
    <w:rsid w:val="00D43E03"/>
    <w:rsid w:val="00D43E0F"/>
    <w:rsid w:val="00D44121"/>
    <w:rsid w:val="00D4412A"/>
    <w:rsid w:val="00D441B7"/>
    <w:rsid w:val="00D443DC"/>
    <w:rsid w:val="00D44521"/>
    <w:rsid w:val="00D44524"/>
    <w:rsid w:val="00D4453A"/>
    <w:rsid w:val="00D4476A"/>
    <w:rsid w:val="00D4479B"/>
    <w:rsid w:val="00D4490E"/>
    <w:rsid w:val="00D44A1E"/>
    <w:rsid w:val="00D44A40"/>
    <w:rsid w:val="00D44B8E"/>
    <w:rsid w:val="00D45142"/>
    <w:rsid w:val="00D45335"/>
    <w:rsid w:val="00D45340"/>
    <w:rsid w:val="00D45382"/>
    <w:rsid w:val="00D45B39"/>
    <w:rsid w:val="00D45C84"/>
    <w:rsid w:val="00D46065"/>
    <w:rsid w:val="00D46071"/>
    <w:rsid w:val="00D461BF"/>
    <w:rsid w:val="00D46219"/>
    <w:rsid w:val="00D462C7"/>
    <w:rsid w:val="00D46370"/>
    <w:rsid w:val="00D46443"/>
    <w:rsid w:val="00D4654A"/>
    <w:rsid w:val="00D4658D"/>
    <w:rsid w:val="00D467D8"/>
    <w:rsid w:val="00D467FC"/>
    <w:rsid w:val="00D46837"/>
    <w:rsid w:val="00D469C4"/>
    <w:rsid w:val="00D469D0"/>
    <w:rsid w:val="00D46AD0"/>
    <w:rsid w:val="00D46BC4"/>
    <w:rsid w:val="00D46BEC"/>
    <w:rsid w:val="00D46BF0"/>
    <w:rsid w:val="00D46C66"/>
    <w:rsid w:val="00D46C9D"/>
    <w:rsid w:val="00D46EA1"/>
    <w:rsid w:val="00D47043"/>
    <w:rsid w:val="00D472BB"/>
    <w:rsid w:val="00D472FA"/>
    <w:rsid w:val="00D474EF"/>
    <w:rsid w:val="00D47611"/>
    <w:rsid w:val="00D47876"/>
    <w:rsid w:val="00D47916"/>
    <w:rsid w:val="00D47A99"/>
    <w:rsid w:val="00D47AD7"/>
    <w:rsid w:val="00D47ADE"/>
    <w:rsid w:val="00D47B81"/>
    <w:rsid w:val="00D47C67"/>
    <w:rsid w:val="00D47D17"/>
    <w:rsid w:val="00D47F3D"/>
    <w:rsid w:val="00D47FD2"/>
    <w:rsid w:val="00D50082"/>
    <w:rsid w:val="00D501E7"/>
    <w:rsid w:val="00D50263"/>
    <w:rsid w:val="00D50406"/>
    <w:rsid w:val="00D504E5"/>
    <w:rsid w:val="00D5057C"/>
    <w:rsid w:val="00D50582"/>
    <w:rsid w:val="00D50860"/>
    <w:rsid w:val="00D50883"/>
    <w:rsid w:val="00D50920"/>
    <w:rsid w:val="00D509A3"/>
    <w:rsid w:val="00D509D9"/>
    <w:rsid w:val="00D50BFD"/>
    <w:rsid w:val="00D50CDC"/>
    <w:rsid w:val="00D50D3B"/>
    <w:rsid w:val="00D50D6F"/>
    <w:rsid w:val="00D50EA8"/>
    <w:rsid w:val="00D50F65"/>
    <w:rsid w:val="00D50F7A"/>
    <w:rsid w:val="00D50FB0"/>
    <w:rsid w:val="00D511D6"/>
    <w:rsid w:val="00D51460"/>
    <w:rsid w:val="00D51718"/>
    <w:rsid w:val="00D51722"/>
    <w:rsid w:val="00D51788"/>
    <w:rsid w:val="00D517A1"/>
    <w:rsid w:val="00D51921"/>
    <w:rsid w:val="00D51957"/>
    <w:rsid w:val="00D51A6C"/>
    <w:rsid w:val="00D51B83"/>
    <w:rsid w:val="00D51E15"/>
    <w:rsid w:val="00D52218"/>
    <w:rsid w:val="00D52385"/>
    <w:rsid w:val="00D52576"/>
    <w:rsid w:val="00D525AD"/>
    <w:rsid w:val="00D525B0"/>
    <w:rsid w:val="00D526DB"/>
    <w:rsid w:val="00D52711"/>
    <w:rsid w:val="00D5271E"/>
    <w:rsid w:val="00D52761"/>
    <w:rsid w:val="00D52920"/>
    <w:rsid w:val="00D52954"/>
    <w:rsid w:val="00D52A35"/>
    <w:rsid w:val="00D52B53"/>
    <w:rsid w:val="00D52CCC"/>
    <w:rsid w:val="00D52D30"/>
    <w:rsid w:val="00D52D93"/>
    <w:rsid w:val="00D52E2D"/>
    <w:rsid w:val="00D5308B"/>
    <w:rsid w:val="00D53154"/>
    <w:rsid w:val="00D531B7"/>
    <w:rsid w:val="00D531C3"/>
    <w:rsid w:val="00D532CF"/>
    <w:rsid w:val="00D53520"/>
    <w:rsid w:val="00D53538"/>
    <w:rsid w:val="00D5364A"/>
    <w:rsid w:val="00D536DD"/>
    <w:rsid w:val="00D536F0"/>
    <w:rsid w:val="00D53746"/>
    <w:rsid w:val="00D5374C"/>
    <w:rsid w:val="00D537ED"/>
    <w:rsid w:val="00D53813"/>
    <w:rsid w:val="00D53927"/>
    <w:rsid w:val="00D539DC"/>
    <w:rsid w:val="00D53A1D"/>
    <w:rsid w:val="00D53A67"/>
    <w:rsid w:val="00D53B22"/>
    <w:rsid w:val="00D53BDD"/>
    <w:rsid w:val="00D53E08"/>
    <w:rsid w:val="00D53E32"/>
    <w:rsid w:val="00D53EFA"/>
    <w:rsid w:val="00D53FD9"/>
    <w:rsid w:val="00D54171"/>
    <w:rsid w:val="00D54335"/>
    <w:rsid w:val="00D543E2"/>
    <w:rsid w:val="00D544ED"/>
    <w:rsid w:val="00D54647"/>
    <w:rsid w:val="00D546B3"/>
    <w:rsid w:val="00D54740"/>
    <w:rsid w:val="00D547A1"/>
    <w:rsid w:val="00D547F8"/>
    <w:rsid w:val="00D549AC"/>
    <w:rsid w:val="00D54A15"/>
    <w:rsid w:val="00D54AC7"/>
    <w:rsid w:val="00D54B0B"/>
    <w:rsid w:val="00D54C30"/>
    <w:rsid w:val="00D54D27"/>
    <w:rsid w:val="00D54E0E"/>
    <w:rsid w:val="00D54E7C"/>
    <w:rsid w:val="00D54F88"/>
    <w:rsid w:val="00D55009"/>
    <w:rsid w:val="00D55018"/>
    <w:rsid w:val="00D55113"/>
    <w:rsid w:val="00D5511C"/>
    <w:rsid w:val="00D55175"/>
    <w:rsid w:val="00D551C1"/>
    <w:rsid w:val="00D551D2"/>
    <w:rsid w:val="00D5527D"/>
    <w:rsid w:val="00D552C4"/>
    <w:rsid w:val="00D55373"/>
    <w:rsid w:val="00D553D2"/>
    <w:rsid w:val="00D55424"/>
    <w:rsid w:val="00D55428"/>
    <w:rsid w:val="00D55440"/>
    <w:rsid w:val="00D554DA"/>
    <w:rsid w:val="00D556EE"/>
    <w:rsid w:val="00D5577B"/>
    <w:rsid w:val="00D5591C"/>
    <w:rsid w:val="00D55ABE"/>
    <w:rsid w:val="00D55B45"/>
    <w:rsid w:val="00D55CD5"/>
    <w:rsid w:val="00D55D87"/>
    <w:rsid w:val="00D55E1F"/>
    <w:rsid w:val="00D55E42"/>
    <w:rsid w:val="00D55E67"/>
    <w:rsid w:val="00D560AF"/>
    <w:rsid w:val="00D56147"/>
    <w:rsid w:val="00D56182"/>
    <w:rsid w:val="00D56216"/>
    <w:rsid w:val="00D56256"/>
    <w:rsid w:val="00D56290"/>
    <w:rsid w:val="00D562C5"/>
    <w:rsid w:val="00D56829"/>
    <w:rsid w:val="00D56CCF"/>
    <w:rsid w:val="00D56E32"/>
    <w:rsid w:val="00D56ECE"/>
    <w:rsid w:val="00D56EE9"/>
    <w:rsid w:val="00D56F6B"/>
    <w:rsid w:val="00D56FA5"/>
    <w:rsid w:val="00D5706D"/>
    <w:rsid w:val="00D57086"/>
    <w:rsid w:val="00D5718B"/>
    <w:rsid w:val="00D572BD"/>
    <w:rsid w:val="00D57407"/>
    <w:rsid w:val="00D57497"/>
    <w:rsid w:val="00D574CF"/>
    <w:rsid w:val="00D57797"/>
    <w:rsid w:val="00D57973"/>
    <w:rsid w:val="00D579FE"/>
    <w:rsid w:val="00D57A6E"/>
    <w:rsid w:val="00D57AD2"/>
    <w:rsid w:val="00D57D18"/>
    <w:rsid w:val="00D57F4E"/>
    <w:rsid w:val="00D57F76"/>
    <w:rsid w:val="00D6013E"/>
    <w:rsid w:val="00D601C9"/>
    <w:rsid w:val="00D602C4"/>
    <w:rsid w:val="00D608A3"/>
    <w:rsid w:val="00D60953"/>
    <w:rsid w:val="00D60B41"/>
    <w:rsid w:val="00D60B94"/>
    <w:rsid w:val="00D60C7F"/>
    <w:rsid w:val="00D60CAD"/>
    <w:rsid w:val="00D60DCD"/>
    <w:rsid w:val="00D60FD2"/>
    <w:rsid w:val="00D610E1"/>
    <w:rsid w:val="00D6115F"/>
    <w:rsid w:val="00D6122B"/>
    <w:rsid w:val="00D6123A"/>
    <w:rsid w:val="00D61558"/>
    <w:rsid w:val="00D617A1"/>
    <w:rsid w:val="00D618A6"/>
    <w:rsid w:val="00D618B0"/>
    <w:rsid w:val="00D61972"/>
    <w:rsid w:val="00D61BB3"/>
    <w:rsid w:val="00D61E6F"/>
    <w:rsid w:val="00D61ECE"/>
    <w:rsid w:val="00D61ED9"/>
    <w:rsid w:val="00D62178"/>
    <w:rsid w:val="00D6256C"/>
    <w:rsid w:val="00D62585"/>
    <w:rsid w:val="00D625FB"/>
    <w:rsid w:val="00D62616"/>
    <w:rsid w:val="00D62650"/>
    <w:rsid w:val="00D62AEC"/>
    <w:rsid w:val="00D62C03"/>
    <w:rsid w:val="00D62C54"/>
    <w:rsid w:val="00D62C7C"/>
    <w:rsid w:val="00D62EA0"/>
    <w:rsid w:val="00D62EAE"/>
    <w:rsid w:val="00D62F6C"/>
    <w:rsid w:val="00D62FC2"/>
    <w:rsid w:val="00D63052"/>
    <w:rsid w:val="00D63303"/>
    <w:rsid w:val="00D633A8"/>
    <w:rsid w:val="00D63475"/>
    <w:rsid w:val="00D634B2"/>
    <w:rsid w:val="00D636F3"/>
    <w:rsid w:val="00D6379D"/>
    <w:rsid w:val="00D63A07"/>
    <w:rsid w:val="00D63B2C"/>
    <w:rsid w:val="00D64266"/>
    <w:rsid w:val="00D64344"/>
    <w:rsid w:val="00D644A9"/>
    <w:rsid w:val="00D644F9"/>
    <w:rsid w:val="00D6459A"/>
    <w:rsid w:val="00D6464B"/>
    <w:rsid w:val="00D64884"/>
    <w:rsid w:val="00D648D3"/>
    <w:rsid w:val="00D64BA5"/>
    <w:rsid w:val="00D64E4A"/>
    <w:rsid w:val="00D64F18"/>
    <w:rsid w:val="00D650D5"/>
    <w:rsid w:val="00D651CB"/>
    <w:rsid w:val="00D651DC"/>
    <w:rsid w:val="00D65308"/>
    <w:rsid w:val="00D65375"/>
    <w:rsid w:val="00D65630"/>
    <w:rsid w:val="00D6578B"/>
    <w:rsid w:val="00D657F7"/>
    <w:rsid w:val="00D65972"/>
    <w:rsid w:val="00D65A25"/>
    <w:rsid w:val="00D65BD3"/>
    <w:rsid w:val="00D65E24"/>
    <w:rsid w:val="00D6639C"/>
    <w:rsid w:val="00D663B7"/>
    <w:rsid w:val="00D6645E"/>
    <w:rsid w:val="00D664CE"/>
    <w:rsid w:val="00D66501"/>
    <w:rsid w:val="00D66724"/>
    <w:rsid w:val="00D66896"/>
    <w:rsid w:val="00D66926"/>
    <w:rsid w:val="00D66A52"/>
    <w:rsid w:val="00D66CE1"/>
    <w:rsid w:val="00D66F29"/>
    <w:rsid w:val="00D67176"/>
    <w:rsid w:val="00D67253"/>
    <w:rsid w:val="00D67264"/>
    <w:rsid w:val="00D6730F"/>
    <w:rsid w:val="00D673D4"/>
    <w:rsid w:val="00D67709"/>
    <w:rsid w:val="00D67732"/>
    <w:rsid w:val="00D67771"/>
    <w:rsid w:val="00D677B7"/>
    <w:rsid w:val="00D677E4"/>
    <w:rsid w:val="00D6780F"/>
    <w:rsid w:val="00D67A65"/>
    <w:rsid w:val="00D67A76"/>
    <w:rsid w:val="00D67A7F"/>
    <w:rsid w:val="00D67B0F"/>
    <w:rsid w:val="00D67B55"/>
    <w:rsid w:val="00D67BE4"/>
    <w:rsid w:val="00D67D06"/>
    <w:rsid w:val="00D7043B"/>
    <w:rsid w:val="00D70491"/>
    <w:rsid w:val="00D705F2"/>
    <w:rsid w:val="00D706AF"/>
    <w:rsid w:val="00D70790"/>
    <w:rsid w:val="00D708D8"/>
    <w:rsid w:val="00D70968"/>
    <w:rsid w:val="00D70A66"/>
    <w:rsid w:val="00D70DAC"/>
    <w:rsid w:val="00D70F11"/>
    <w:rsid w:val="00D70F59"/>
    <w:rsid w:val="00D71118"/>
    <w:rsid w:val="00D715C5"/>
    <w:rsid w:val="00D71653"/>
    <w:rsid w:val="00D7174C"/>
    <w:rsid w:val="00D7183C"/>
    <w:rsid w:val="00D718FB"/>
    <w:rsid w:val="00D71A09"/>
    <w:rsid w:val="00D71DEE"/>
    <w:rsid w:val="00D71E16"/>
    <w:rsid w:val="00D71F08"/>
    <w:rsid w:val="00D71FFF"/>
    <w:rsid w:val="00D72094"/>
    <w:rsid w:val="00D72141"/>
    <w:rsid w:val="00D7240D"/>
    <w:rsid w:val="00D72425"/>
    <w:rsid w:val="00D72512"/>
    <w:rsid w:val="00D725F6"/>
    <w:rsid w:val="00D72786"/>
    <w:rsid w:val="00D727A1"/>
    <w:rsid w:val="00D728DA"/>
    <w:rsid w:val="00D72A82"/>
    <w:rsid w:val="00D72E07"/>
    <w:rsid w:val="00D72E25"/>
    <w:rsid w:val="00D72EEA"/>
    <w:rsid w:val="00D7300C"/>
    <w:rsid w:val="00D73185"/>
    <w:rsid w:val="00D73192"/>
    <w:rsid w:val="00D731AD"/>
    <w:rsid w:val="00D73218"/>
    <w:rsid w:val="00D7331D"/>
    <w:rsid w:val="00D73580"/>
    <w:rsid w:val="00D735A0"/>
    <w:rsid w:val="00D736CB"/>
    <w:rsid w:val="00D736EC"/>
    <w:rsid w:val="00D7375E"/>
    <w:rsid w:val="00D73857"/>
    <w:rsid w:val="00D738FE"/>
    <w:rsid w:val="00D73A3D"/>
    <w:rsid w:val="00D73B5D"/>
    <w:rsid w:val="00D73B78"/>
    <w:rsid w:val="00D73CBF"/>
    <w:rsid w:val="00D73D97"/>
    <w:rsid w:val="00D73E35"/>
    <w:rsid w:val="00D73FAA"/>
    <w:rsid w:val="00D73FAE"/>
    <w:rsid w:val="00D73FB3"/>
    <w:rsid w:val="00D7405A"/>
    <w:rsid w:val="00D74097"/>
    <w:rsid w:val="00D7411D"/>
    <w:rsid w:val="00D7412C"/>
    <w:rsid w:val="00D74211"/>
    <w:rsid w:val="00D74368"/>
    <w:rsid w:val="00D7444E"/>
    <w:rsid w:val="00D745DC"/>
    <w:rsid w:val="00D746F8"/>
    <w:rsid w:val="00D74745"/>
    <w:rsid w:val="00D74825"/>
    <w:rsid w:val="00D748CB"/>
    <w:rsid w:val="00D7496B"/>
    <w:rsid w:val="00D74A12"/>
    <w:rsid w:val="00D74A2A"/>
    <w:rsid w:val="00D74A4D"/>
    <w:rsid w:val="00D74A67"/>
    <w:rsid w:val="00D74B38"/>
    <w:rsid w:val="00D74BBF"/>
    <w:rsid w:val="00D74C11"/>
    <w:rsid w:val="00D74C18"/>
    <w:rsid w:val="00D74D7B"/>
    <w:rsid w:val="00D74DA5"/>
    <w:rsid w:val="00D74E69"/>
    <w:rsid w:val="00D74E6B"/>
    <w:rsid w:val="00D74F89"/>
    <w:rsid w:val="00D75436"/>
    <w:rsid w:val="00D7546C"/>
    <w:rsid w:val="00D756D7"/>
    <w:rsid w:val="00D7592C"/>
    <w:rsid w:val="00D75985"/>
    <w:rsid w:val="00D75A0E"/>
    <w:rsid w:val="00D75A55"/>
    <w:rsid w:val="00D75A97"/>
    <w:rsid w:val="00D75C8C"/>
    <w:rsid w:val="00D75E97"/>
    <w:rsid w:val="00D760AA"/>
    <w:rsid w:val="00D7616D"/>
    <w:rsid w:val="00D7617C"/>
    <w:rsid w:val="00D762F2"/>
    <w:rsid w:val="00D76442"/>
    <w:rsid w:val="00D76491"/>
    <w:rsid w:val="00D76538"/>
    <w:rsid w:val="00D766A8"/>
    <w:rsid w:val="00D766F1"/>
    <w:rsid w:val="00D76756"/>
    <w:rsid w:val="00D76763"/>
    <w:rsid w:val="00D76877"/>
    <w:rsid w:val="00D768F2"/>
    <w:rsid w:val="00D76B95"/>
    <w:rsid w:val="00D76C0C"/>
    <w:rsid w:val="00D76C49"/>
    <w:rsid w:val="00D76DDF"/>
    <w:rsid w:val="00D76E70"/>
    <w:rsid w:val="00D76E90"/>
    <w:rsid w:val="00D76EDD"/>
    <w:rsid w:val="00D76F3F"/>
    <w:rsid w:val="00D76FCC"/>
    <w:rsid w:val="00D770CA"/>
    <w:rsid w:val="00D77201"/>
    <w:rsid w:val="00D772A3"/>
    <w:rsid w:val="00D7731C"/>
    <w:rsid w:val="00D7734C"/>
    <w:rsid w:val="00D77572"/>
    <w:rsid w:val="00D775A5"/>
    <w:rsid w:val="00D7778E"/>
    <w:rsid w:val="00D777E5"/>
    <w:rsid w:val="00D77856"/>
    <w:rsid w:val="00D779BE"/>
    <w:rsid w:val="00D77A41"/>
    <w:rsid w:val="00D77C16"/>
    <w:rsid w:val="00D77F66"/>
    <w:rsid w:val="00D80103"/>
    <w:rsid w:val="00D802DD"/>
    <w:rsid w:val="00D80385"/>
    <w:rsid w:val="00D8054E"/>
    <w:rsid w:val="00D807B6"/>
    <w:rsid w:val="00D80857"/>
    <w:rsid w:val="00D809B9"/>
    <w:rsid w:val="00D80AB3"/>
    <w:rsid w:val="00D80AB9"/>
    <w:rsid w:val="00D80B10"/>
    <w:rsid w:val="00D80B22"/>
    <w:rsid w:val="00D80BFC"/>
    <w:rsid w:val="00D80C92"/>
    <w:rsid w:val="00D80CBF"/>
    <w:rsid w:val="00D80D8C"/>
    <w:rsid w:val="00D80F0B"/>
    <w:rsid w:val="00D80F2E"/>
    <w:rsid w:val="00D80F33"/>
    <w:rsid w:val="00D80F39"/>
    <w:rsid w:val="00D81112"/>
    <w:rsid w:val="00D8112B"/>
    <w:rsid w:val="00D8129A"/>
    <w:rsid w:val="00D812C8"/>
    <w:rsid w:val="00D812E7"/>
    <w:rsid w:val="00D81340"/>
    <w:rsid w:val="00D815B5"/>
    <w:rsid w:val="00D815F7"/>
    <w:rsid w:val="00D816C5"/>
    <w:rsid w:val="00D81C35"/>
    <w:rsid w:val="00D81E75"/>
    <w:rsid w:val="00D81F3B"/>
    <w:rsid w:val="00D81FE2"/>
    <w:rsid w:val="00D8202F"/>
    <w:rsid w:val="00D82151"/>
    <w:rsid w:val="00D821F1"/>
    <w:rsid w:val="00D823B4"/>
    <w:rsid w:val="00D823D7"/>
    <w:rsid w:val="00D82542"/>
    <w:rsid w:val="00D827A2"/>
    <w:rsid w:val="00D828CF"/>
    <w:rsid w:val="00D82951"/>
    <w:rsid w:val="00D82A08"/>
    <w:rsid w:val="00D82A42"/>
    <w:rsid w:val="00D82CEC"/>
    <w:rsid w:val="00D82FE0"/>
    <w:rsid w:val="00D83186"/>
    <w:rsid w:val="00D8324E"/>
    <w:rsid w:val="00D83439"/>
    <w:rsid w:val="00D83551"/>
    <w:rsid w:val="00D835F5"/>
    <w:rsid w:val="00D83622"/>
    <w:rsid w:val="00D83673"/>
    <w:rsid w:val="00D83686"/>
    <w:rsid w:val="00D83897"/>
    <w:rsid w:val="00D83936"/>
    <w:rsid w:val="00D83A09"/>
    <w:rsid w:val="00D83A8F"/>
    <w:rsid w:val="00D83B91"/>
    <w:rsid w:val="00D83FA7"/>
    <w:rsid w:val="00D84098"/>
    <w:rsid w:val="00D845CC"/>
    <w:rsid w:val="00D8487B"/>
    <w:rsid w:val="00D8492A"/>
    <w:rsid w:val="00D84948"/>
    <w:rsid w:val="00D84A25"/>
    <w:rsid w:val="00D84AC6"/>
    <w:rsid w:val="00D84B93"/>
    <w:rsid w:val="00D84D4A"/>
    <w:rsid w:val="00D84DA2"/>
    <w:rsid w:val="00D84EF8"/>
    <w:rsid w:val="00D84F5C"/>
    <w:rsid w:val="00D84FA9"/>
    <w:rsid w:val="00D84FDA"/>
    <w:rsid w:val="00D85040"/>
    <w:rsid w:val="00D851E1"/>
    <w:rsid w:val="00D85242"/>
    <w:rsid w:val="00D854D1"/>
    <w:rsid w:val="00D855DF"/>
    <w:rsid w:val="00D85773"/>
    <w:rsid w:val="00D858A3"/>
    <w:rsid w:val="00D85984"/>
    <w:rsid w:val="00D85B65"/>
    <w:rsid w:val="00D85C3D"/>
    <w:rsid w:val="00D85C85"/>
    <w:rsid w:val="00D85CD8"/>
    <w:rsid w:val="00D85E64"/>
    <w:rsid w:val="00D86289"/>
    <w:rsid w:val="00D8637F"/>
    <w:rsid w:val="00D8648B"/>
    <w:rsid w:val="00D8672B"/>
    <w:rsid w:val="00D86C6A"/>
    <w:rsid w:val="00D86E37"/>
    <w:rsid w:val="00D86F93"/>
    <w:rsid w:val="00D86F9F"/>
    <w:rsid w:val="00D870B5"/>
    <w:rsid w:val="00D87141"/>
    <w:rsid w:val="00D87163"/>
    <w:rsid w:val="00D87185"/>
    <w:rsid w:val="00D8736B"/>
    <w:rsid w:val="00D873CB"/>
    <w:rsid w:val="00D873D1"/>
    <w:rsid w:val="00D87642"/>
    <w:rsid w:val="00D87776"/>
    <w:rsid w:val="00D8781F"/>
    <w:rsid w:val="00D878A7"/>
    <w:rsid w:val="00D878F2"/>
    <w:rsid w:val="00D879C4"/>
    <w:rsid w:val="00D87B85"/>
    <w:rsid w:val="00D87D4C"/>
    <w:rsid w:val="00D87D6B"/>
    <w:rsid w:val="00D87F99"/>
    <w:rsid w:val="00D87FF3"/>
    <w:rsid w:val="00D90280"/>
    <w:rsid w:val="00D902B1"/>
    <w:rsid w:val="00D905EA"/>
    <w:rsid w:val="00D90747"/>
    <w:rsid w:val="00D907BB"/>
    <w:rsid w:val="00D909B1"/>
    <w:rsid w:val="00D90A0A"/>
    <w:rsid w:val="00D90CA3"/>
    <w:rsid w:val="00D90F57"/>
    <w:rsid w:val="00D911DB"/>
    <w:rsid w:val="00D9120F"/>
    <w:rsid w:val="00D914A4"/>
    <w:rsid w:val="00D914A5"/>
    <w:rsid w:val="00D914E6"/>
    <w:rsid w:val="00D9156A"/>
    <w:rsid w:val="00D91663"/>
    <w:rsid w:val="00D91757"/>
    <w:rsid w:val="00D91814"/>
    <w:rsid w:val="00D91A72"/>
    <w:rsid w:val="00D91DFE"/>
    <w:rsid w:val="00D91E50"/>
    <w:rsid w:val="00D92062"/>
    <w:rsid w:val="00D920A0"/>
    <w:rsid w:val="00D92261"/>
    <w:rsid w:val="00D922AF"/>
    <w:rsid w:val="00D9231B"/>
    <w:rsid w:val="00D9255A"/>
    <w:rsid w:val="00D926D7"/>
    <w:rsid w:val="00D9286A"/>
    <w:rsid w:val="00D9292A"/>
    <w:rsid w:val="00D92A9D"/>
    <w:rsid w:val="00D92B93"/>
    <w:rsid w:val="00D92CFD"/>
    <w:rsid w:val="00D92DF2"/>
    <w:rsid w:val="00D930EE"/>
    <w:rsid w:val="00D9323F"/>
    <w:rsid w:val="00D9324F"/>
    <w:rsid w:val="00D934E4"/>
    <w:rsid w:val="00D9354D"/>
    <w:rsid w:val="00D9355E"/>
    <w:rsid w:val="00D93581"/>
    <w:rsid w:val="00D93588"/>
    <w:rsid w:val="00D9368D"/>
    <w:rsid w:val="00D93AE6"/>
    <w:rsid w:val="00D93BC9"/>
    <w:rsid w:val="00D93BDE"/>
    <w:rsid w:val="00D93C32"/>
    <w:rsid w:val="00D93C75"/>
    <w:rsid w:val="00D93CB3"/>
    <w:rsid w:val="00D93CCD"/>
    <w:rsid w:val="00D93D94"/>
    <w:rsid w:val="00D93E6A"/>
    <w:rsid w:val="00D93EA7"/>
    <w:rsid w:val="00D93F3A"/>
    <w:rsid w:val="00D93F71"/>
    <w:rsid w:val="00D93FDA"/>
    <w:rsid w:val="00D94075"/>
    <w:rsid w:val="00D9416C"/>
    <w:rsid w:val="00D94201"/>
    <w:rsid w:val="00D94281"/>
    <w:rsid w:val="00D94381"/>
    <w:rsid w:val="00D946ED"/>
    <w:rsid w:val="00D94740"/>
    <w:rsid w:val="00D947D6"/>
    <w:rsid w:val="00D94902"/>
    <w:rsid w:val="00D949D2"/>
    <w:rsid w:val="00D94A12"/>
    <w:rsid w:val="00D94A23"/>
    <w:rsid w:val="00D94B9C"/>
    <w:rsid w:val="00D94CB2"/>
    <w:rsid w:val="00D94EAD"/>
    <w:rsid w:val="00D94F7F"/>
    <w:rsid w:val="00D95108"/>
    <w:rsid w:val="00D95371"/>
    <w:rsid w:val="00D953EF"/>
    <w:rsid w:val="00D9542C"/>
    <w:rsid w:val="00D95482"/>
    <w:rsid w:val="00D9563D"/>
    <w:rsid w:val="00D95A49"/>
    <w:rsid w:val="00D95A8B"/>
    <w:rsid w:val="00D95CAA"/>
    <w:rsid w:val="00D95D5A"/>
    <w:rsid w:val="00D95D80"/>
    <w:rsid w:val="00D95DE2"/>
    <w:rsid w:val="00D95E88"/>
    <w:rsid w:val="00D95F39"/>
    <w:rsid w:val="00D95F6B"/>
    <w:rsid w:val="00D96109"/>
    <w:rsid w:val="00D961E3"/>
    <w:rsid w:val="00D962CF"/>
    <w:rsid w:val="00D96325"/>
    <w:rsid w:val="00D9637C"/>
    <w:rsid w:val="00D96385"/>
    <w:rsid w:val="00D96447"/>
    <w:rsid w:val="00D967EF"/>
    <w:rsid w:val="00D96876"/>
    <w:rsid w:val="00D968D5"/>
    <w:rsid w:val="00D9692D"/>
    <w:rsid w:val="00D96B20"/>
    <w:rsid w:val="00D96C1F"/>
    <w:rsid w:val="00D96CC2"/>
    <w:rsid w:val="00D96ED0"/>
    <w:rsid w:val="00D96EED"/>
    <w:rsid w:val="00D97056"/>
    <w:rsid w:val="00D970D6"/>
    <w:rsid w:val="00D9731C"/>
    <w:rsid w:val="00D973B0"/>
    <w:rsid w:val="00D97663"/>
    <w:rsid w:val="00D97A78"/>
    <w:rsid w:val="00D97ABE"/>
    <w:rsid w:val="00D97C55"/>
    <w:rsid w:val="00D97E61"/>
    <w:rsid w:val="00D97EF0"/>
    <w:rsid w:val="00D97FA9"/>
    <w:rsid w:val="00DA00A3"/>
    <w:rsid w:val="00DA00E0"/>
    <w:rsid w:val="00DA022E"/>
    <w:rsid w:val="00DA0537"/>
    <w:rsid w:val="00DA0591"/>
    <w:rsid w:val="00DA065C"/>
    <w:rsid w:val="00DA0716"/>
    <w:rsid w:val="00DA0744"/>
    <w:rsid w:val="00DA076E"/>
    <w:rsid w:val="00DA07F8"/>
    <w:rsid w:val="00DA0917"/>
    <w:rsid w:val="00DA093C"/>
    <w:rsid w:val="00DA0BD3"/>
    <w:rsid w:val="00DA0CE5"/>
    <w:rsid w:val="00DA0FC6"/>
    <w:rsid w:val="00DA1077"/>
    <w:rsid w:val="00DA114F"/>
    <w:rsid w:val="00DA14B4"/>
    <w:rsid w:val="00DA14FD"/>
    <w:rsid w:val="00DA1673"/>
    <w:rsid w:val="00DA16EF"/>
    <w:rsid w:val="00DA1A20"/>
    <w:rsid w:val="00DA1A5D"/>
    <w:rsid w:val="00DA1B61"/>
    <w:rsid w:val="00DA1CA5"/>
    <w:rsid w:val="00DA1CCE"/>
    <w:rsid w:val="00DA1DFE"/>
    <w:rsid w:val="00DA1E59"/>
    <w:rsid w:val="00DA1E5D"/>
    <w:rsid w:val="00DA1FE1"/>
    <w:rsid w:val="00DA2031"/>
    <w:rsid w:val="00DA20BF"/>
    <w:rsid w:val="00DA20F2"/>
    <w:rsid w:val="00DA211D"/>
    <w:rsid w:val="00DA218D"/>
    <w:rsid w:val="00DA220B"/>
    <w:rsid w:val="00DA240B"/>
    <w:rsid w:val="00DA243C"/>
    <w:rsid w:val="00DA25DB"/>
    <w:rsid w:val="00DA2929"/>
    <w:rsid w:val="00DA29E0"/>
    <w:rsid w:val="00DA2C22"/>
    <w:rsid w:val="00DA2D88"/>
    <w:rsid w:val="00DA2DFA"/>
    <w:rsid w:val="00DA2E18"/>
    <w:rsid w:val="00DA2E30"/>
    <w:rsid w:val="00DA2FDB"/>
    <w:rsid w:val="00DA3080"/>
    <w:rsid w:val="00DA3098"/>
    <w:rsid w:val="00DA3138"/>
    <w:rsid w:val="00DA3208"/>
    <w:rsid w:val="00DA3242"/>
    <w:rsid w:val="00DA35A9"/>
    <w:rsid w:val="00DA35BD"/>
    <w:rsid w:val="00DA3640"/>
    <w:rsid w:val="00DA3682"/>
    <w:rsid w:val="00DA3814"/>
    <w:rsid w:val="00DA3993"/>
    <w:rsid w:val="00DA39B7"/>
    <w:rsid w:val="00DA3A34"/>
    <w:rsid w:val="00DA3A76"/>
    <w:rsid w:val="00DA3B7C"/>
    <w:rsid w:val="00DA3C34"/>
    <w:rsid w:val="00DA3D54"/>
    <w:rsid w:val="00DA3E3D"/>
    <w:rsid w:val="00DA3E93"/>
    <w:rsid w:val="00DA3F26"/>
    <w:rsid w:val="00DA3F8B"/>
    <w:rsid w:val="00DA4431"/>
    <w:rsid w:val="00DA4785"/>
    <w:rsid w:val="00DA4807"/>
    <w:rsid w:val="00DA4947"/>
    <w:rsid w:val="00DA4AB5"/>
    <w:rsid w:val="00DA501B"/>
    <w:rsid w:val="00DA5065"/>
    <w:rsid w:val="00DA50AB"/>
    <w:rsid w:val="00DA5301"/>
    <w:rsid w:val="00DA5351"/>
    <w:rsid w:val="00DA5399"/>
    <w:rsid w:val="00DA5462"/>
    <w:rsid w:val="00DA5469"/>
    <w:rsid w:val="00DA56B7"/>
    <w:rsid w:val="00DA56D2"/>
    <w:rsid w:val="00DA56F0"/>
    <w:rsid w:val="00DA57CC"/>
    <w:rsid w:val="00DA59B7"/>
    <w:rsid w:val="00DA59E0"/>
    <w:rsid w:val="00DA5A17"/>
    <w:rsid w:val="00DA5ADE"/>
    <w:rsid w:val="00DA5B03"/>
    <w:rsid w:val="00DA5BCF"/>
    <w:rsid w:val="00DA5D9A"/>
    <w:rsid w:val="00DA5DE1"/>
    <w:rsid w:val="00DA5F44"/>
    <w:rsid w:val="00DA6026"/>
    <w:rsid w:val="00DA61EA"/>
    <w:rsid w:val="00DA622C"/>
    <w:rsid w:val="00DA632E"/>
    <w:rsid w:val="00DA635C"/>
    <w:rsid w:val="00DA650F"/>
    <w:rsid w:val="00DA6541"/>
    <w:rsid w:val="00DA66EB"/>
    <w:rsid w:val="00DA6907"/>
    <w:rsid w:val="00DA69F5"/>
    <w:rsid w:val="00DA6B05"/>
    <w:rsid w:val="00DA6B7F"/>
    <w:rsid w:val="00DA6BB8"/>
    <w:rsid w:val="00DA6BD2"/>
    <w:rsid w:val="00DA6C47"/>
    <w:rsid w:val="00DA6D7C"/>
    <w:rsid w:val="00DA6DEC"/>
    <w:rsid w:val="00DA6F11"/>
    <w:rsid w:val="00DA711C"/>
    <w:rsid w:val="00DA719E"/>
    <w:rsid w:val="00DA71F5"/>
    <w:rsid w:val="00DA73E7"/>
    <w:rsid w:val="00DA74B8"/>
    <w:rsid w:val="00DA74BA"/>
    <w:rsid w:val="00DA7648"/>
    <w:rsid w:val="00DA76D5"/>
    <w:rsid w:val="00DA771C"/>
    <w:rsid w:val="00DA776A"/>
    <w:rsid w:val="00DA7798"/>
    <w:rsid w:val="00DA7900"/>
    <w:rsid w:val="00DA79DE"/>
    <w:rsid w:val="00DA7B96"/>
    <w:rsid w:val="00DA7C8B"/>
    <w:rsid w:val="00DA7E1F"/>
    <w:rsid w:val="00DA7F31"/>
    <w:rsid w:val="00DB0049"/>
    <w:rsid w:val="00DB004F"/>
    <w:rsid w:val="00DB020B"/>
    <w:rsid w:val="00DB0482"/>
    <w:rsid w:val="00DB07FF"/>
    <w:rsid w:val="00DB08C2"/>
    <w:rsid w:val="00DB094D"/>
    <w:rsid w:val="00DB09AC"/>
    <w:rsid w:val="00DB0DF9"/>
    <w:rsid w:val="00DB1085"/>
    <w:rsid w:val="00DB1381"/>
    <w:rsid w:val="00DB1490"/>
    <w:rsid w:val="00DB14D8"/>
    <w:rsid w:val="00DB14E0"/>
    <w:rsid w:val="00DB14ED"/>
    <w:rsid w:val="00DB150B"/>
    <w:rsid w:val="00DB153F"/>
    <w:rsid w:val="00DB1550"/>
    <w:rsid w:val="00DB15E5"/>
    <w:rsid w:val="00DB1939"/>
    <w:rsid w:val="00DB1989"/>
    <w:rsid w:val="00DB1A25"/>
    <w:rsid w:val="00DB1C81"/>
    <w:rsid w:val="00DB1D89"/>
    <w:rsid w:val="00DB1DB1"/>
    <w:rsid w:val="00DB1EA2"/>
    <w:rsid w:val="00DB1FC7"/>
    <w:rsid w:val="00DB212D"/>
    <w:rsid w:val="00DB29FE"/>
    <w:rsid w:val="00DB2C61"/>
    <w:rsid w:val="00DB30E0"/>
    <w:rsid w:val="00DB3104"/>
    <w:rsid w:val="00DB313A"/>
    <w:rsid w:val="00DB3204"/>
    <w:rsid w:val="00DB3294"/>
    <w:rsid w:val="00DB3358"/>
    <w:rsid w:val="00DB33B9"/>
    <w:rsid w:val="00DB3488"/>
    <w:rsid w:val="00DB3508"/>
    <w:rsid w:val="00DB386F"/>
    <w:rsid w:val="00DB3882"/>
    <w:rsid w:val="00DB38C8"/>
    <w:rsid w:val="00DB3CE4"/>
    <w:rsid w:val="00DB3DB3"/>
    <w:rsid w:val="00DB3DBB"/>
    <w:rsid w:val="00DB3F4A"/>
    <w:rsid w:val="00DB3F9D"/>
    <w:rsid w:val="00DB4149"/>
    <w:rsid w:val="00DB4231"/>
    <w:rsid w:val="00DB461D"/>
    <w:rsid w:val="00DB4637"/>
    <w:rsid w:val="00DB46D6"/>
    <w:rsid w:val="00DB4764"/>
    <w:rsid w:val="00DB482C"/>
    <w:rsid w:val="00DB48C0"/>
    <w:rsid w:val="00DB4BF8"/>
    <w:rsid w:val="00DB4C68"/>
    <w:rsid w:val="00DB4E87"/>
    <w:rsid w:val="00DB502B"/>
    <w:rsid w:val="00DB512E"/>
    <w:rsid w:val="00DB5173"/>
    <w:rsid w:val="00DB52B1"/>
    <w:rsid w:val="00DB52C7"/>
    <w:rsid w:val="00DB5573"/>
    <w:rsid w:val="00DB55D7"/>
    <w:rsid w:val="00DB563F"/>
    <w:rsid w:val="00DB56BF"/>
    <w:rsid w:val="00DB57C0"/>
    <w:rsid w:val="00DB581F"/>
    <w:rsid w:val="00DB5860"/>
    <w:rsid w:val="00DB58DF"/>
    <w:rsid w:val="00DB5A59"/>
    <w:rsid w:val="00DB5B4F"/>
    <w:rsid w:val="00DB5B54"/>
    <w:rsid w:val="00DB5B83"/>
    <w:rsid w:val="00DB5B98"/>
    <w:rsid w:val="00DB5C1A"/>
    <w:rsid w:val="00DB5CCD"/>
    <w:rsid w:val="00DB5D35"/>
    <w:rsid w:val="00DB5D72"/>
    <w:rsid w:val="00DB5DF8"/>
    <w:rsid w:val="00DB5ECA"/>
    <w:rsid w:val="00DB5F7D"/>
    <w:rsid w:val="00DB611E"/>
    <w:rsid w:val="00DB62CE"/>
    <w:rsid w:val="00DB635A"/>
    <w:rsid w:val="00DB6498"/>
    <w:rsid w:val="00DB6553"/>
    <w:rsid w:val="00DB661E"/>
    <w:rsid w:val="00DB67E2"/>
    <w:rsid w:val="00DB6950"/>
    <w:rsid w:val="00DB6BC7"/>
    <w:rsid w:val="00DB6C23"/>
    <w:rsid w:val="00DB6DE8"/>
    <w:rsid w:val="00DB6E2F"/>
    <w:rsid w:val="00DB6E6E"/>
    <w:rsid w:val="00DB6EC5"/>
    <w:rsid w:val="00DB6F8E"/>
    <w:rsid w:val="00DB7065"/>
    <w:rsid w:val="00DB70DD"/>
    <w:rsid w:val="00DB72C9"/>
    <w:rsid w:val="00DB74E5"/>
    <w:rsid w:val="00DB74E9"/>
    <w:rsid w:val="00DB7591"/>
    <w:rsid w:val="00DB75FA"/>
    <w:rsid w:val="00DB7654"/>
    <w:rsid w:val="00DB76D5"/>
    <w:rsid w:val="00DB76EF"/>
    <w:rsid w:val="00DB774C"/>
    <w:rsid w:val="00DB782A"/>
    <w:rsid w:val="00DB7901"/>
    <w:rsid w:val="00DB7A71"/>
    <w:rsid w:val="00DB7B53"/>
    <w:rsid w:val="00DB7C44"/>
    <w:rsid w:val="00DB7C62"/>
    <w:rsid w:val="00DB7CA6"/>
    <w:rsid w:val="00DB7D64"/>
    <w:rsid w:val="00DB7D8A"/>
    <w:rsid w:val="00DB7DA3"/>
    <w:rsid w:val="00DB7DB0"/>
    <w:rsid w:val="00DC007D"/>
    <w:rsid w:val="00DC0216"/>
    <w:rsid w:val="00DC021F"/>
    <w:rsid w:val="00DC028B"/>
    <w:rsid w:val="00DC0425"/>
    <w:rsid w:val="00DC04D9"/>
    <w:rsid w:val="00DC0765"/>
    <w:rsid w:val="00DC07BE"/>
    <w:rsid w:val="00DC086C"/>
    <w:rsid w:val="00DC08A6"/>
    <w:rsid w:val="00DC0BC9"/>
    <w:rsid w:val="00DC0BF6"/>
    <w:rsid w:val="00DC0C05"/>
    <w:rsid w:val="00DC0D77"/>
    <w:rsid w:val="00DC0D93"/>
    <w:rsid w:val="00DC0DB8"/>
    <w:rsid w:val="00DC0EB8"/>
    <w:rsid w:val="00DC0F47"/>
    <w:rsid w:val="00DC10F5"/>
    <w:rsid w:val="00DC1345"/>
    <w:rsid w:val="00DC14A6"/>
    <w:rsid w:val="00DC1665"/>
    <w:rsid w:val="00DC169F"/>
    <w:rsid w:val="00DC1743"/>
    <w:rsid w:val="00DC185A"/>
    <w:rsid w:val="00DC1B72"/>
    <w:rsid w:val="00DC1CAD"/>
    <w:rsid w:val="00DC1CD9"/>
    <w:rsid w:val="00DC1D3D"/>
    <w:rsid w:val="00DC1E9F"/>
    <w:rsid w:val="00DC1F4B"/>
    <w:rsid w:val="00DC1FD6"/>
    <w:rsid w:val="00DC20D2"/>
    <w:rsid w:val="00DC21A1"/>
    <w:rsid w:val="00DC22F6"/>
    <w:rsid w:val="00DC23AA"/>
    <w:rsid w:val="00DC2471"/>
    <w:rsid w:val="00DC24F8"/>
    <w:rsid w:val="00DC252A"/>
    <w:rsid w:val="00DC2663"/>
    <w:rsid w:val="00DC2687"/>
    <w:rsid w:val="00DC276F"/>
    <w:rsid w:val="00DC279A"/>
    <w:rsid w:val="00DC279F"/>
    <w:rsid w:val="00DC2893"/>
    <w:rsid w:val="00DC28A3"/>
    <w:rsid w:val="00DC295D"/>
    <w:rsid w:val="00DC298B"/>
    <w:rsid w:val="00DC2C30"/>
    <w:rsid w:val="00DC2CC0"/>
    <w:rsid w:val="00DC2CD2"/>
    <w:rsid w:val="00DC2D33"/>
    <w:rsid w:val="00DC2EB2"/>
    <w:rsid w:val="00DC2FF7"/>
    <w:rsid w:val="00DC3087"/>
    <w:rsid w:val="00DC30CB"/>
    <w:rsid w:val="00DC3125"/>
    <w:rsid w:val="00DC313D"/>
    <w:rsid w:val="00DC314E"/>
    <w:rsid w:val="00DC3293"/>
    <w:rsid w:val="00DC372D"/>
    <w:rsid w:val="00DC37F9"/>
    <w:rsid w:val="00DC385A"/>
    <w:rsid w:val="00DC3921"/>
    <w:rsid w:val="00DC3958"/>
    <w:rsid w:val="00DC3A31"/>
    <w:rsid w:val="00DC3AA0"/>
    <w:rsid w:val="00DC3B7A"/>
    <w:rsid w:val="00DC3DD4"/>
    <w:rsid w:val="00DC3F1E"/>
    <w:rsid w:val="00DC3F54"/>
    <w:rsid w:val="00DC3FE3"/>
    <w:rsid w:val="00DC41CF"/>
    <w:rsid w:val="00DC43C1"/>
    <w:rsid w:val="00DC44DC"/>
    <w:rsid w:val="00DC45E1"/>
    <w:rsid w:val="00DC47D0"/>
    <w:rsid w:val="00DC47F8"/>
    <w:rsid w:val="00DC4815"/>
    <w:rsid w:val="00DC4A03"/>
    <w:rsid w:val="00DC4A36"/>
    <w:rsid w:val="00DC4B98"/>
    <w:rsid w:val="00DC4CFB"/>
    <w:rsid w:val="00DC4EDC"/>
    <w:rsid w:val="00DC4FCB"/>
    <w:rsid w:val="00DC50C4"/>
    <w:rsid w:val="00DC5379"/>
    <w:rsid w:val="00DC552D"/>
    <w:rsid w:val="00DC5653"/>
    <w:rsid w:val="00DC58E6"/>
    <w:rsid w:val="00DC593E"/>
    <w:rsid w:val="00DC5A8F"/>
    <w:rsid w:val="00DC5C60"/>
    <w:rsid w:val="00DC5DC4"/>
    <w:rsid w:val="00DC5E77"/>
    <w:rsid w:val="00DC5EFA"/>
    <w:rsid w:val="00DC6110"/>
    <w:rsid w:val="00DC6199"/>
    <w:rsid w:val="00DC61FD"/>
    <w:rsid w:val="00DC6280"/>
    <w:rsid w:val="00DC62BA"/>
    <w:rsid w:val="00DC6303"/>
    <w:rsid w:val="00DC63CD"/>
    <w:rsid w:val="00DC6747"/>
    <w:rsid w:val="00DC6B31"/>
    <w:rsid w:val="00DC6C18"/>
    <w:rsid w:val="00DC6D3C"/>
    <w:rsid w:val="00DC6DC9"/>
    <w:rsid w:val="00DC6F26"/>
    <w:rsid w:val="00DC6F92"/>
    <w:rsid w:val="00DC6FDB"/>
    <w:rsid w:val="00DC7067"/>
    <w:rsid w:val="00DC7423"/>
    <w:rsid w:val="00DC744F"/>
    <w:rsid w:val="00DC7516"/>
    <w:rsid w:val="00DC7575"/>
    <w:rsid w:val="00DC75F1"/>
    <w:rsid w:val="00DC75F7"/>
    <w:rsid w:val="00DC76CE"/>
    <w:rsid w:val="00DC7766"/>
    <w:rsid w:val="00DC77EC"/>
    <w:rsid w:val="00DC7831"/>
    <w:rsid w:val="00DC7ADD"/>
    <w:rsid w:val="00DC7D9B"/>
    <w:rsid w:val="00DC7E40"/>
    <w:rsid w:val="00DC7E72"/>
    <w:rsid w:val="00DD02E1"/>
    <w:rsid w:val="00DD032B"/>
    <w:rsid w:val="00DD0356"/>
    <w:rsid w:val="00DD037B"/>
    <w:rsid w:val="00DD03E1"/>
    <w:rsid w:val="00DD04E8"/>
    <w:rsid w:val="00DD05E7"/>
    <w:rsid w:val="00DD0600"/>
    <w:rsid w:val="00DD065A"/>
    <w:rsid w:val="00DD0ABB"/>
    <w:rsid w:val="00DD0AF9"/>
    <w:rsid w:val="00DD0AFB"/>
    <w:rsid w:val="00DD0C64"/>
    <w:rsid w:val="00DD0E7F"/>
    <w:rsid w:val="00DD0EF3"/>
    <w:rsid w:val="00DD0FC1"/>
    <w:rsid w:val="00DD101B"/>
    <w:rsid w:val="00DD1047"/>
    <w:rsid w:val="00DD105D"/>
    <w:rsid w:val="00DD10A4"/>
    <w:rsid w:val="00DD1102"/>
    <w:rsid w:val="00DD11AE"/>
    <w:rsid w:val="00DD11BF"/>
    <w:rsid w:val="00DD1449"/>
    <w:rsid w:val="00DD14CE"/>
    <w:rsid w:val="00DD16C1"/>
    <w:rsid w:val="00DD1986"/>
    <w:rsid w:val="00DD1CE9"/>
    <w:rsid w:val="00DD1EED"/>
    <w:rsid w:val="00DD2102"/>
    <w:rsid w:val="00DD2119"/>
    <w:rsid w:val="00DD2238"/>
    <w:rsid w:val="00DD235B"/>
    <w:rsid w:val="00DD24CE"/>
    <w:rsid w:val="00DD2626"/>
    <w:rsid w:val="00DD27E2"/>
    <w:rsid w:val="00DD2AEF"/>
    <w:rsid w:val="00DD2CCC"/>
    <w:rsid w:val="00DD2DC4"/>
    <w:rsid w:val="00DD2E10"/>
    <w:rsid w:val="00DD2E79"/>
    <w:rsid w:val="00DD2E84"/>
    <w:rsid w:val="00DD2EA5"/>
    <w:rsid w:val="00DD2F6E"/>
    <w:rsid w:val="00DD2FDA"/>
    <w:rsid w:val="00DD3133"/>
    <w:rsid w:val="00DD3138"/>
    <w:rsid w:val="00DD316F"/>
    <w:rsid w:val="00DD31B3"/>
    <w:rsid w:val="00DD32A7"/>
    <w:rsid w:val="00DD3485"/>
    <w:rsid w:val="00DD34E7"/>
    <w:rsid w:val="00DD3562"/>
    <w:rsid w:val="00DD35BA"/>
    <w:rsid w:val="00DD3603"/>
    <w:rsid w:val="00DD374B"/>
    <w:rsid w:val="00DD379A"/>
    <w:rsid w:val="00DD3A62"/>
    <w:rsid w:val="00DD3B38"/>
    <w:rsid w:val="00DD3B96"/>
    <w:rsid w:val="00DD3C44"/>
    <w:rsid w:val="00DD3E75"/>
    <w:rsid w:val="00DD3EA5"/>
    <w:rsid w:val="00DD3F77"/>
    <w:rsid w:val="00DD3FF8"/>
    <w:rsid w:val="00DD405C"/>
    <w:rsid w:val="00DD4075"/>
    <w:rsid w:val="00DD40FB"/>
    <w:rsid w:val="00DD447F"/>
    <w:rsid w:val="00DD45E0"/>
    <w:rsid w:val="00DD460D"/>
    <w:rsid w:val="00DD4620"/>
    <w:rsid w:val="00DD480C"/>
    <w:rsid w:val="00DD48BB"/>
    <w:rsid w:val="00DD4990"/>
    <w:rsid w:val="00DD49A9"/>
    <w:rsid w:val="00DD49E9"/>
    <w:rsid w:val="00DD4A14"/>
    <w:rsid w:val="00DD4B0C"/>
    <w:rsid w:val="00DD4B2F"/>
    <w:rsid w:val="00DD4E94"/>
    <w:rsid w:val="00DD4FCB"/>
    <w:rsid w:val="00DD5094"/>
    <w:rsid w:val="00DD511C"/>
    <w:rsid w:val="00DD52EC"/>
    <w:rsid w:val="00DD5440"/>
    <w:rsid w:val="00DD54DA"/>
    <w:rsid w:val="00DD55E7"/>
    <w:rsid w:val="00DD578F"/>
    <w:rsid w:val="00DD58A6"/>
    <w:rsid w:val="00DD59B9"/>
    <w:rsid w:val="00DD59E4"/>
    <w:rsid w:val="00DD59F1"/>
    <w:rsid w:val="00DD5D49"/>
    <w:rsid w:val="00DD5D4C"/>
    <w:rsid w:val="00DD5D88"/>
    <w:rsid w:val="00DD5DD2"/>
    <w:rsid w:val="00DD5F13"/>
    <w:rsid w:val="00DD6033"/>
    <w:rsid w:val="00DD62E0"/>
    <w:rsid w:val="00DD636D"/>
    <w:rsid w:val="00DD63B0"/>
    <w:rsid w:val="00DD6495"/>
    <w:rsid w:val="00DD6600"/>
    <w:rsid w:val="00DD6767"/>
    <w:rsid w:val="00DD69C8"/>
    <w:rsid w:val="00DD6A66"/>
    <w:rsid w:val="00DD6A75"/>
    <w:rsid w:val="00DD6A9E"/>
    <w:rsid w:val="00DD6EE3"/>
    <w:rsid w:val="00DD6F4A"/>
    <w:rsid w:val="00DD7020"/>
    <w:rsid w:val="00DD71B2"/>
    <w:rsid w:val="00DD71D2"/>
    <w:rsid w:val="00DD75A1"/>
    <w:rsid w:val="00DD75C0"/>
    <w:rsid w:val="00DD75E0"/>
    <w:rsid w:val="00DD769E"/>
    <w:rsid w:val="00DD7730"/>
    <w:rsid w:val="00DD7735"/>
    <w:rsid w:val="00DD78A0"/>
    <w:rsid w:val="00DD790C"/>
    <w:rsid w:val="00DD7946"/>
    <w:rsid w:val="00DD79D8"/>
    <w:rsid w:val="00DD7BE3"/>
    <w:rsid w:val="00DD7C55"/>
    <w:rsid w:val="00DD7FB3"/>
    <w:rsid w:val="00DE01E6"/>
    <w:rsid w:val="00DE04EF"/>
    <w:rsid w:val="00DE0750"/>
    <w:rsid w:val="00DE0804"/>
    <w:rsid w:val="00DE081F"/>
    <w:rsid w:val="00DE085F"/>
    <w:rsid w:val="00DE0941"/>
    <w:rsid w:val="00DE0948"/>
    <w:rsid w:val="00DE0A54"/>
    <w:rsid w:val="00DE0B66"/>
    <w:rsid w:val="00DE0E25"/>
    <w:rsid w:val="00DE1139"/>
    <w:rsid w:val="00DE1192"/>
    <w:rsid w:val="00DE1678"/>
    <w:rsid w:val="00DE16F8"/>
    <w:rsid w:val="00DE17A9"/>
    <w:rsid w:val="00DE1830"/>
    <w:rsid w:val="00DE18D5"/>
    <w:rsid w:val="00DE1C66"/>
    <w:rsid w:val="00DE1CB3"/>
    <w:rsid w:val="00DE1D43"/>
    <w:rsid w:val="00DE1DA0"/>
    <w:rsid w:val="00DE1E2F"/>
    <w:rsid w:val="00DE1F4A"/>
    <w:rsid w:val="00DE1F4E"/>
    <w:rsid w:val="00DE2086"/>
    <w:rsid w:val="00DE20D0"/>
    <w:rsid w:val="00DE2174"/>
    <w:rsid w:val="00DE235A"/>
    <w:rsid w:val="00DE2456"/>
    <w:rsid w:val="00DE2630"/>
    <w:rsid w:val="00DE2693"/>
    <w:rsid w:val="00DE2806"/>
    <w:rsid w:val="00DE28B2"/>
    <w:rsid w:val="00DE292A"/>
    <w:rsid w:val="00DE2930"/>
    <w:rsid w:val="00DE2966"/>
    <w:rsid w:val="00DE2C01"/>
    <w:rsid w:val="00DE2C63"/>
    <w:rsid w:val="00DE2CEE"/>
    <w:rsid w:val="00DE2D50"/>
    <w:rsid w:val="00DE2E4C"/>
    <w:rsid w:val="00DE2F3C"/>
    <w:rsid w:val="00DE3118"/>
    <w:rsid w:val="00DE337D"/>
    <w:rsid w:val="00DE33E9"/>
    <w:rsid w:val="00DE33EC"/>
    <w:rsid w:val="00DE372C"/>
    <w:rsid w:val="00DE380C"/>
    <w:rsid w:val="00DE3820"/>
    <w:rsid w:val="00DE382C"/>
    <w:rsid w:val="00DE3932"/>
    <w:rsid w:val="00DE3AD8"/>
    <w:rsid w:val="00DE3B42"/>
    <w:rsid w:val="00DE3C24"/>
    <w:rsid w:val="00DE3C3D"/>
    <w:rsid w:val="00DE3CC0"/>
    <w:rsid w:val="00DE3D10"/>
    <w:rsid w:val="00DE3DB7"/>
    <w:rsid w:val="00DE3DED"/>
    <w:rsid w:val="00DE3DF1"/>
    <w:rsid w:val="00DE3EC4"/>
    <w:rsid w:val="00DE402A"/>
    <w:rsid w:val="00DE428C"/>
    <w:rsid w:val="00DE43AB"/>
    <w:rsid w:val="00DE4409"/>
    <w:rsid w:val="00DE4685"/>
    <w:rsid w:val="00DE4728"/>
    <w:rsid w:val="00DE4950"/>
    <w:rsid w:val="00DE49E1"/>
    <w:rsid w:val="00DE4A47"/>
    <w:rsid w:val="00DE4B59"/>
    <w:rsid w:val="00DE4B91"/>
    <w:rsid w:val="00DE4BC1"/>
    <w:rsid w:val="00DE4BC6"/>
    <w:rsid w:val="00DE4D0D"/>
    <w:rsid w:val="00DE4D88"/>
    <w:rsid w:val="00DE4DC4"/>
    <w:rsid w:val="00DE4E09"/>
    <w:rsid w:val="00DE4EB0"/>
    <w:rsid w:val="00DE5102"/>
    <w:rsid w:val="00DE5176"/>
    <w:rsid w:val="00DE52FB"/>
    <w:rsid w:val="00DE531B"/>
    <w:rsid w:val="00DE5360"/>
    <w:rsid w:val="00DE53D3"/>
    <w:rsid w:val="00DE55E9"/>
    <w:rsid w:val="00DE5667"/>
    <w:rsid w:val="00DE56F6"/>
    <w:rsid w:val="00DE5792"/>
    <w:rsid w:val="00DE584E"/>
    <w:rsid w:val="00DE5863"/>
    <w:rsid w:val="00DE58B9"/>
    <w:rsid w:val="00DE59B9"/>
    <w:rsid w:val="00DE5B80"/>
    <w:rsid w:val="00DE5BA8"/>
    <w:rsid w:val="00DE5D74"/>
    <w:rsid w:val="00DE5E77"/>
    <w:rsid w:val="00DE60CA"/>
    <w:rsid w:val="00DE6351"/>
    <w:rsid w:val="00DE66E0"/>
    <w:rsid w:val="00DE69E3"/>
    <w:rsid w:val="00DE69F0"/>
    <w:rsid w:val="00DE6BAB"/>
    <w:rsid w:val="00DE6C72"/>
    <w:rsid w:val="00DE6D2A"/>
    <w:rsid w:val="00DE6DCC"/>
    <w:rsid w:val="00DE6DE5"/>
    <w:rsid w:val="00DE6F07"/>
    <w:rsid w:val="00DE6F0E"/>
    <w:rsid w:val="00DE700D"/>
    <w:rsid w:val="00DE7335"/>
    <w:rsid w:val="00DE73F1"/>
    <w:rsid w:val="00DE748F"/>
    <w:rsid w:val="00DE7519"/>
    <w:rsid w:val="00DE7567"/>
    <w:rsid w:val="00DE7830"/>
    <w:rsid w:val="00DE78BD"/>
    <w:rsid w:val="00DE78D8"/>
    <w:rsid w:val="00DE7935"/>
    <w:rsid w:val="00DE7962"/>
    <w:rsid w:val="00DE7A51"/>
    <w:rsid w:val="00DE7A87"/>
    <w:rsid w:val="00DE7B41"/>
    <w:rsid w:val="00DE7CE7"/>
    <w:rsid w:val="00DE7E82"/>
    <w:rsid w:val="00DF000C"/>
    <w:rsid w:val="00DF001E"/>
    <w:rsid w:val="00DF005F"/>
    <w:rsid w:val="00DF0100"/>
    <w:rsid w:val="00DF0154"/>
    <w:rsid w:val="00DF0290"/>
    <w:rsid w:val="00DF0362"/>
    <w:rsid w:val="00DF037C"/>
    <w:rsid w:val="00DF0391"/>
    <w:rsid w:val="00DF04AF"/>
    <w:rsid w:val="00DF0595"/>
    <w:rsid w:val="00DF0704"/>
    <w:rsid w:val="00DF0763"/>
    <w:rsid w:val="00DF076A"/>
    <w:rsid w:val="00DF09B6"/>
    <w:rsid w:val="00DF0A9C"/>
    <w:rsid w:val="00DF0C03"/>
    <w:rsid w:val="00DF0C98"/>
    <w:rsid w:val="00DF0CC3"/>
    <w:rsid w:val="00DF0DC2"/>
    <w:rsid w:val="00DF0DCA"/>
    <w:rsid w:val="00DF0DD4"/>
    <w:rsid w:val="00DF0FC5"/>
    <w:rsid w:val="00DF1075"/>
    <w:rsid w:val="00DF11A3"/>
    <w:rsid w:val="00DF12BC"/>
    <w:rsid w:val="00DF1414"/>
    <w:rsid w:val="00DF1425"/>
    <w:rsid w:val="00DF1428"/>
    <w:rsid w:val="00DF143B"/>
    <w:rsid w:val="00DF1499"/>
    <w:rsid w:val="00DF14B0"/>
    <w:rsid w:val="00DF14BA"/>
    <w:rsid w:val="00DF1778"/>
    <w:rsid w:val="00DF17CF"/>
    <w:rsid w:val="00DF17F0"/>
    <w:rsid w:val="00DF180B"/>
    <w:rsid w:val="00DF1838"/>
    <w:rsid w:val="00DF18E5"/>
    <w:rsid w:val="00DF19D7"/>
    <w:rsid w:val="00DF1B33"/>
    <w:rsid w:val="00DF1B95"/>
    <w:rsid w:val="00DF1CCC"/>
    <w:rsid w:val="00DF1CDF"/>
    <w:rsid w:val="00DF1D80"/>
    <w:rsid w:val="00DF1E76"/>
    <w:rsid w:val="00DF1EAF"/>
    <w:rsid w:val="00DF1F28"/>
    <w:rsid w:val="00DF1F64"/>
    <w:rsid w:val="00DF203B"/>
    <w:rsid w:val="00DF2184"/>
    <w:rsid w:val="00DF22A8"/>
    <w:rsid w:val="00DF234E"/>
    <w:rsid w:val="00DF240E"/>
    <w:rsid w:val="00DF2464"/>
    <w:rsid w:val="00DF27B8"/>
    <w:rsid w:val="00DF284A"/>
    <w:rsid w:val="00DF2894"/>
    <w:rsid w:val="00DF2901"/>
    <w:rsid w:val="00DF2902"/>
    <w:rsid w:val="00DF298F"/>
    <w:rsid w:val="00DF2B86"/>
    <w:rsid w:val="00DF2DE2"/>
    <w:rsid w:val="00DF2F10"/>
    <w:rsid w:val="00DF2F5A"/>
    <w:rsid w:val="00DF30FB"/>
    <w:rsid w:val="00DF327A"/>
    <w:rsid w:val="00DF32A4"/>
    <w:rsid w:val="00DF33D1"/>
    <w:rsid w:val="00DF347D"/>
    <w:rsid w:val="00DF34A6"/>
    <w:rsid w:val="00DF3625"/>
    <w:rsid w:val="00DF36BE"/>
    <w:rsid w:val="00DF387C"/>
    <w:rsid w:val="00DF3B8C"/>
    <w:rsid w:val="00DF3E4C"/>
    <w:rsid w:val="00DF3E6A"/>
    <w:rsid w:val="00DF3E8A"/>
    <w:rsid w:val="00DF3F29"/>
    <w:rsid w:val="00DF3F46"/>
    <w:rsid w:val="00DF3F76"/>
    <w:rsid w:val="00DF4071"/>
    <w:rsid w:val="00DF4177"/>
    <w:rsid w:val="00DF423A"/>
    <w:rsid w:val="00DF43A4"/>
    <w:rsid w:val="00DF4494"/>
    <w:rsid w:val="00DF4501"/>
    <w:rsid w:val="00DF4723"/>
    <w:rsid w:val="00DF474B"/>
    <w:rsid w:val="00DF47FD"/>
    <w:rsid w:val="00DF494A"/>
    <w:rsid w:val="00DF4F5F"/>
    <w:rsid w:val="00DF4F7F"/>
    <w:rsid w:val="00DF50E6"/>
    <w:rsid w:val="00DF5127"/>
    <w:rsid w:val="00DF518D"/>
    <w:rsid w:val="00DF5204"/>
    <w:rsid w:val="00DF52A4"/>
    <w:rsid w:val="00DF53A0"/>
    <w:rsid w:val="00DF53D9"/>
    <w:rsid w:val="00DF555E"/>
    <w:rsid w:val="00DF55F0"/>
    <w:rsid w:val="00DF56B7"/>
    <w:rsid w:val="00DF5C41"/>
    <w:rsid w:val="00DF5D15"/>
    <w:rsid w:val="00DF5DCF"/>
    <w:rsid w:val="00DF5E4B"/>
    <w:rsid w:val="00DF6027"/>
    <w:rsid w:val="00DF617B"/>
    <w:rsid w:val="00DF620A"/>
    <w:rsid w:val="00DF6249"/>
    <w:rsid w:val="00DF627D"/>
    <w:rsid w:val="00DF62BF"/>
    <w:rsid w:val="00DF62F2"/>
    <w:rsid w:val="00DF6353"/>
    <w:rsid w:val="00DF638D"/>
    <w:rsid w:val="00DF677F"/>
    <w:rsid w:val="00DF6823"/>
    <w:rsid w:val="00DF69AA"/>
    <w:rsid w:val="00DF69CD"/>
    <w:rsid w:val="00DF6C03"/>
    <w:rsid w:val="00DF6E4A"/>
    <w:rsid w:val="00DF6E78"/>
    <w:rsid w:val="00DF6E90"/>
    <w:rsid w:val="00DF6F39"/>
    <w:rsid w:val="00DF7100"/>
    <w:rsid w:val="00DF7208"/>
    <w:rsid w:val="00DF7569"/>
    <w:rsid w:val="00DF764F"/>
    <w:rsid w:val="00DF767E"/>
    <w:rsid w:val="00DF78AC"/>
    <w:rsid w:val="00DF795C"/>
    <w:rsid w:val="00DF7C83"/>
    <w:rsid w:val="00DF7C98"/>
    <w:rsid w:val="00DF7D91"/>
    <w:rsid w:val="00E002BB"/>
    <w:rsid w:val="00E002C9"/>
    <w:rsid w:val="00E002CC"/>
    <w:rsid w:val="00E003FC"/>
    <w:rsid w:val="00E0045F"/>
    <w:rsid w:val="00E0049C"/>
    <w:rsid w:val="00E00569"/>
    <w:rsid w:val="00E005B0"/>
    <w:rsid w:val="00E00769"/>
    <w:rsid w:val="00E0077F"/>
    <w:rsid w:val="00E0079C"/>
    <w:rsid w:val="00E00919"/>
    <w:rsid w:val="00E00AAF"/>
    <w:rsid w:val="00E00D2A"/>
    <w:rsid w:val="00E00E53"/>
    <w:rsid w:val="00E00E85"/>
    <w:rsid w:val="00E00F52"/>
    <w:rsid w:val="00E00F7C"/>
    <w:rsid w:val="00E0104D"/>
    <w:rsid w:val="00E010CC"/>
    <w:rsid w:val="00E01251"/>
    <w:rsid w:val="00E01380"/>
    <w:rsid w:val="00E01395"/>
    <w:rsid w:val="00E01452"/>
    <w:rsid w:val="00E0169C"/>
    <w:rsid w:val="00E017DF"/>
    <w:rsid w:val="00E01A7E"/>
    <w:rsid w:val="00E01AAF"/>
    <w:rsid w:val="00E01AB4"/>
    <w:rsid w:val="00E01E32"/>
    <w:rsid w:val="00E01FDE"/>
    <w:rsid w:val="00E02277"/>
    <w:rsid w:val="00E02317"/>
    <w:rsid w:val="00E02544"/>
    <w:rsid w:val="00E02750"/>
    <w:rsid w:val="00E028F7"/>
    <w:rsid w:val="00E02936"/>
    <w:rsid w:val="00E0296F"/>
    <w:rsid w:val="00E0299D"/>
    <w:rsid w:val="00E02B30"/>
    <w:rsid w:val="00E02C3B"/>
    <w:rsid w:val="00E02C42"/>
    <w:rsid w:val="00E02DF8"/>
    <w:rsid w:val="00E02E58"/>
    <w:rsid w:val="00E02F11"/>
    <w:rsid w:val="00E02F92"/>
    <w:rsid w:val="00E0301B"/>
    <w:rsid w:val="00E03069"/>
    <w:rsid w:val="00E03080"/>
    <w:rsid w:val="00E03097"/>
    <w:rsid w:val="00E032BD"/>
    <w:rsid w:val="00E032D6"/>
    <w:rsid w:val="00E03334"/>
    <w:rsid w:val="00E034B4"/>
    <w:rsid w:val="00E0351A"/>
    <w:rsid w:val="00E0358A"/>
    <w:rsid w:val="00E036FB"/>
    <w:rsid w:val="00E036FC"/>
    <w:rsid w:val="00E03767"/>
    <w:rsid w:val="00E03875"/>
    <w:rsid w:val="00E038B3"/>
    <w:rsid w:val="00E039C0"/>
    <w:rsid w:val="00E03B8E"/>
    <w:rsid w:val="00E03B93"/>
    <w:rsid w:val="00E03BA0"/>
    <w:rsid w:val="00E03D16"/>
    <w:rsid w:val="00E03DA8"/>
    <w:rsid w:val="00E03E39"/>
    <w:rsid w:val="00E03E54"/>
    <w:rsid w:val="00E03E8D"/>
    <w:rsid w:val="00E03E91"/>
    <w:rsid w:val="00E03E98"/>
    <w:rsid w:val="00E0416C"/>
    <w:rsid w:val="00E0432A"/>
    <w:rsid w:val="00E04370"/>
    <w:rsid w:val="00E04455"/>
    <w:rsid w:val="00E0445C"/>
    <w:rsid w:val="00E044D5"/>
    <w:rsid w:val="00E044F0"/>
    <w:rsid w:val="00E04574"/>
    <w:rsid w:val="00E04597"/>
    <w:rsid w:val="00E045B1"/>
    <w:rsid w:val="00E04811"/>
    <w:rsid w:val="00E04819"/>
    <w:rsid w:val="00E04835"/>
    <w:rsid w:val="00E04870"/>
    <w:rsid w:val="00E0490B"/>
    <w:rsid w:val="00E04945"/>
    <w:rsid w:val="00E04977"/>
    <w:rsid w:val="00E04A60"/>
    <w:rsid w:val="00E04A9E"/>
    <w:rsid w:val="00E04AAE"/>
    <w:rsid w:val="00E04E00"/>
    <w:rsid w:val="00E04E33"/>
    <w:rsid w:val="00E04E34"/>
    <w:rsid w:val="00E04FA8"/>
    <w:rsid w:val="00E051E8"/>
    <w:rsid w:val="00E05422"/>
    <w:rsid w:val="00E05581"/>
    <w:rsid w:val="00E055AC"/>
    <w:rsid w:val="00E0575C"/>
    <w:rsid w:val="00E057B0"/>
    <w:rsid w:val="00E057E2"/>
    <w:rsid w:val="00E05844"/>
    <w:rsid w:val="00E059A2"/>
    <w:rsid w:val="00E059B1"/>
    <w:rsid w:val="00E05B55"/>
    <w:rsid w:val="00E05B99"/>
    <w:rsid w:val="00E05D05"/>
    <w:rsid w:val="00E05E3C"/>
    <w:rsid w:val="00E05F3A"/>
    <w:rsid w:val="00E05F9E"/>
    <w:rsid w:val="00E060FE"/>
    <w:rsid w:val="00E0622A"/>
    <w:rsid w:val="00E06327"/>
    <w:rsid w:val="00E06423"/>
    <w:rsid w:val="00E0662D"/>
    <w:rsid w:val="00E066D9"/>
    <w:rsid w:val="00E0678E"/>
    <w:rsid w:val="00E06A71"/>
    <w:rsid w:val="00E06B2B"/>
    <w:rsid w:val="00E06B8B"/>
    <w:rsid w:val="00E06B9B"/>
    <w:rsid w:val="00E06CB3"/>
    <w:rsid w:val="00E06CF5"/>
    <w:rsid w:val="00E06DD6"/>
    <w:rsid w:val="00E0709F"/>
    <w:rsid w:val="00E07261"/>
    <w:rsid w:val="00E0762C"/>
    <w:rsid w:val="00E076A3"/>
    <w:rsid w:val="00E07749"/>
    <w:rsid w:val="00E0778E"/>
    <w:rsid w:val="00E07837"/>
    <w:rsid w:val="00E07848"/>
    <w:rsid w:val="00E079CD"/>
    <w:rsid w:val="00E07B4E"/>
    <w:rsid w:val="00E07BDF"/>
    <w:rsid w:val="00E07BE0"/>
    <w:rsid w:val="00E07BF2"/>
    <w:rsid w:val="00E07DDE"/>
    <w:rsid w:val="00E07FC9"/>
    <w:rsid w:val="00E100B5"/>
    <w:rsid w:val="00E1011E"/>
    <w:rsid w:val="00E101B3"/>
    <w:rsid w:val="00E10206"/>
    <w:rsid w:val="00E102E9"/>
    <w:rsid w:val="00E1069C"/>
    <w:rsid w:val="00E106B6"/>
    <w:rsid w:val="00E10700"/>
    <w:rsid w:val="00E108E2"/>
    <w:rsid w:val="00E10A90"/>
    <w:rsid w:val="00E10B3D"/>
    <w:rsid w:val="00E10F13"/>
    <w:rsid w:val="00E10FBF"/>
    <w:rsid w:val="00E1107B"/>
    <w:rsid w:val="00E1113D"/>
    <w:rsid w:val="00E11210"/>
    <w:rsid w:val="00E11483"/>
    <w:rsid w:val="00E1167B"/>
    <w:rsid w:val="00E11712"/>
    <w:rsid w:val="00E1177F"/>
    <w:rsid w:val="00E11A1D"/>
    <w:rsid w:val="00E11AB4"/>
    <w:rsid w:val="00E11C0F"/>
    <w:rsid w:val="00E11CD8"/>
    <w:rsid w:val="00E11E4A"/>
    <w:rsid w:val="00E11E79"/>
    <w:rsid w:val="00E11ED2"/>
    <w:rsid w:val="00E11F8E"/>
    <w:rsid w:val="00E12006"/>
    <w:rsid w:val="00E12041"/>
    <w:rsid w:val="00E12064"/>
    <w:rsid w:val="00E120C6"/>
    <w:rsid w:val="00E12225"/>
    <w:rsid w:val="00E12288"/>
    <w:rsid w:val="00E12369"/>
    <w:rsid w:val="00E124E6"/>
    <w:rsid w:val="00E1255F"/>
    <w:rsid w:val="00E125D9"/>
    <w:rsid w:val="00E1265F"/>
    <w:rsid w:val="00E12827"/>
    <w:rsid w:val="00E12B04"/>
    <w:rsid w:val="00E12B59"/>
    <w:rsid w:val="00E12B6E"/>
    <w:rsid w:val="00E12CFF"/>
    <w:rsid w:val="00E12D9E"/>
    <w:rsid w:val="00E12DB9"/>
    <w:rsid w:val="00E12E3D"/>
    <w:rsid w:val="00E12E72"/>
    <w:rsid w:val="00E132B5"/>
    <w:rsid w:val="00E133D2"/>
    <w:rsid w:val="00E134FF"/>
    <w:rsid w:val="00E1364A"/>
    <w:rsid w:val="00E136B2"/>
    <w:rsid w:val="00E136B4"/>
    <w:rsid w:val="00E136C0"/>
    <w:rsid w:val="00E13862"/>
    <w:rsid w:val="00E13AA8"/>
    <w:rsid w:val="00E13AC6"/>
    <w:rsid w:val="00E13D08"/>
    <w:rsid w:val="00E13D4A"/>
    <w:rsid w:val="00E13D6E"/>
    <w:rsid w:val="00E13E5B"/>
    <w:rsid w:val="00E13EC5"/>
    <w:rsid w:val="00E13ECE"/>
    <w:rsid w:val="00E13F0A"/>
    <w:rsid w:val="00E13FBB"/>
    <w:rsid w:val="00E13FC1"/>
    <w:rsid w:val="00E140C6"/>
    <w:rsid w:val="00E14109"/>
    <w:rsid w:val="00E14185"/>
    <w:rsid w:val="00E1427B"/>
    <w:rsid w:val="00E14485"/>
    <w:rsid w:val="00E14534"/>
    <w:rsid w:val="00E146FF"/>
    <w:rsid w:val="00E147B7"/>
    <w:rsid w:val="00E148AA"/>
    <w:rsid w:val="00E14A29"/>
    <w:rsid w:val="00E14A2F"/>
    <w:rsid w:val="00E14B2C"/>
    <w:rsid w:val="00E14B38"/>
    <w:rsid w:val="00E14CCB"/>
    <w:rsid w:val="00E14D9C"/>
    <w:rsid w:val="00E14E14"/>
    <w:rsid w:val="00E14E30"/>
    <w:rsid w:val="00E1502E"/>
    <w:rsid w:val="00E152B8"/>
    <w:rsid w:val="00E1535A"/>
    <w:rsid w:val="00E153A3"/>
    <w:rsid w:val="00E1540F"/>
    <w:rsid w:val="00E15422"/>
    <w:rsid w:val="00E154A4"/>
    <w:rsid w:val="00E154E4"/>
    <w:rsid w:val="00E15520"/>
    <w:rsid w:val="00E1563D"/>
    <w:rsid w:val="00E157D8"/>
    <w:rsid w:val="00E1586D"/>
    <w:rsid w:val="00E159A0"/>
    <w:rsid w:val="00E159E7"/>
    <w:rsid w:val="00E15BBA"/>
    <w:rsid w:val="00E15F90"/>
    <w:rsid w:val="00E15FFF"/>
    <w:rsid w:val="00E16143"/>
    <w:rsid w:val="00E162B9"/>
    <w:rsid w:val="00E16399"/>
    <w:rsid w:val="00E16510"/>
    <w:rsid w:val="00E165F3"/>
    <w:rsid w:val="00E1676F"/>
    <w:rsid w:val="00E168FB"/>
    <w:rsid w:val="00E1696B"/>
    <w:rsid w:val="00E16C2C"/>
    <w:rsid w:val="00E16CD4"/>
    <w:rsid w:val="00E16DF2"/>
    <w:rsid w:val="00E170D0"/>
    <w:rsid w:val="00E17150"/>
    <w:rsid w:val="00E17189"/>
    <w:rsid w:val="00E1718B"/>
    <w:rsid w:val="00E1723A"/>
    <w:rsid w:val="00E17247"/>
    <w:rsid w:val="00E17401"/>
    <w:rsid w:val="00E174F2"/>
    <w:rsid w:val="00E17681"/>
    <w:rsid w:val="00E1787D"/>
    <w:rsid w:val="00E1788F"/>
    <w:rsid w:val="00E17ABF"/>
    <w:rsid w:val="00E17AF4"/>
    <w:rsid w:val="00E17AFA"/>
    <w:rsid w:val="00E17B57"/>
    <w:rsid w:val="00E17C32"/>
    <w:rsid w:val="00E17CB1"/>
    <w:rsid w:val="00E17D2A"/>
    <w:rsid w:val="00E17D55"/>
    <w:rsid w:val="00E17DC7"/>
    <w:rsid w:val="00E17FE5"/>
    <w:rsid w:val="00E2000D"/>
    <w:rsid w:val="00E200CD"/>
    <w:rsid w:val="00E200E4"/>
    <w:rsid w:val="00E20179"/>
    <w:rsid w:val="00E2022E"/>
    <w:rsid w:val="00E20265"/>
    <w:rsid w:val="00E202E2"/>
    <w:rsid w:val="00E203EE"/>
    <w:rsid w:val="00E204C5"/>
    <w:rsid w:val="00E20500"/>
    <w:rsid w:val="00E206AE"/>
    <w:rsid w:val="00E206BB"/>
    <w:rsid w:val="00E207F8"/>
    <w:rsid w:val="00E2083A"/>
    <w:rsid w:val="00E2083F"/>
    <w:rsid w:val="00E208E5"/>
    <w:rsid w:val="00E208EF"/>
    <w:rsid w:val="00E20926"/>
    <w:rsid w:val="00E209C4"/>
    <w:rsid w:val="00E209F5"/>
    <w:rsid w:val="00E20A96"/>
    <w:rsid w:val="00E20C11"/>
    <w:rsid w:val="00E21221"/>
    <w:rsid w:val="00E212C9"/>
    <w:rsid w:val="00E21319"/>
    <w:rsid w:val="00E2134E"/>
    <w:rsid w:val="00E21396"/>
    <w:rsid w:val="00E21686"/>
    <w:rsid w:val="00E2182D"/>
    <w:rsid w:val="00E218B6"/>
    <w:rsid w:val="00E21993"/>
    <w:rsid w:val="00E21B5B"/>
    <w:rsid w:val="00E21B66"/>
    <w:rsid w:val="00E21BF1"/>
    <w:rsid w:val="00E21C15"/>
    <w:rsid w:val="00E21FA4"/>
    <w:rsid w:val="00E21FEB"/>
    <w:rsid w:val="00E223E1"/>
    <w:rsid w:val="00E223F1"/>
    <w:rsid w:val="00E224EC"/>
    <w:rsid w:val="00E22A52"/>
    <w:rsid w:val="00E22AAB"/>
    <w:rsid w:val="00E22AB4"/>
    <w:rsid w:val="00E22ABF"/>
    <w:rsid w:val="00E22C45"/>
    <w:rsid w:val="00E22C67"/>
    <w:rsid w:val="00E22C88"/>
    <w:rsid w:val="00E22CC5"/>
    <w:rsid w:val="00E22CEC"/>
    <w:rsid w:val="00E22EE4"/>
    <w:rsid w:val="00E22EFB"/>
    <w:rsid w:val="00E22F9B"/>
    <w:rsid w:val="00E22FB0"/>
    <w:rsid w:val="00E2337A"/>
    <w:rsid w:val="00E233AF"/>
    <w:rsid w:val="00E2346C"/>
    <w:rsid w:val="00E235BF"/>
    <w:rsid w:val="00E235E1"/>
    <w:rsid w:val="00E23705"/>
    <w:rsid w:val="00E2372C"/>
    <w:rsid w:val="00E2381D"/>
    <w:rsid w:val="00E23840"/>
    <w:rsid w:val="00E23ABD"/>
    <w:rsid w:val="00E23AE2"/>
    <w:rsid w:val="00E23D1B"/>
    <w:rsid w:val="00E23D9F"/>
    <w:rsid w:val="00E23DE1"/>
    <w:rsid w:val="00E23E05"/>
    <w:rsid w:val="00E23E07"/>
    <w:rsid w:val="00E24195"/>
    <w:rsid w:val="00E24205"/>
    <w:rsid w:val="00E2421F"/>
    <w:rsid w:val="00E242E3"/>
    <w:rsid w:val="00E24615"/>
    <w:rsid w:val="00E248AB"/>
    <w:rsid w:val="00E249A6"/>
    <w:rsid w:val="00E249DD"/>
    <w:rsid w:val="00E24AE5"/>
    <w:rsid w:val="00E24B16"/>
    <w:rsid w:val="00E24C74"/>
    <w:rsid w:val="00E24E8F"/>
    <w:rsid w:val="00E24F90"/>
    <w:rsid w:val="00E250D7"/>
    <w:rsid w:val="00E2513C"/>
    <w:rsid w:val="00E25177"/>
    <w:rsid w:val="00E25235"/>
    <w:rsid w:val="00E2537B"/>
    <w:rsid w:val="00E25480"/>
    <w:rsid w:val="00E254A8"/>
    <w:rsid w:val="00E254CE"/>
    <w:rsid w:val="00E2553D"/>
    <w:rsid w:val="00E255A1"/>
    <w:rsid w:val="00E2571F"/>
    <w:rsid w:val="00E2588B"/>
    <w:rsid w:val="00E2588E"/>
    <w:rsid w:val="00E258FF"/>
    <w:rsid w:val="00E25955"/>
    <w:rsid w:val="00E25A66"/>
    <w:rsid w:val="00E25C8C"/>
    <w:rsid w:val="00E25E23"/>
    <w:rsid w:val="00E25F58"/>
    <w:rsid w:val="00E262F9"/>
    <w:rsid w:val="00E26335"/>
    <w:rsid w:val="00E2654F"/>
    <w:rsid w:val="00E26887"/>
    <w:rsid w:val="00E2691A"/>
    <w:rsid w:val="00E26ADC"/>
    <w:rsid w:val="00E26AF6"/>
    <w:rsid w:val="00E26B9F"/>
    <w:rsid w:val="00E2708E"/>
    <w:rsid w:val="00E27198"/>
    <w:rsid w:val="00E27255"/>
    <w:rsid w:val="00E272C8"/>
    <w:rsid w:val="00E274CC"/>
    <w:rsid w:val="00E275B6"/>
    <w:rsid w:val="00E27614"/>
    <w:rsid w:val="00E2779C"/>
    <w:rsid w:val="00E27ABA"/>
    <w:rsid w:val="00E27B22"/>
    <w:rsid w:val="00E27EF7"/>
    <w:rsid w:val="00E30227"/>
    <w:rsid w:val="00E30362"/>
    <w:rsid w:val="00E303A1"/>
    <w:rsid w:val="00E304F5"/>
    <w:rsid w:val="00E305F9"/>
    <w:rsid w:val="00E30628"/>
    <w:rsid w:val="00E30671"/>
    <w:rsid w:val="00E3072C"/>
    <w:rsid w:val="00E307F9"/>
    <w:rsid w:val="00E309C8"/>
    <w:rsid w:val="00E30A79"/>
    <w:rsid w:val="00E30F74"/>
    <w:rsid w:val="00E31040"/>
    <w:rsid w:val="00E3110D"/>
    <w:rsid w:val="00E31327"/>
    <w:rsid w:val="00E3157D"/>
    <w:rsid w:val="00E31622"/>
    <w:rsid w:val="00E3175F"/>
    <w:rsid w:val="00E317A5"/>
    <w:rsid w:val="00E31801"/>
    <w:rsid w:val="00E318C4"/>
    <w:rsid w:val="00E31983"/>
    <w:rsid w:val="00E31A81"/>
    <w:rsid w:val="00E31ACA"/>
    <w:rsid w:val="00E31C9A"/>
    <w:rsid w:val="00E31CCA"/>
    <w:rsid w:val="00E31F73"/>
    <w:rsid w:val="00E31FA7"/>
    <w:rsid w:val="00E3200B"/>
    <w:rsid w:val="00E32043"/>
    <w:rsid w:val="00E320AA"/>
    <w:rsid w:val="00E320B7"/>
    <w:rsid w:val="00E320E3"/>
    <w:rsid w:val="00E321F1"/>
    <w:rsid w:val="00E322AD"/>
    <w:rsid w:val="00E322AE"/>
    <w:rsid w:val="00E3233E"/>
    <w:rsid w:val="00E32377"/>
    <w:rsid w:val="00E323E9"/>
    <w:rsid w:val="00E324EB"/>
    <w:rsid w:val="00E326B3"/>
    <w:rsid w:val="00E32751"/>
    <w:rsid w:val="00E328A8"/>
    <w:rsid w:val="00E32A9B"/>
    <w:rsid w:val="00E32AD6"/>
    <w:rsid w:val="00E32B71"/>
    <w:rsid w:val="00E32CD3"/>
    <w:rsid w:val="00E32D68"/>
    <w:rsid w:val="00E32F04"/>
    <w:rsid w:val="00E331A5"/>
    <w:rsid w:val="00E335FC"/>
    <w:rsid w:val="00E335FF"/>
    <w:rsid w:val="00E33625"/>
    <w:rsid w:val="00E337D7"/>
    <w:rsid w:val="00E33870"/>
    <w:rsid w:val="00E338EA"/>
    <w:rsid w:val="00E33967"/>
    <w:rsid w:val="00E33987"/>
    <w:rsid w:val="00E33A5A"/>
    <w:rsid w:val="00E33A8F"/>
    <w:rsid w:val="00E33AD0"/>
    <w:rsid w:val="00E33BE9"/>
    <w:rsid w:val="00E33C30"/>
    <w:rsid w:val="00E33D88"/>
    <w:rsid w:val="00E33F13"/>
    <w:rsid w:val="00E33F9D"/>
    <w:rsid w:val="00E33F9F"/>
    <w:rsid w:val="00E33FDC"/>
    <w:rsid w:val="00E33FEB"/>
    <w:rsid w:val="00E34041"/>
    <w:rsid w:val="00E340B2"/>
    <w:rsid w:val="00E340C7"/>
    <w:rsid w:val="00E341EC"/>
    <w:rsid w:val="00E342DF"/>
    <w:rsid w:val="00E34482"/>
    <w:rsid w:val="00E3450A"/>
    <w:rsid w:val="00E345BE"/>
    <w:rsid w:val="00E3467A"/>
    <w:rsid w:val="00E34690"/>
    <w:rsid w:val="00E3477A"/>
    <w:rsid w:val="00E347C1"/>
    <w:rsid w:val="00E34926"/>
    <w:rsid w:val="00E3496C"/>
    <w:rsid w:val="00E34A06"/>
    <w:rsid w:val="00E34AD0"/>
    <w:rsid w:val="00E34C6C"/>
    <w:rsid w:val="00E34EA9"/>
    <w:rsid w:val="00E34EF5"/>
    <w:rsid w:val="00E34F97"/>
    <w:rsid w:val="00E34FBF"/>
    <w:rsid w:val="00E3504A"/>
    <w:rsid w:val="00E3507A"/>
    <w:rsid w:val="00E35125"/>
    <w:rsid w:val="00E351BB"/>
    <w:rsid w:val="00E351BD"/>
    <w:rsid w:val="00E352A7"/>
    <w:rsid w:val="00E35353"/>
    <w:rsid w:val="00E3536E"/>
    <w:rsid w:val="00E3544E"/>
    <w:rsid w:val="00E354C9"/>
    <w:rsid w:val="00E355B9"/>
    <w:rsid w:val="00E35858"/>
    <w:rsid w:val="00E358D8"/>
    <w:rsid w:val="00E35A40"/>
    <w:rsid w:val="00E35B5D"/>
    <w:rsid w:val="00E35BFE"/>
    <w:rsid w:val="00E35CCC"/>
    <w:rsid w:val="00E35CCD"/>
    <w:rsid w:val="00E35E2C"/>
    <w:rsid w:val="00E3606D"/>
    <w:rsid w:val="00E36177"/>
    <w:rsid w:val="00E36252"/>
    <w:rsid w:val="00E36429"/>
    <w:rsid w:val="00E364C7"/>
    <w:rsid w:val="00E365A1"/>
    <w:rsid w:val="00E36705"/>
    <w:rsid w:val="00E367B8"/>
    <w:rsid w:val="00E368DC"/>
    <w:rsid w:val="00E36902"/>
    <w:rsid w:val="00E36980"/>
    <w:rsid w:val="00E36A72"/>
    <w:rsid w:val="00E36B1B"/>
    <w:rsid w:val="00E36B28"/>
    <w:rsid w:val="00E36F5C"/>
    <w:rsid w:val="00E37075"/>
    <w:rsid w:val="00E370E9"/>
    <w:rsid w:val="00E3718A"/>
    <w:rsid w:val="00E37233"/>
    <w:rsid w:val="00E372F6"/>
    <w:rsid w:val="00E37679"/>
    <w:rsid w:val="00E37684"/>
    <w:rsid w:val="00E3768E"/>
    <w:rsid w:val="00E37743"/>
    <w:rsid w:val="00E378EF"/>
    <w:rsid w:val="00E379F5"/>
    <w:rsid w:val="00E37A00"/>
    <w:rsid w:val="00E37A28"/>
    <w:rsid w:val="00E37AD6"/>
    <w:rsid w:val="00E37E52"/>
    <w:rsid w:val="00E37EAB"/>
    <w:rsid w:val="00E40080"/>
    <w:rsid w:val="00E400E0"/>
    <w:rsid w:val="00E4014E"/>
    <w:rsid w:val="00E4036F"/>
    <w:rsid w:val="00E404DE"/>
    <w:rsid w:val="00E4053D"/>
    <w:rsid w:val="00E40678"/>
    <w:rsid w:val="00E406CA"/>
    <w:rsid w:val="00E40757"/>
    <w:rsid w:val="00E40914"/>
    <w:rsid w:val="00E40949"/>
    <w:rsid w:val="00E40A7B"/>
    <w:rsid w:val="00E40A8C"/>
    <w:rsid w:val="00E40B5E"/>
    <w:rsid w:val="00E40B86"/>
    <w:rsid w:val="00E40BC5"/>
    <w:rsid w:val="00E40CCA"/>
    <w:rsid w:val="00E40F44"/>
    <w:rsid w:val="00E40FDB"/>
    <w:rsid w:val="00E412B6"/>
    <w:rsid w:val="00E4132F"/>
    <w:rsid w:val="00E4133A"/>
    <w:rsid w:val="00E414D1"/>
    <w:rsid w:val="00E414EE"/>
    <w:rsid w:val="00E41945"/>
    <w:rsid w:val="00E419E9"/>
    <w:rsid w:val="00E41A9A"/>
    <w:rsid w:val="00E41B10"/>
    <w:rsid w:val="00E41B66"/>
    <w:rsid w:val="00E41EF6"/>
    <w:rsid w:val="00E41F0B"/>
    <w:rsid w:val="00E42039"/>
    <w:rsid w:val="00E424E2"/>
    <w:rsid w:val="00E427ED"/>
    <w:rsid w:val="00E42903"/>
    <w:rsid w:val="00E42AD7"/>
    <w:rsid w:val="00E42B15"/>
    <w:rsid w:val="00E42B59"/>
    <w:rsid w:val="00E42BF5"/>
    <w:rsid w:val="00E42CFF"/>
    <w:rsid w:val="00E42DB9"/>
    <w:rsid w:val="00E42E9C"/>
    <w:rsid w:val="00E42F38"/>
    <w:rsid w:val="00E42F41"/>
    <w:rsid w:val="00E431BF"/>
    <w:rsid w:val="00E43275"/>
    <w:rsid w:val="00E43349"/>
    <w:rsid w:val="00E434E0"/>
    <w:rsid w:val="00E43589"/>
    <w:rsid w:val="00E437C3"/>
    <w:rsid w:val="00E4383A"/>
    <w:rsid w:val="00E43AE5"/>
    <w:rsid w:val="00E43E02"/>
    <w:rsid w:val="00E44168"/>
    <w:rsid w:val="00E4432C"/>
    <w:rsid w:val="00E4442D"/>
    <w:rsid w:val="00E44732"/>
    <w:rsid w:val="00E44A1A"/>
    <w:rsid w:val="00E44A7F"/>
    <w:rsid w:val="00E44B51"/>
    <w:rsid w:val="00E44B60"/>
    <w:rsid w:val="00E44BB2"/>
    <w:rsid w:val="00E44C10"/>
    <w:rsid w:val="00E44C74"/>
    <w:rsid w:val="00E44D7B"/>
    <w:rsid w:val="00E44E04"/>
    <w:rsid w:val="00E45053"/>
    <w:rsid w:val="00E45143"/>
    <w:rsid w:val="00E4514D"/>
    <w:rsid w:val="00E451D5"/>
    <w:rsid w:val="00E45289"/>
    <w:rsid w:val="00E455F8"/>
    <w:rsid w:val="00E45617"/>
    <w:rsid w:val="00E45692"/>
    <w:rsid w:val="00E45707"/>
    <w:rsid w:val="00E4575A"/>
    <w:rsid w:val="00E45764"/>
    <w:rsid w:val="00E458AA"/>
    <w:rsid w:val="00E45989"/>
    <w:rsid w:val="00E459DE"/>
    <w:rsid w:val="00E45A8C"/>
    <w:rsid w:val="00E45A9C"/>
    <w:rsid w:val="00E45E05"/>
    <w:rsid w:val="00E460DD"/>
    <w:rsid w:val="00E46153"/>
    <w:rsid w:val="00E461BE"/>
    <w:rsid w:val="00E4620A"/>
    <w:rsid w:val="00E46316"/>
    <w:rsid w:val="00E46323"/>
    <w:rsid w:val="00E463B5"/>
    <w:rsid w:val="00E46732"/>
    <w:rsid w:val="00E469CF"/>
    <w:rsid w:val="00E46EAA"/>
    <w:rsid w:val="00E46FD6"/>
    <w:rsid w:val="00E4701D"/>
    <w:rsid w:val="00E47161"/>
    <w:rsid w:val="00E472E3"/>
    <w:rsid w:val="00E472E8"/>
    <w:rsid w:val="00E474AA"/>
    <w:rsid w:val="00E47805"/>
    <w:rsid w:val="00E47A73"/>
    <w:rsid w:val="00E47B63"/>
    <w:rsid w:val="00E47BE6"/>
    <w:rsid w:val="00E47EE8"/>
    <w:rsid w:val="00E50122"/>
    <w:rsid w:val="00E50335"/>
    <w:rsid w:val="00E503B2"/>
    <w:rsid w:val="00E503B3"/>
    <w:rsid w:val="00E50647"/>
    <w:rsid w:val="00E50693"/>
    <w:rsid w:val="00E506AD"/>
    <w:rsid w:val="00E506CB"/>
    <w:rsid w:val="00E5075D"/>
    <w:rsid w:val="00E50870"/>
    <w:rsid w:val="00E50950"/>
    <w:rsid w:val="00E50A22"/>
    <w:rsid w:val="00E50BA3"/>
    <w:rsid w:val="00E50BC9"/>
    <w:rsid w:val="00E50C7E"/>
    <w:rsid w:val="00E50D99"/>
    <w:rsid w:val="00E50E34"/>
    <w:rsid w:val="00E50FF6"/>
    <w:rsid w:val="00E50FFE"/>
    <w:rsid w:val="00E510E9"/>
    <w:rsid w:val="00E51432"/>
    <w:rsid w:val="00E5144B"/>
    <w:rsid w:val="00E514A9"/>
    <w:rsid w:val="00E514E2"/>
    <w:rsid w:val="00E5156A"/>
    <w:rsid w:val="00E51666"/>
    <w:rsid w:val="00E51711"/>
    <w:rsid w:val="00E5178D"/>
    <w:rsid w:val="00E517C6"/>
    <w:rsid w:val="00E51858"/>
    <w:rsid w:val="00E51947"/>
    <w:rsid w:val="00E519B9"/>
    <w:rsid w:val="00E51A52"/>
    <w:rsid w:val="00E51A98"/>
    <w:rsid w:val="00E51C35"/>
    <w:rsid w:val="00E51C7B"/>
    <w:rsid w:val="00E51E6D"/>
    <w:rsid w:val="00E51FD8"/>
    <w:rsid w:val="00E51FF6"/>
    <w:rsid w:val="00E52118"/>
    <w:rsid w:val="00E5224B"/>
    <w:rsid w:val="00E522B9"/>
    <w:rsid w:val="00E52484"/>
    <w:rsid w:val="00E5263B"/>
    <w:rsid w:val="00E5263C"/>
    <w:rsid w:val="00E5263E"/>
    <w:rsid w:val="00E52DAE"/>
    <w:rsid w:val="00E52DB1"/>
    <w:rsid w:val="00E5308F"/>
    <w:rsid w:val="00E530C0"/>
    <w:rsid w:val="00E530CF"/>
    <w:rsid w:val="00E53199"/>
    <w:rsid w:val="00E53236"/>
    <w:rsid w:val="00E532DA"/>
    <w:rsid w:val="00E53336"/>
    <w:rsid w:val="00E5359E"/>
    <w:rsid w:val="00E536FF"/>
    <w:rsid w:val="00E53728"/>
    <w:rsid w:val="00E53956"/>
    <w:rsid w:val="00E53995"/>
    <w:rsid w:val="00E53B81"/>
    <w:rsid w:val="00E53BC5"/>
    <w:rsid w:val="00E53CE8"/>
    <w:rsid w:val="00E53FE9"/>
    <w:rsid w:val="00E54087"/>
    <w:rsid w:val="00E541BD"/>
    <w:rsid w:val="00E54276"/>
    <w:rsid w:val="00E5428A"/>
    <w:rsid w:val="00E542B9"/>
    <w:rsid w:val="00E54452"/>
    <w:rsid w:val="00E54703"/>
    <w:rsid w:val="00E54981"/>
    <w:rsid w:val="00E54A2A"/>
    <w:rsid w:val="00E54A4A"/>
    <w:rsid w:val="00E54AE7"/>
    <w:rsid w:val="00E54C64"/>
    <w:rsid w:val="00E54D9F"/>
    <w:rsid w:val="00E54DF5"/>
    <w:rsid w:val="00E54E0B"/>
    <w:rsid w:val="00E54F69"/>
    <w:rsid w:val="00E54FD2"/>
    <w:rsid w:val="00E55060"/>
    <w:rsid w:val="00E55293"/>
    <w:rsid w:val="00E552D5"/>
    <w:rsid w:val="00E55362"/>
    <w:rsid w:val="00E55572"/>
    <w:rsid w:val="00E55599"/>
    <w:rsid w:val="00E55677"/>
    <w:rsid w:val="00E55685"/>
    <w:rsid w:val="00E55957"/>
    <w:rsid w:val="00E55BA8"/>
    <w:rsid w:val="00E55DA9"/>
    <w:rsid w:val="00E55E34"/>
    <w:rsid w:val="00E55F6C"/>
    <w:rsid w:val="00E55FDB"/>
    <w:rsid w:val="00E55FE8"/>
    <w:rsid w:val="00E56125"/>
    <w:rsid w:val="00E56202"/>
    <w:rsid w:val="00E56388"/>
    <w:rsid w:val="00E56489"/>
    <w:rsid w:val="00E564C6"/>
    <w:rsid w:val="00E56507"/>
    <w:rsid w:val="00E56511"/>
    <w:rsid w:val="00E5655F"/>
    <w:rsid w:val="00E565A4"/>
    <w:rsid w:val="00E565C3"/>
    <w:rsid w:val="00E565DE"/>
    <w:rsid w:val="00E566B7"/>
    <w:rsid w:val="00E567BE"/>
    <w:rsid w:val="00E5688A"/>
    <w:rsid w:val="00E5692C"/>
    <w:rsid w:val="00E56938"/>
    <w:rsid w:val="00E5694D"/>
    <w:rsid w:val="00E5697C"/>
    <w:rsid w:val="00E56985"/>
    <w:rsid w:val="00E56987"/>
    <w:rsid w:val="00E56A9E"/>
    <w:rsid w:val="00E56AFF"/>
    <w:rsid w:val="00E56B27"/>
    <w:rsid w:val="00E56B9D"/>
    <w:rsid w:val="00E56C52"/>
    <w:rsid w:val="00E56CAB"/>
    <w:rsid w:val="00E56CC7"/>
    <w:rsid w:val="00E56F45"/>
    <w:rsid w:val="00E5708A"/>
    <w:rsid w:val="00E5733F"/>
    <w:rsid w:val="00E5739D"/>
    <w:rsid w:val="00E5762F"/>
    <w:rsid w:val="00E577C1"/>
    <w:rsid w:val="00E5798D"/>
    <w:rsid w:val="00E579B6"/>
    <w:rsid w:val="00E579C4"/>
    <w:rsid w:val="00E579F7"/>
    <w:rsid w:val="00E57A2D"/>
    <w:rsid w:val="00E57ACE"/>
    <w:rsid w:val="00E57B11"/>
    <w:rsid w:val="00E57B2C"/>
    <w:rsid w:val="00E57E0D"/>
    <w:rsid w:val="00E6005C"/>
    <w:rsid w:val="00E600BD"/>
    <w:rsid w:val="00E60183"/>
    <w:rsid w:val="00E602C8"/>
    <w:rsid w:val="00E605E2"/>
    <w:rsid w:val="00E605FB"/>
    <w:rsid w:val="00E606B3"/>
    <w:rsid w:val="00E608B8"/>
    <w:rsid w:val="00E608D0"/>
    <w:rsid w:val="00E60A63"/>
    <w:rsid w:val="00E60CD0"/>
    <w:rsid w:val="00E60D4E"/>
    <w:rsid w:val="00E60D55"/>
    <w:rsid w:val="00E60EAF"/>
    <w:rsid w:val="00E60EB7"/>
    <w:rsid w:val="00E60ED8"/>
    <w:rsid w:val="00E60F31"/>
    <w:rsid w:val="00E60F41"/>
    <w:rsid w:val="00E6117C"/>
    <w:rsid w:val="00E611A8"/>
    <w:rsid w:val="00E61238"/>
    <w:rsid w:val="00E612C1"/>
    <w:rsid w:val="00E6146D"/>
    <w:rsid w:val="00E614CE"/>
    <w:rsid w:val="00E6155A"/>
    <w:rsid w:val="00E6159C"/>
    <w:rsid w:val="00E615B2"/>
    <w:rsid w:val="00E61691"/>
    <w:rsid w:val="00E6173A"/>
    <w:rsid w:val="00E61896"/>
    <w:rsid w:val="00E6196C"/>
    <w:rsid w:val="00E61983"/>
    <w:rsid w:val="00E61BB3"/>
    <w:rsid w:val="00E61D1E"/>
    <w:rsid w:val="00E61DB9"/>
    <w:rsid w:val="00E61DCE"/>
    <w:rsid w:val="00E61F6C"/>
    <w:rsid w:val="00E62262"/>
    <w:rsid w:val="00E622FC"/>
    <w:rsid w:val="00E623FB"/>
    <w:rsid w:val="00E6247E"/>
    <w:rsid w:val="00E625D9"/>
    <w:rsid w:val="00E627F0"/>
    <w:rsid w:val="00E62808"/>
    <w:rsid w:val="00E6281D"/>
    <w:rsid w:val="00E62922"/>
    <w:rsid w:val="00E62BA9"/>
    <w:rsid w:val="00E62DC5"/>
    <w:rsid w:val="00E63030"/>
    <w:rsid w:val="00E63208"/>
    <w:rsid w:val="00E632F0"/>
    <w:rsid w:val="00E63375"/>
    <w:rsid w:val="00E633B2"/>
    <w:rsid w:val="00E63476"/>
    <w:rsid w:val="00E63503"/>
    <w:rsid w:val="00E636A1"/>
    <w:rsid w:val="00E63701"/>
    <w:rsid w:val="00E63712"/>
    <w:rsid w:val="00E63902"/>
    <w:rsid w:val="00E63AAD"/>
    <w:rsid w:val="00E63C81"/>
    <w:rsid w:val="00E63CA6"/>
    <w:rsid w:val="00E63E50"/>
    <w:rsid w:val="00E63E74"/>
    <w:rsid w:val="00E63F4C"/>
    <w:rsid w:val="00E642A1"/>
    <w:rsid w:val="00E643A4"/>
    <w:rsid w:val="00E645C5"/>
    <w:rsid w:val="00E64688"/>
    <w:rsid w:val="00E646B1"/>
    <w:rsid w:val="00E646E7"/>
    <w:rsid w:val="00E64848"/>
    <w:rsid w:val="00E64983"/>
    <w:rsid w:val="00E64991"/>
    <w:rsid w:val="00E64A8F"/>
    <w:rsid w:val="00E64C8C"/>
    <w:rsid w:val="00E64E86"/>
    <w:rsid w:val="00E64FC4"/>
    <w:rsid w:val="00E65011"/>
    <w:rsid w:val="00E65412"/>
    <w:rsid w:val="00E65562"/>
    <w:rsid w:val="00E65656"/>
    <w:rsid w:val="00E656AC"/>
    <w:rsid w:val="00E65817"/>
    <w:rsid w:val="00E65A19"/>
    <w:rsid w:val="00E65A92"/>
    <w:rsid w:val="00E65B49"/>
    <w:rsid w:val="00E65D30"/>
    <w:rsid w:val="00E65D33"/>
    <w:rsid w:val="00E65DA5"/>
    <w:rsid w:val="00E65F76"/>
    <w:rsid w:val="00E65FA4"/>
    <w:rsid w:val="00E66111"/>
    <w:rsid w:val="00E66112"/>
    <w:rsid w:val="00E66397"/>
    <w:rsid w:val="00E66466"/>
    <w:rsid w:val="00E66488"/>
    <w:rsid w:val="00E664C3"/>
    <w:rsid w:val="00E66654"/>
    <w:rsid w:val="00E668CD"/>
    <w:rsid w:val="00E66911"/>
    <w:rsid w:val="00E66BCB"/>
    <w:rsid w:val="00E66CDF"/>
    <w:rsid w:val="00E66E21"/>
    <w:rsid w:val="00E66F72"/>
    <w:rsid w:val="00E670BE"/>
    <w:rsid w:val="00E6715F"/>
    <w:rsid w:val="00E672FA"/>
    <w:rsid w:val="00E67335"/>
    <w:rsid w:val="00E6751C"/>
    <w:rsid w:val="00E675A7"/>
    <w:rsid w:val="00E675F1"/>
    <w:rsid w:val="00E6762E"/>
    <w:rsid w:val="00E67780"/>
    <w:rsid w:val="00E6780A"/>
    <w:rsid w:val="00E6784D"/>
    <w:rsid w:val="00E67B00"/>
    <w:rsid w:val="00E67EBF"/>
    <w:rsid w:val="00E67F69"/>
    <w:rsid w:val="00E67FE9"/>
    <w:rsid w:val="00E67FF0"/>
    <w:rsid w:val="00E67FF9"/>
    <w:rsid w:val="00E700A0"/>
    <w:rsid w:val="00E700D8"/>
    <w:rsid w:val="00E7012D"/>
    <w:rsid w:val="00E70142"/>
    <w:rsid w:val="00E705A7"/>
    <w:rsid w:val="00E70794"/>
    <w:rsid w:val="00E707B6"/>
    <w:rsid w:val="00E7080B"/>
    <w:rsid w:val="00E708A2"/>
    <w:rsid w:val="00E7091B"/>
    <w:rsid w:val="00E70963"/>
    <w:rsid w:val="00E709B9"/>
    <w:rsid w:val="00E70A73"/>
    <w:rsid w:val="00E70AE1"/>
    <w:rsid w:val="00E70B07"/>
    <w:rsid w:val="00E70B36"/>
    <w:rsid w:val="00E70B3F"/>
    <w:rsid w:val="00E70B41"/>
    <w:rsid w:val="00E70CD3"/>
    <w:rsid w:val="00E70DCE"/>
    <w:rsid w:val="00E70E55"/>
    <w:rsid w:val="00E7101D"/>
    <w:rsid w:val="00E711E5"/>
    <w:rsid w:val="00E711E7"/>
    <w:rsid w:val="00E7125E"/>
    <w:rsid w:val="00E714CB"/>
    <w:rsid w:val="00E715E1"/>
    <w:rsid w:val="00E716B8"/>
    <w:rsid w:val="00E71883"/>
    <w:rsid w:val="00E718D1"/>
    <w:rsid w:val="00E71E03"/>
    <w:rsid w:val="00E71E41"/>
    <w:rsid w:val="00E71E69"/>
    <w:rsid w:val="00E71E7B"/>
    <w:rsid w:val="00E71EBA"/>
    <w:rsid w:val="00E71FE8"/>
    <w:rsid w:val="00E723A0"/>
    <w:rsid w:val="00E725D0"/>
    <w:rsid w:val="00E72605"/>
    <w:rsid w:val="00E7260D"/>
    <w:rsid w:val="00E72876"/>
    <w:rsid w:val="00E72B29"/>
    <w:rsid w:val="00E72B4C"/>
    <w:rsid w:val="00E72C1A"/>
    <w:rsid w:val="00E72C55"/>
    <w:rsid w:val="00E72CFA"/>
    <w:rsid w:val="00E72E8D"/>
    <w:rsid w:val="00E72F2D"/>
    <w:rsid w:val="00E73041"/>
    <w:rsid w:val="00E730ED"/>
    <w:rsid w:val="00E731F4"/>
    <w:rsid w:val="00E735C7"/>
    <w:rsid w:val="00E735EF"/>
    <w:rsid w:val="00E73676"/>
    <w:rsid w:val="00E736F6"/>
    <w:rsid w:val="00E7370F"/>
    <w:rsid w:val="00E737C2"/>
    <w:rsid w:val="00E73837"/>
    <w:rsid w:val="00E73902"/>
    <w:rsid w:val="00E73993"/>
    <w:rsid w:val="00E739D9"/>
    <w:rsid w:val="00E73C4C"/>
    <w:rsid w:val="00E73D8E"/>
    <w:rsid w:val="00E73E37"/>
    <w:rsid w:val="00E73FFE"/>
    <w:rsid w:val="00E740BA"/>
    <w:rsid w:val="00E7411E"/>
    <w:rsid w:val="00E741EA"/>
    <w:rsid w:val="00E74357"/>
    <w:rsid w:val="00E7436C"/>
    <w:rsid w:val="00E7438B"/>
    <w:rsid w:val="00E743CC"/>
    <w:rsid w:val="00E74407"/>
    <w:rsid w:val="00E7444E"/>
    <w:rsid w:val="00E74504"/>
    <w:rsid w:val="00E74506"/>
    <w:rsid w:val="00E74650"/>
    <w:rsid w:val="00E747A6"/>
    <w:rsid w:val="00E749AE"/>
    <w:rsid w:val="00E749B1"/>
    <w:rsid w:val="00E749E0"/>
    <w:rsid w:val="00E74A35"/>
    <w:rsid w:val="00E74AF5"/>
    <w:rsid w:val="00E74D9E"/>
    <w:rsid w:val="00E753AB"/>
    <w:rsid w:val="00E754A3"/>
    <w:rsid w:val="00E754CB"/>
    <w:rsid w:val="00E754F2"/>
    <w:rsid w:val="00E755C7"/>
    <w:rsid w:val="00E7569D"/>
    <w:rsid w:val="00E756CF"/>
    <w:rsid w:val="00E75AFD"/>
    <w:rsid w:val="00E75C85"/>
    <w:rsid w:val="00E75C8C"/>
    <w:rsid w:val="00E75D7B"/>
    <w:rsid w:val="00E75E6B"/>
    <w:rsid w:val="00E75EF1"/>
    <w:rsid w:val="00E762DE"/>
    <w:rsid w:val="00E7646D"/>
    <w:rsid w:val="00E766F0"/>
    <w:rsid w:val="00E76773"/>
    <w:rsid w:val="00E76792"/>
    <w:rsid w:val="00E768D9"/>
    <w:rsid w:val="00E76957"/>
    <w:rsid w:val="00E769FE"/>
    <w:rsid w:val="00E76AB0"/>
    <w:rsid w:val="00E76B31"/>
    <w:rsid w:val="00E76BCA"/>
    <w:rsid w:val="00E76E25"/>
    <w:rsid w:val="00E76E26"/>
    <w:rsid w:val="00E76F18"/>
    <w:rsid w:val="00E7709F"/>
    <w:rsid w:val="00E77100"/>
    <w:rsid w:val="00E77355"/>
    <w:rsid w:val="00E77515"/>
    <w:rsid w:val="00E77613"/>
    <w:rsid w:val="00E7771B"/>
    <w:rsid w:val="00E7786D"/>
    <w:rsid w:val="00E778FD"/>
    <w:rsid w:val="00E77A24"/>
    <w:rsid w:val="00E77ACE"/>
    <w:rsid w:val="00E77EDD"/>
    <w:rsid w:val="00E802CE"/>
    <w:rsid w:val="00E80364"/>
    <w:rsid w:val="00E80412"/>
    <w:rsid w:val="00E80520"/>
    <w:rsid w:val="00E80603"/>
    <w:rsid w:val="00E8061B"/>
    <w:rsid w:val="00E807E8"/>
    <w:rsid w:val="00E8083D"/>
    <w:rsid w:val="00E80AA7"/>
    <w:rsid w:val="00E80EA9"/>
    <w:rsid w:val="00E80EBF"/>
    <w:rsid w:val="00E81071"/>
    <w:rsid w:val="00E8114D"/>
    <w:rsid w:val="00E81474"/>
    <w:rsid w:val="00E81577"/>
    <w:rsid w:val="00E81697"/>
    <w:rsid w:val="00E81764"/>
    <w:rsid w:val="00E81B02"/>
    <w:rsid w:val="00E81B83"/>
    <w:rsid w:val="00E81E1B"/>
    <w:rsid w:val="00E81E92"/>
    <w:rsid w:val="00E81EDF"/>
    <w:rsid w:val="00E81F0E"/>
    <w:rsid w:val="00E81F2B"/>
    <w:rsid w:val="00E820DB"/>
    <w:rsid w:val="00E821E2"/>
    <w:rsid w:val="00E82284"/>
    <w:rsid w:val="00E822AA"/>
    <w:rsid w:val="00E823BE"/>
    <w:rsid w:val="00E82527"/>
    <w:rsid w:val="00E8254F"/>
    <w:rsid w:val="00E82582"/>
    <w:rsid w:val="00E826A0"/>
    <w:rsid w:val="00E826E4"/>
    <w:rsid w:val="00E8276F"/>
    <w:rsid w:val="00E827A1"/>
    <w:rsid w:val="00E829D4"/>
    <w:rsid w:val="00E82A01"/>
    <w:rsid w:val="00E82E0A"/>
    <w:rsid w:val="00E82F7C"/>
    <w:rsid w:val="00E82FF2"/>
    <w:rsid w:val="00E831E0"/>
    <w:rsid w:val="00E8328E"/>
    <w:rsid w:val="00E8334B"/>
    <w:rsid w:val="00E83379"/>
    <w:rsid w:val="00E833BB"/>
    <w:rsid w:val="00E835F0"/>
    <w:rsid w:val="00E8365C"/>
    <w:rsid w:val="00E836D7"/>
    <w:rsid w:val="00E8381A"/>
    <w:rsid w:val="00E83ADE"/>
    <w:rsid w:val="00E83B7B"/>
    <w:rsid w:val="00E83BAF"/>
    <w:rsid w:val="00E83DF7"/>
    <w:rsid w:val="00E83E00"/>
    <w:rsid w:val="00E83E80"/>
    <w:rsid w:val="00E8404E"/>
    <w:rsid w:val="00E8427E"/>
    <w:rsid w:val="00E842D6"/>
    <w:rsid w:val="00E84326"/>
    <w:rsid w:val="00E8438E"/>
    <w:rsid w:val="00E843C7"/>
    <w:rsid w:val="00E84596"/>
    <w:rsid w:val="00E84668"/>
    <w:rsid w:val="00E846CD"/>
    <w:rsid w:val="00E848B1"/>
    <w:rsid w:val="00E84990"/>
    <w:rsid w:val="00E84A02"/>
    <w:rsid w:val="00E84AC8"/>
    <w:rsid w:val="00E84EFB"/>
    <w:rsid w:val="00E84F65"/>
    <w:rsid w:val="00E850AC"/>
    <w:rsid w:val="00E850E5"/>
    <w:rsid w:val="00E85202"/>
    <w:rsid w:val="00E8527E"/>
    <w:rsid w:val="00E855F4"/>
    <w:rsid w:val="00E856F1"/>
    <w:rsid w:val="00E8584B"/>
    <w:rsid w:val="00E85923"/>
    <w:rsid w:val="00E8599A"/>
    <w:rsid w:val="00E85B06"/>
    <w:rsid w:val="00E85D79"/>
    <w:rsid w:val="00E85E72"/>
    <w:rsid w:val="00E85E94"/>
    <w:rsid w:val="00E85F91"/>
    <w:rsid w:val="00E860CF"/>
    <w:rsid w:val="00E86453"/>
    <w:rsid w:val="00E86496"/>
    <w:rsid w:val="00E8650C"/>
    <w:rsid w:val="00E86808"/>
    <w:rsid w:val="00E86842"/>
    <w:rsid w:val="00E868B8"/>
    <w:rsid w:val="00E869FA"/>
    <w:rsid w:val="00E86AB6"/>
    <w:rsid w:val="00E86AE1"/>
    <w:rsid w:val="00E86E2C"/>
    <w:rsid w:val="00E86EE8"/>
    <w:rsid w:val="00E8708D"/>
    <w:rsid w:val="00E872DF"/>
    <w:rsid w:val="00E874DA"/>
    <w:rsid w:val="00E87871"/>
    <w:rsid w:val="00E878EE"/>
    <w:rsid w:val="00E87972"/>
    <w:rsid w:val="00E8799A"/>
    <w:rsid w:val="00E87C6A"/>
    <w:rsid w:val="00E87D2E"/>
    <w:rsid w:val="00E87EAE"/>
    <w:rsid w:val="00E87F20"/>
    <w:rsid w:val="00E87F32"/>
    <w:rsid w:val="00E90045"/>
    <w:rsid w:val="00E90145"/>
    <w:rsid w:val="00E901E0"/>
    <w:rsid w:val="00E903C5"/>
    <w:rsid w:val="00E90427"/>
    <w:rsid w:val="00E90595"/>
    <w:rsid w:val="00E90891"/>
    <w:rsid w:val="00E90A8A"/>
    <w:rsid w:val="00E90AC3"/>
    <w:rsid w:val="00E90C7E"/>
    <w:rsid w:val="00E90D3A"/>
    <w:rsid w:val="00E90DB2"/>
    <w:rsid w:val="00E90F18"/>
    <w:rsid w:val="00E910E9"/>
    <w:rsid w:val="00E911CD"/>
    <w:rsid w:val="00E912F0"/>
    <w:rsid w:val="00E91353"/>
    <w:rsid w:val="00E9142C"/>
    <w:rsid w:val="00E915D9"/>
    <w:rsid w:val="00E91655"/>
    <w:rsid w:val="00E9167C"/>
    <w:rsid w:val="00E916B0"/>
    <w:rsid w:val="00E9174A"/>
    <w:rsid w:val="00E9185C"/>
    <w:rsid w:val="00E9191B"/>
    <w:rsid w:val="00E91BF8"/>
    <w:rsid w:val="00E91C92"/>
    <w:rsid w:val="00E92113"/>
    <w:rsid w:val="00E922BA"/>
    <w:rsid w:val="00E922BC"/>
    <w:rsid w:val="00E922E3"/>
    <w:rsid w:val="00E9240E"/>
    <w:rsid w:val="00E9248E"/>
    <w:rsid w:val="00E924DC"/>
    <w:rsid w:val="00E92557"/>
    <w:rsid w:val="00E92613"/>
    <w:rsid w:val="00E92845"/>
    <w:rsid w:val="00E928C8"/>
    <w:rsid w:val="00E9294F"/>
    <w:rsid w:val="00E92999"/>
    <w:rsid w:val="00E929B1"/>
    <w:rsid w:val="00E92BAE"/>
    <w:rsid w:val="00E92C26"/>
    <w:rsid w:val="00E92D87"/>
    <w:rsid w:val="00E93070"/>
    <w:rsid w:val="00E9323F"/>
    <w:rsid w:val="00E932DA"/>
    <w:rsid w:val="00E9347E"/>
    <w:rsid w:val="00E935BF"/>
    <w:rsid w:val="00E935F1"/>
    <w:rsid w:val="00E937A7"/>
    <w:rsid w:val="00E938A7"/>
    <w:rsid w:val="00E938C0"/>
    <w:rsid w:val="00E93980"/>
    <w:rsid w:val="00E93AF6"/>
    <w:rsid w:val="00E93D26"/>
    <w:rsid w:val="00E93DC7"/>
    <w:rsid w:val="00E93ED9"/>
    <w:rsid w:val="00E941D1"/>
    <w:rsid w:val="00E944D6"/>
    <w:rsid w:val="00E94534"/>
    <w:rsid w:val="00E94644"/>
    <w:rsid w:val="00E946B5"/>
    <w:rsid w:val="00E94715"/>
    <w:rsid w:val="00E9480A"/>
    <w:rsid w:val="00E94836"/>
    <w:rsid w:val="00E9487E"/>
    <w:rsid w:val="00E94965"/>
    <w:rsid w:val="00E94ADF"/>
    <w:rsid w:val="00E94B1F"/>
    <w:rsid w:val="00E94B91"/>
    <w:rsid w:val="00E94C13"/>
    <w:rsid w:val="00E94C55"/>
    <w:rsid w:val="00E94DF2"/>
    <w:rsid w:val="00E94F68"/>
    <w:rsid w:val="00E94F7F"/>
    <w:rsid w:val="00E94FBB"/>
    <w:rsid w:val="00E95096"/>
    <w:rsid w:val="00E951E9"/>
    <w:rsid w:val="00E952A1"/>
    <w:rsid w:val="00E9573E"/>
    <w:rsid w:val="00E957BA"/>
    <w:rsid w:val="00E9594C"/>
    <w:rsid w:val="00E959EF"/>
    <w:rsid w:val="00E95A65"/>
    <w:rsid w:val="00E95B57"/>
    <w:rsid w:val="00E95CF0"/>
    <w:rsid w:val="00E95D22"/>
    <w:rsid w:val="00E95FAD"/>
    <w:rsid w:val="00E9604F"/>
    <w:rsid w:val="00E96313"/>
    <w:rsid w:val="00E9631B"/>
    <w:rsid w:val="00E964AA"/>
    <w:rsid w:val="00E965EC"/>
    <w:rsid w:val="00E966B1"/>
    <w:rsid w:val="00E96976"/>
    <w:rsid w:val="00E969DB"/>
    <w:rsid w:val="00E96D3C"/>
    <w:rsid w:val="00E96DAD"/>
    <w:rsid w:val="00E96DB9"/>
    <w:rsid w:val="00E96F5E"/>
    <w:rsid w:val="00E97048"/>
    <w:rsid w:val="00E970D3"/>
    <w:rsid w:val="00E970F4"/>
    <w:rsid w:val="00E97173"/>
    <w:rsid w:val="00E97175"/>
    <w:rsid w:val="00E97198"/>
    <w:rsid w:val="00E972BA"/>
    <w:rsid w:val="00E973F7"/>
    <w:rsid w:val="00E97478"/>
    <w:rsid w:val="00E9797D"/>
    <w:rsid w:val="00E97A59"/>
    <w:rsid w:val="00E97B36"/>
    <w:rsid w:val="00E97B74"/>
    <w:rsid w:val="00E97C9F"/>
    <w:rsid w:val="00E97FBB"/>
    <w:rsid w:val="00EA0108"/>
    <w:rsid w:val="00EA024C"/>
    <w:rsid w:val="00EA027C"/>
    <w:rsid w:val="00EA02E1"/>
    <w:rsid w:val="00EA0331"/>
    <w:rsid w:val="00EA0417"/>
    <w:rsid w:val="00EA0524"/>
    <w:rsid w:val="00EA054B"/>
    <w:rsid w:val="00EA0617"/>
    <w:rsid w:val="00EA062B"/>
    <w:rsid w:val="00EA084F"/>
    <w:rsid w:val="00EA0A84"/>
    <w:rsid w:val="00EA0E42"/>
    <w:rsid w:val="00EA0EA9"/>
    <w:rsid w:val="00EA0F6B"/>
    <w:rsid w:val="00EA1038"/>
    <w:rsid w:val="00EA103B"/>
    <w:rsid w:val="00EA1117"/>
    <w:rsid w:val="00EA11BC"/>
    <w:rsid w:val="00EA11C0"/>
    <w:rsid w:val="00EA1572"/>
    <w:rsid w:val="00EA18A8"/>
    <w:rsid w:val="00EA1AD5"/>
    <w:rsid w:val="00EA1C96"/>
    <w:rsid w:val="00EA1E43"/>
    <w:rsid w:val="00EA1FA4"/>
    <w:rsid w:val="00EA2106"/>
    <w:rsid w:val="00EA2121"/>
    <w:rsid w:val="00EA21A9"/>
    <w:rsid w:val="00EA22C5"/>
    <w:rsid w:val="00EA2364"/>
    <w:rsid w:val="00EA23A2"/>
    <w:rsid w:val="00EA23C2"/>
    <w:rsid w:val="00EA26A9"/>
    <w:rsid w:val="00EA2710"/>
    <w:rsid w:val="00EA2729"/>
    <w:rsid w:val="00EA289A"/>
    <w:rsid w:val="00EA2933"/>
    <w:rsid w:val="00EA29C9"/>
    <w:rsid w:val="00EA2AA6"/>
    <w:rsid w:val="00EA2ABA"/>
    <w:rsid w:val="00EA2B3C"/>
    <w:rsid w:val="00EA2B5A"/>
    <w:rsid w:val="00EA2BED"/>
    <w:rsid w:val="00EA2C22"/>
    <w:rsid w:val="00EA2D05"/>
    <w:rsid w:val="00EA2EA2"/>
    <w:rsid w:val="00EA3377"/>
    <w:rsid w:val="00EA33DC"/>
    <w:rsid w:val="00EA364D"/>
    <w:rsid w:val="00EA36C1"/>
    <w:rsid w:val="00EA3715"/>
    <w:rsid w:val="00EA3763"/>
    <w:rsid w:val="00EA37B9"/>
    <w:rsid w:val="00EA3807"/>
    <w:rsid w:val="00EA39A6"/>
    <w:rsid w:val="00EA3ACD"/>
    <w:rsid w:val="00EA3B7F"/>
    <w:rsid w:val="00EA3EFE"/>
    <w:rsid w:val="00EA3F08"/>
    <w:rsid w:val="00EA3F39"/>
    <w:rsid w:val="00EA3F95"/>
    <w:rsid w:val="00EA3FD5"/>
    <w:rsid w:val="00EA4022"/>
    <w:rsid w:val="00EA4103"/>
    <w:rsid w:val="00EA4146"/>
    <w:rsid w:val="00EA41A5"/>
    <w:rsid w:val="00EA41F8"/>
    <w:rsid w:val="00EA424D"/>
    <w:rsid w:val="00EA44B0"/>
    <w:rsid w:val="00EA4643"/>
    <w:rsid w:val="00EA46C6"/>
    <w:rsid w:val="00EA4728"/>
    <w:rsid w:val="00EA48BB"/>
    <w:rsid w:val="00EA48D8"/>
    <w:rsid w:val="00EA4A8F"/>
    <w:rsid w:val="00EA4B31"/>
    <w:rsid w:val="00EA4D0C"/>
    <w:rsid w:val="00EA4F12"/>
    <w:rsid w:val="00EA4F63"/>
    <w:rsid w:val="00EA5028"/>
    <w:rsid w:val="00EA502F"/>
    <w:rsid w:val="00EA516B"/>
    <w:rsid w:val="00EA5258"/>
    <w:rsid w:val="00EA535D"/>
    <w:rsid w:val="00EA53A2"/>
    <w:rsid w:val="00EA589B"/>
    <w:rsid w:val="00EA595E"/>
    <w:rsid w:val="00EA5A20"/>
    <w:rsid w:val="00EA5A6F"/>
    <w:rsid w:val="00EA5AC8"/>
    <w:rsid w:val="00EA5AEA"/>
    <w:rsid w:val="00EA5E77"/>
    <w:rsid w:val="00EA5F42"/>
    <w:rsid w:val="00EA6119"/>
    <w:rsid w:val="00EA6324"/>
    <w:rsid w:val="00EA633E"/>
    <w:rsid w:val="00EA636B"/>
    <w:rsid w:val="00EA6534"/>
    <w:rsid w:val="00EA657F"/>
    <w:rsid w:val="00EA66A3"/>
    <w:rsid w:val="00EA675B"/>
    <w:rsid w:val="00EA67DD"/>
    <w:rsid w:val="00EA684F"/>
    <w:rsid w:val="00EA68BA"/>
    <w:rsid w:val="00EA6B69"/>
    <w:rsid w:val="00EA6C22"/>
    <w:rsid w:val="00EA6F97"/>
    <w:rsid w:val="00EA701D"/>
    <w:rsid w:val="00EA716E"/>
    <w:rsid w:val="00EA71F6"/>
    <w:rsid w:val="00EA73D7"/>
    <w:rsid w:val="00EA7403"/>
    <w:rsid w:val="00EA746D"/>
    <w:rsid w:val="00EA74FD"/>
    <w:rsid w:val="00EA757D"/>
    <w:rsid w:val="00EA7627"/>
    <w:rsid w:val="00EA779D"/>
    <w:rsid w:val="00EA77D8"/>
    <w:rsid w:val="00EA7820"/>
    <w:rsid w:val="00EA782B"/>
    <w:rsid w:val="00EA789E"/>
    <w:rsid w:val="00EA7976"/>
    <w:rsid w:val="00EA7988"/>
    <w:rsid w:val="00EA7A6D"/>
    <w:rsid w:val="00EA7AA0"/>
    <w:rsid w:val="00EA7B99"/>
    <w:rsid w:val="00EA7DC7"/>
    <w:rsid w:val="00EA7F25"/>
    <w:rsid w:val="00EB03EE"/>
    <w:rsid w:val="00EB0412"/>
    <w:rsid w:val="00EB044A"/>
    <w:rsid w:val="00EB0487"/>
    <w:rsid w:val="00EB0618"/>
    <w:rsid w:val="00EB06A8"/>
    <w:rsid w:val="00EB06B2"/>
    <w:rsid w:val="00EB081C"/>
    <w:rsid w:val="00EB09EA"/>
    <w:rsid w:val="00EB0CA8"/>
    <w:rsid w:val="00EB0E60"/>
    <w:rsid w:val="00EB101A"/>
    <w:rsid w:val="00EB1027"/>
    <w:rsid w:val="00EB1115"/>
    <w:rsid w:val="00EB114F"/>
    <w:rsid w:val="00EB11D9"/>
    <w:rsid w:val="00EB1263"/>
    <w:rsid w:val="00EB139B"/>
    <w:rsid w:val="00EB13D1"/>
    <w:rsid w:val="00EB16AF"/>
    <w:rsid w:val="00EB1852"/>
    <w:rsid w:val="00EB1948"/>
    <w:rsid w:val="00EB1A4D"/>
    <w:rsid w:val="00EB1C9B"/>
    <w:rsid w:val="00EB1C9D"/>
    <w:rsid w:val="00EB1DF6"/>
    <w:rsid w:val="00EB205A"/>
    <w:rsid w:val="00EB2167"/>
    <w:rsid w:val="00EB21EE"/>
    <w:rsid w:val="00EB22E1"/>
    <w:rsid w:val="00EB231D"/>
    <w:rsid w:val="00EB235C"/>
    <w:rsid w:val="00EB24A0"/>
    <w:rsid w:val="00EB24BA"/>
    <w:rsid w:val="00EB2585"/>
    <w:rsid w:val="00EB29B4"/>
    <w:rsid w:val="00EB2AC7"/>
    <w:rsid w:val="00EB2B0A"/>
    <w:rsid w:val="00EB2C15"/>
    <w:rsid w:val="00EB2C80"/>
    <w:rsid w:val="00EB2D0D"/>
    <w:rsid w:val="00EB2D76"/>
    <w:rsid w:val="00EB2F6D"/>
    <w:rsid w:val="00EB31E1"/>
    <w:rsid w:val="00EB3254"/>
    <w:rsid w:val="00EB33C7"/>
    <w:rsid w:val="00EB37E7"/>
    <w:rsid w:val="00EB3806"/>
    <w:rsid w:val="00EB3824"/>
    <w:rsid w:val="00EB382B"/>
    <w:rsid w:val="00EB394D"/>
    <w:rsid w:val="00EB3AD9"/>
    <w:rsid w:val="00EB3D09"/>
    <w:rsid w:val="00EB3D3E"/>
    <w:rsid w:val="00EB3DE9"/>
    <w:rsid w:val="00EB3EF3"/>
    <w:rsid w:val="00EB3F21"/>
    <w:rsid w:val="00EB402E"/>
    <w:rsid w:val="00EB40B3"/>
    <w:rsid w:val="00EB4132"/>
    <w:rsid w:val="00EB413F"/>
    <w:rsid w:val="00EB4198"/>
    <w:rsid w:val="00EB4241"/>
    <w:rsid w:val="00EB427B"/>
    <w:rsid w:val="00EB4400"/>
    <w:rsid w:val="00EB4420"/>
    <w:rsid w:val="00EB45E0"/>
    <w:rsid w:val="00EB4618"/>
    <w:rsid w:val="00EB46CE"/>
    <w:rsid w:val="00EB47B1"/>
    <w:rsid w:val="00EB486E"/>
    <w:rsid w:val="00EB48AA"/>
    <w:rsid w:val="00EB491A"/>
    <w:rsid w:val="00EB49F4"/>
    <w:rsid w:val="00EB4ADF"/>
    <w:rsid w:val="00EB4B2D"/>
    <w:rsid w:val="00EB4BD1"/>
    <w:rsid w:val="00EB4BF0"/>
    <w:rsid w:val="00EB4CA3"/>
    <w:rsid w:val="00EB4CA8"/>
    <w:rsid w:val="00EB4D26"/>
    <w:rsid w:val="00EB4ECB"/>
    <w:rsid w:val="00EB4F25"/>
    <w:rsid w:val="00EB4F7D"/>
    <w:rsid w:val="00EB4F9F"/>
    <w:rsid w:val="00EB4FE4"/>
    <w:rsid w:val="00EB537A"/>
    <w:rsid w:val="00EB5415"/>
    <w:rsid w:val="00EB54A6"/>
    <w:rsid w:val="00EB54ED"/>
    <w:rsid w:val="00EB5541"/>
    <w:rsid w:val="00EB5581"/>
    <w:rsid w:val="00EB55D9"/>
    <w:rsid w:val="00EB561D"/>
    <w:rsid w:val="00EB5659"/>
    <w:rsid w:val="00EB5755"/>
    <w:rsid w:val="00EB5916"/>
    <w:rsid w:val="00EB5B2B"/>
    <w:rsid w:val="00EB5BB9"/>
    <w:rsid w:val="00EB5BBA"/>
    <w:rsid w:val="00EB5BEF"/>
    <w:rsid w:val="00EB5C49"/>
    <w:rsid w:val="00EB5CB9"/>
    <w:rsid w:val="00EB5DC4"/>
    <w:rsid w:val="00EB5E36"/>
    <w:rsid w:val="00EB5EB0"/>
    <w:rsid w:val="00EB5EBB"/>
    <w:rsid w:val="00EB5F0B"/>
    <w:rsid w:val="00EB5F5A"/>
    <w:rsid w:val="00EB6003"/>
    <w:rsid w:val="00EB600C"/>
    <w:rsid w:val="00EB614F"/>
    <w:rsid w:val="00EB62C4"/>
    <w:rsid w:val="00EB631E"/>
    <w:rsid w:val="00EB635E"/>
    <w:rsid w:val="00EB6378"/>
    <w:rsid w:val="00EB6489"/>
    <w:rsid w:val="00EB64E8"/>
    <w:rsid w:val="00EB652A"/>
    <w:rsid w:val="00EB6554"/>
    <w:rsid w:val="00EB690E"/>
    <w:rsid w:val="00EB6944"/>
    <w:rsid w:val="00EB69A8"/>
    <w:rsid w:val="00EB6BAE"/>
    <w:rsid w:val="00EB6BC2"/>
    <w:rsid w:val="00EB6C86"/>
    <w:rsid w:val="00EB6D1B"/>
    <w:rsid w:val="00EB6D3F"/>
    <w:rsid w:val="00EB6DC0"/>
    <w:rsid w:val="00EB6E70"/>
    <w:rsid w:val="00EB6EF1"/>
    <w:rsid w:val="00EB7024"/>
    <w:rsid w:val="00EB712D"/>
    <w:rsid w:val="00EB7245"/>
    <w:rsid w:val="00EB74F9"/>
    <w:rsid w:val="00EB751E"/>
    <w:rsid w:val="00EB75E8"/>
    <w:rsid w:val="00EB769B"/>
    <w:rsid w:val="00EB76F3"/>
    <w:rsid w:val="00EB79A6"/>
    <w:rsid w:val="00EB7A45"/>
    <w:rsid w:val="00EB7CBF"/>
    <w:rsid w:val="00EB7D4A"/>
    <w:rsid w:val="00EB7D4F"/>
    <w:rsid w:val="00EB7DB3"/>
    <w:rsid w:val="00EB7FCF"/>
    <w:rsid w:val="00EC023A"/>
    <w:rsid w:val="00EC0252"/>
    <w:rsid w:val="00EC0384"/>
    <w:rsid w:val="00EC040A"/>
    <w:rsid w:val="00EC0505"/>
    <w:rsid w:val="00EC0511"/>
    <w:rsid w:val="00EC0517"/>
    <w:rsid w:val="00EC05D7"/>
    <w:rsid w:val="00EC05EE"/>
    <w:rsid w:val="00EC0716"/>
    <w:rsid w:val="00EC07BD"/>
    <w:rsid w:val="00EC0B91"/>
    <w:rsid w:val="00EC0BA6"/>
    <w:rsid w:val="00EC0DBA"/>
    <w:rsid w:val="00EC0F01"/>
    <w:rsid w:val="00EC116B"/>
    <w:rsid w:val="00EC11C1"/>
    <w:rsid w:val="00EC124E"/>
    <w:rsid w:val="00EC12C4"/>
    <w:rsid w:val="00EC12F8"/>
    <w:rsid w:val="00EC13C6"/>
    <w:rsid w:val="00EC14C4"/>
    <w:rsid w:val="00EC1517"/>
    <w:rsid w:val="00EC154E"/>
    <w:rsid w:val="00EC1728"/>
    <w:rsid w:val="00EC1856"/>
    <w:rsid w:val="00EC1912"/>
    <w:rsid w:val="00EC1A30"/>
    <w:rsid w:val="00EC1B25"/>
    <w:rsid w:val="00EC1BAD"/>
    <w:rsid w:val="00EC1F02"/>
    <w:rsid w:val="00EC225A"/>
    <w:rsid w:val="00EC2515"/>
    <w:rsid w:val="00EC25D4"/>
    <w:rsid w:val="00EC25E8"/>
    <w:rsid w:val="00EC266B"/>
    <w:rsid w:val="00EC2681"/>
    <w:rsid w:val="00EC27ED"/>
    <w:rsid w:val="00EC27FA"/>
    <w:rsid w:val="00EC27FB"/>
    <w:rsid w:val="00EC294F"/>
    <w:rsid w:val="00EC2A16"/>
    <w:rsid w:val="00EC2BA7"/>
    <w:rsid w:val="00EC2D10"/>
    <w:rsid w:val="00EC2D69"/>
    <w:rsid w:val="00EC2FA6"/>
    <w:rsid w:val="00EC3151"/>
    <w:rsid w:val="00EC3158"/>
    <w:rsid w:val="00EC31EE"/>
    <w:rsid w:val="00EC3377"/>
    <w:rsid w:val="00EC3408"/>
    <w:rsid w:val="00EC348E"/>
    <w:rsid w:val="00EC34BC"/>
    <w:rsid w:val="00EC34EB"/>
    <w:rsid w:val="00EC3550"/>
    <w:rsid w:val="00EC3648"/>
    <w:rsid w:val="00EC37DE"/>
    <w:rsid w:val="00EC3972"/>
    <w:rsid w:val="00EC39CA"/>
    <w:rsid w:val="00EC3B0B"/>
    <w:rsid w:val="00EC3E3D"/>
    <w:rsid w:val="00EC3E52"/>
    <w:rsid w:val="00EC3F99"/>
    <w:rsid w:val="00EC3FF7"/>
    <w:rsid w:val="00EC40B1"/>
    <w:rsid w:val="00EC4382"/>
    <w:rsid w:val="00EC4551"/>
    <w:rsid w:val="00EC45FB"/>
    <w:rsid w:val="00EC4616"/>
    <w:rsid w:val="00EC4847"/>
    <w:rsid w:val="00EC4918"/>
    <w:rsid w:val="00EC4A67"/>
    <w:rsid w:val="00EC4A97"/>
    <w:rsid w:val="00EC4BFB"/>
    <w:rsid w:val="00EC4D41"/>
    <w:rsid w:val="00EC4D5F"/>
    <w:rsid w:val="00EC4DC7"/>
    <w:rsid w:val="00EC4DFE"/>
    <w:rsid w:val="00EC4E2B"/>
    <w:rsid w:val="00EC4EA3"/>
    <w:rsid w:val="00EC4F2C"/>
    <w:rsid w:val="00EC510A"/>
    <w:rsid w:val="00EC5123"/>
    <w:rsid w:val="00EC520C"/>
    <w:rsid w:val="00EC5333"/>
    <w:rsid w:val="00EC587A"/>
    <w:rsid w:val="00EC598A"/>
    <w:rsid w:val="00EC5B7D"/>
    <w:rsid w:val="00EC5BA0"/>
    <w:rsid w:val="00EC5D56"/>
    <w:rsid w:val="00EC5F9A"/>
    <w:rsid w:val="00EC60A7"/>
    <w:rsid w:val="00EC619C"/>
    <w:rsid w:val="00EC633F"/>
    <w:rsid w:val="00EC6559"/>
    <w:rsid w:val="00EC6716"/>
    <w:rsid w:val="00EC67A8"/>
    <w:rsid w:val="00EC6821"/>
    <w:rsid w:val="00EC6840"/>
    <w:rsid w:val="00EC689F"/>
    <w:rsid w:val="00EC6941"/>
    <w:rsid w:val="00EC6A15"/>
    <w:rsid w:val="00EC6AC6"/>
    <w:rsid w:val="00EC6B48"/>
    <w:rsid w:val="00EC6BB0"/>
    <w:rsid w:val="00EC6C7B"/>
    <w:rsid w:val="00EC6E4A"/>
    <w:rsid w:val="00EC6EA5"/>
    <w:rsid w:val="00EC6FC2"/>
    <w:rsid w:val="00EC7051"/>
    <w:rsid w:val="00EC70D2"/>
    <w:rsid w:val="00EC72BE"/>
    <w:rsid w:val="00EC74A7"/>
    <w:rsid w:val="00EC75B6"/>
    <w:rsid w:val="00EC7696"/>
    <w:rsid w:val="00EC76D8"/>
    <w:rsid w:val="00EC78A9"/>
    <w:rsid w:val="00EC79BF"/>
    <w:rsid w:val="00EC7AF8"/>
    <w:rsid w:val="00EC7C57"/>
    <w:rsid w:val="00EC7CD7"/>
    <w:rsid w:val="00EC7D53"/>
    <w:rsid w:val="00EC7E6F"/>
    <w:rsid w:val="00EC7EC5"/>
    <w:rsid w:val="00ED0088"/>
    <w:rsid w:val="00ED0120"/>
    <w:rsid w:val="00ED01A8"/>
    <w:rsid w:val="00ED02A3"/>
    <w:rsid w:val="00ED02B2"/>
    <w:rsid w:val="00ED038A"/>
    <w:rsid w:val="00ED04CD"/>
    <w:rsid w:val="00ED07A7"/>
    <w:rsid w:val="00ED0947"/>
    <w:rsid w:val="00ED09BB"/>
    <w:rsid w:val="00ED0A8C"/>
    <w:rsid w:val="00ED0AAB"/>
    <w:rsid w:val="00ED0B9D"/>
    <w:rsid w:val="00ED0BB5"/>
    <w:rsid w:val="00ED0D4C"/>
    <w:rsid w:val="00ED0D7E"/>
    <w:rsid w:val="00ED0E21"/>
    <w:rsid w:val="00ED0FC7"/>
    <w:rsid w:val="00ED1053"/>
    <w:rsid w:val="00ED138E"/>
    <w:rsid w:val="00ED13E5"/>
    <w:rsid w:val="00ED13F4"/>
    <w:rsid w:val="00ED13F9"/>
    <w:rsid w:val="00ED1463"/>
    <w:rsid w:val="00ED163A"/>
    <w:rsid w:val="00ED17C9"/>
    <w:rsid w:val="00ED1835"/>
    <w:rsid w:val="00ED1861"/>
    <w:rsid w:val="00ED18E6"/>
    <w:rsid w:val="00ED1F4F"/>
    <w:rsid w:val="00ED2376"/>
    <w:rsid w:val="00ED2728"/>
    <w:rsid w:val="00ED27B7"/>
    <w:rsid w:val="00ED2A90"/>
    <w:rsid w:val="00ED2AAC"/>
    <w:rsid w:val="00ED2AD9"/>
    <w:rsid w:val="00ED3035"/>
    <w:rsid w:val="00ED30D9"/>
    <w:rsid w:val="00ED3364"/>
    <w:rsid w:val="00ED3410"/>
    <w:rsid w:val="00ED367B"/>
    <w:rsid w:val="00ED376A"/>
    <w:rsid w:val="00ED37CB"/>
    <w:rsid w:val="00ED3825"/>
    <w:rsid w:val="00ED3837"/>
    <w:rsid w:val="00ED3AAA"/>
    <w:rsid w:val="00ED3AED"/>
    <w:rsid w:val="00ED3BFC"/>
    <w:rsid w:val="00ED3EAF"/>
    <w:rsid w:val="00ED3F41"/>
    <w:rsid w:val="00ED3FC2"/>
    <w:rsid w:val="00ED40D5"/>
    <w:rsid w:val="00ED41A1"/>
    <w:rsid w:val="00ED41B3"/>
    <w:rsid w:val="00ED41DE"/>
    <w:rsid w:val="00ED4252"/>
    <w:rsid w:val="00ED4373"/>
    <w:rsid w:val="00ED4684"/>
    <w:rsid w:val="00ED4709"/>
    <w:rsid w:val="00ED4754"/>
    <w:rsid w:val="00ED47E5"/>
    <w:rsid w:val="00ED4982"/>
    <w:rsid w:val="00ED4AEF"/>
    <w:rsid w:val="00ED4AF8"/>
    <w:rsid w:val="00ED4CD4"/>
    <w:rsid w:val="00ED4CEB"/>
    <w:rsid w:val="00ED4D6A"/>
    <w:rsid w:val="00ED4F3E"/>
    <w:rsid w:val="00ED4FB2"/>
    <w:rsid w:val="00ED51EC"/>
    <w:rsid w:val="00ED52CE"/>
    <w:rsid w:val="00ED53CE"/>
    <w:rsid w:val="00ED559E"/>
    <w:rsid w:val="00ED55D8"/>
    <w:rsid w:val="00ED5988"/>
    <w:rsid w:val="00ED59D7"/>
    <w:rsid w:val="00ED59E4"/>
    <w:rsid w:val="00ED59F9"/>
    <w:rsid w:val="00ED5E91"/>
    <w:rsid w:val="00ED634F"/>
    <w:rsid w:val="00ED63F5"/>
    <w:rsid w:val="00ED64E4"/>
    <w:rsid w:val="00ED6522"/>
    <w:rsid w:val="00ED654B"/>
    <w:rsid w:val="00ED663C"/>
    <w:rsid w:val="00ED672D"/>
    <w:rsid w:val="00ED6950"/>
    <w:rsid w:val="00ED695A"/>
    <w:rsid w:val="00ED6C08"/>
    <w:rsid w:val="00ED6C6B"/>
    <w:rsid w:val="00ED6C8E"/>
    <w:rsid w:val="00ED6E35"/>
    <w:rsid w:val="00ED6F61"/>
    <w:rsid w:val="00ED6F6F"/>
    <w:rsid w:val="00ED6FB9"/>
    <w:rsid w:val="00ED7243"/>
    <w:rsid w:val="00ED736A"/>
    <w:rsid w:val="00ED7456"/>
    <w:rsid w:val="00ED75A2"/>
    <w:rsid w:val="00ED7677"/>
    <w:rsid w:val="00ED78D0"/>
    <w:rsid w:val="00ED7A4A"/>
    <w:rsid w:val="00ED7E1A"/>
    <w:rsid w:val="00EE004B"/>
    <w:rsid w:val="00EE0223"/>
    <w:rsid w:val="00EE0349"/>
    <w:rsid w:val="00EE045B"/>
    <w:rsid w:val="00EE04AF"/>
    <w:rsid w:val="00EE0591"/>
    <w:rsid w:val="00EE0606"/>
    <w:rsid w:val="00EE071E"/>
    <w:rsid w:val="00EE0758"/>
    <w:rsid w:val="00EE0964"/>
    <w:rsid w:val="00EE0B09"/>
    <w:rsid w:val="00EE0CE5"/>
    <w:rsid w:val="00EE0E49"/>
    <w:rsid w:val="00EE0EF5"/>
    <w:rsid w:val="00EE0F2B"/>
    <w:rsid w:val="00EE0F8D"/>
    <w:rsid w:val="00EE1048"/>
    <w:rsid w:val="00EE1095"/>
    <w:rsid w:val="00EE116E"/>
    <w:rsid w:val="00EE12E6"/>
    <w:rsid w:val="00EE1371"/>
    <w:rsid w:val="00EE1376"/>
    <w:rsid w:val="00EE14E3"/>
    <w:rsid w:val="00EE1528"/>
    <w:rsid w:val="00EE17C8"/>
    <w:rsid w:val="00EE17FB"/>
    <w:rsid w:val="00EE1D8A"/>
    <w:rsid w:val="00EE1DE2"/>
    <w:rsid w:val="00EE20A4"/>
    <w:rsid w:val="00EE2342"/>
    <w:rsid w:val="00EE23A7"/>
    <w:rsid w:val="00EE2461"/>
    <w:rsid w:val="00EE24C3"/>
    <w:rsid w:val="00EE24F6"/>
    <w:rsid w:val="00EE2754"/>
    <w:rsid w:val="00EE27E5"/>
    <w:rsid w:val="00EE289D"/>
    <w:rsid w:val="00EE28A9"/>
    <w:rsid w:val="00EE28F4"/>
    <w:rsid w:val="00EE299A"/>
    <w:rsid w:val="00EE2ACD"/>
    <w:rsid w:val="00EE2AE8"/>
    <w:rsid w:val="00EE2B30"/>
    <w:rsid w:val="00EE2B6A"/>
    <w:rsid w:val="00EE2B8D"/>
    <w:rsid w:val="00EE2E8C"/>
    <w:rsid w:val="00EE2F67"/>
    <w:rsid w:val="00EE2F6D"/>
    <w:rsid w:val="00EE303B"/>
    <w:rsid w:val="00EE30DF"/>
    <w:rsid w:val="00EE3168"/>
    <w:rsid w:val="00EE3191"/>
    <w:rsid w:val="00EE31FE"/>
    <w:rsid w:val="00EE3257"/>
    <w:rsid w:val="00EE3404"/>
    <w:rsid w:val="00EE34FB"/>
    <w:rsid w:val="00EE362F"/>
    <w:rsid w:val="00EE374F"/>
    <w:rsid w:val="00EE3917"/>
    <w:rsid w:val="00EE3A86"/>
    <w:rsid w:val="00EE3BE1"/>
    <w:rsid w:val="00EE3C70"/>
    <w:rsid w:val="00EE3CB1"/>
    <w:rsid w:val="00EE3E33"/>
    <w:rsid w:val="00EE3E86"/>
    <w:rsid w:val="00EE3EBB"/>
    <w:rsid w:val="00EE3F9C"/>
    <w:rsid w:val="00EE4045"/>
    <w:rsid w:val="00EE4229"/>
    <w:rsid w:val="00EE422A"/>
    <w:rsid w:val="00EE4236"/>
    <w:rsid w:val="00EE4260"/>
    <w:rsid w:val="00EE4341"/>
    <w:rsid w:val="00EE4538"/>
    <w:rsid w:val="00EE4549"/>
    <w:rsid w:val="00EE46E0"/>
    <w:rsid w:val="00EE48D3"/>
    <w:rsid w:val="00EE492E"/>
    <w:rsid w:val="00EE49AB"/>
    <w:rsid w:val="00EE4BBA"/>
    <w:rsid w:val="00EE4BDB"/>
    <w:rsid w:val="00EE4DD3"/>
    <w:rsid w:val="00EE4E5E"/>
    <w:rsid w:val="00EE4E98"/>
    <w:rsid w:val="00EE4FA7"/>
    <w:rsid w:val="00EE5149"/>
    <w:rsid w:val="00EE5441"/>
    <w:rsid w:val="00EE5806"/>
    <w:rsid w:val="00EE5829"/>
    <w:rsid w:val="00EE5915"/>
    <w:rsid w:val="00EE594D"/>
    <w:rsid w:val="00EE59F9"/>
    <w:rsid w:val="00EE5B7D"/>
    <w:rsid w:val="00EE5B92"/>
    <w:rsid w:val="00EE5CA7"/>
    <w:rsid w:val="00EE5CB7"/>
    <w:rsid w:val="00EE5DDA"/>
    <w:rsid w:val="00EE6109"/>
    <w:rsid w:val="00EE6174"/>
    <w:rsid w:val="00EE61CF"/>
    <w:rsid w:val="00EE61DF"/>
    <w:rsid w:val="00EE63EE"/>
    <w:rsid w:val="00EE6448"/>
    <w:rsid w:val="00EE6503"/>
    <w:rsid w:val="00EE68A1"/>
    <w:rsid w:val="00EE68A7"/>
    <w:rsid w:val="00EE69C4"/>
    <w:rsid w:val="00EE6C5D"/>
    <w:rsid w:val="00EE6E12"/>
    <w:rsid w:val="00EE6F64"/>
    <w:rsid w:val="00EE6F78"/>
    <w:rsid w:val="00EE767B"/>
    <w:rsid w:val="00EE7702"/>
    <w:rsid w:val="00EE785D"/>
    <w:rsid w:val="00EE79A3"/>
    <w:rsid w:val="00EE7CF5"/>
    <w:rsid w:val="00EE7DF3"/>
    <w:rsid w:val="00EE7EC1"/>
    <w:rsid w:val="00EF0077"/>
    <w:rsid w:val="00EF008F"/>
    <w:rsid w:val="00EF041C"/>
    <w:rsid w:val="00EF0443"/>
    <w:rsid w:val="00EF0657"/>
    <w:rsid w:val="00EF0A66"/>
    <w:rsid w:val="00EF0AE2"/>
    <w:rsid w:val="00EF0B93"/>
    <w:rsid w:val="00EF0C13"/>
    <w:rsid w:val="00EF0C64"/>
    <w:rsid w:val="00EF0D32"/>
    <w:rsid w:val="00EF0D71"/>
    <w:rsid w:val="00EF0FC2"/>
    <w:rsid w:val="00EF1116"/>
    <w:rsid w:val="00EF1412"/>
    <w:rsid w:val="00EF1620"/>
    <w:rsid w:val="00EF163B"/>
    <w:rsid w:val="00EF16D6"/>
    <w:rsid w:val="00EF1935"/>
    <w:rsid w:val="00EF19A0"/>
    <w:rsid w:val="00EF1A6B"/>
    <w:rsid w:val="00EF1AF0"/>
    <w:rsid w:val="00EF1BBD"/>
    <w:rsid w:val="00EF1BD0"/>
    <w:rsid w:val="00EF1CD7"/>
    <w:rsid w:val="00EF1DFD"/>
    <w:rsid w:val="00EF1E25"/>
    <w:rsid w:val="00EF1F4D"/>
    <w:rsid w:val="00EF20D2"/>
    <w:rsid w:val="00EF2129"/>
    <w:rsid w:val="00EF21AE"/>
    <w:rsid w:val="00EF22B9"/>
    <w:rsid w:val="00EF248D"/>
    <w:rsid w:val="00EF26B8"/>
    <w:rsid w:val="00EF27B2"/>
    <w:rsid w:val="00EF286A"/>
    <w:rsid w:val="00EF294D"/>
    <w:rsid w:val="00EF2A6A"/>
    <w:rsid w:val="00EF2AFA"/>
    <w:rsid w:val="00EF2B35"/>
    <w:rsid w:val="00EF2E2A"/>
    <w:rsid w:val="00EF2E67"/>
    <w:rsid w:val="00EF2EE9"/>
    <w:rsid w:val="00EF2F0B"/>
    <w:rsid w:val="00EF2F16"/>
    <w:rsid w:val="00EF2F66"/>
    <w:rsid w:val="00EF303D"/>
    <w:rsid w:val="00EF322C"/>
    <w:rsid w:val="00EF3306"/>
    <w:rsid w:val="00EF33AE"/>
    <w:rsid w:val="00EF3439"/>
    <w:rsid w:val="00EF34C0"/>
    <w:rsid w:val="00EF3659"/>
    <w:rsid w:val="00EF36AF"/>
    <w:rsid w:val="00EF3732"/>
    <w:rsid w:val="00EF3780"/>
    <w:rsid w:val="00EF39D2"/>
    <w:rsid w:val="00EF3B29"/>
    <w:rsid w:val="00EF3C20"/>
    <w:rsid w:val="00EF3D6A"/>
    <w:rsid w:val="00EF3ED8"/>
    <w:rsid w:val="00EF3FAE"/>
    <w:rsid w:val="00EF414A"/>
    <w:rsid w:val="00EF4205"/>
    <w:rsid w:val="00EF43A1"/>
    <w:rsid w:val="00EF452B"/>
    <w:rsid w:val="00EF47B5"/>
    <w:rsid w:val="00EF47F9"/>
    <w:rsid w:val="00EF47FF"/>
    <w:rsid w:val="00EF4873"/>
    <w:rsid w:val="00EF48A4"/>
    <w:rsid w:val="00EF49FF"/>
    <w:rsid w:val="00EF4C0F"/>
    <w:rsid w:val="00EF4C72"/>
    <w:rsid w:val="00EF4CA0"/>
    <w:rsid w:val="00EF4D57"/>
    <w:rsid w:val="00EF4DB9"/>
    <w:rsid w:val="00EF4E3E"/>
    <w:rsid w:val="00EF5004"/>
    <w:rsid w:val="00EF5016"/>
    <w:rsid w:val="00EF5094"/>
    <w:rsid w:val="00EF5097"/>
    <w:rsid w:val="00EF5126"/>
    <w:rsid w:val="00EF5365"/>
    <w:rsid w:val="00EF5426"/>
    <w:rsid w:val="00EF587A"/>
    <w:rsid w:val="00EF592C"/>
    <w:rsid w:val="00EF5BA5"/>
    <w:rsid w:val="00EF5FA7"/>
    <w:rsid w:val="00EF603A"/>
    <w:rsid w:val="00EF60BA"/>
    <w:rsid w:val="00EF62B3"/>
    <w:rsid w:val="00EF645A"/>
    <w:rsid w:val="00EF67AA"/>
    <w:rsid w:val="00EF67AE"/>
    <w:rsid w:val="00EF67DA"/>
    <w:rsid w:val="00EF6AD7"/>
    <w:rsid w:val="00EF6D16"/>
    <w:rsid w:val="00EF6F08"/>
    <w:rsid w:val="00EF6F3E"/>
    <w:rsid w:val="00EF6F55"/>
    <w:rsid w:val="00EF6F5A"/>
    <w:rsid w:val="00EF6FC9"/>
    <w:rsid w:val="00EF7463"/>
    <w:rsid w:val="00EF748E"/>
    <w:rsid w:val="00EF749D"/>
    <w:rsid w:val="00EF775E"/>
    <w:rsid w:val="00EF782C"/>
    <w:rsid w:val="00EF78CE"/>
    <w:rsid w:val="00EF78E7"/>
    <w:rsid w:val="00EF79A3"/>
    <w:rsid w:val="00EF7AD4"/>
    <w:rsid w:val="00EF7BFB"/>
    <w:rsid w:val="00EF7C6E"/>
    <w:rsid w:val="00EF7CC6"/>
    <w:rsid w:val="00EF7DEE"/>
    <w:rsid w:val="00EF7FB4"/>
    <w:rsid w:val="00F00104"/>
    <w:rsid w:val="00F0012E"/>
    <w:rsid w:val="00F002B0"/>
    <w:rsid w:val="00F002F9"/>
    <w:rsid w:val="00F0051A"/>
    <w:rsid w:val="00F005AC"/>
    <w:rsid w:val="00F006F6"/>
    <w:rsid w:val="00F00720"/>
    <w:rsid w:val="00F008D6"/>
    <w:rsid w:val="00F009A2"/>
    <w:rsid w:val="00F00AC9"/>
    <w:rsid w:val="00F00B10"/>
    <w:rsid w:val="00F00B3E"/>
    <w:rsid w:val="00F00B48"/>
    <w:rsid w:val="00F00B81"/>
    <w:rsid w:val="00F00BE4"/>
    <w:rsid w:val="00F00CC2"/>
    <w:rsid w:val="00F00E43"/>
    <w:rsid w:val="00F00E70"/>
    <w:rsid w:val="00F00F38"/>
    <w:rsid w:val="00F00FCA"/>
    <w:rsid w:val="00F00FDB"/>
    <w:rsid w:val="00F013C5"/>
    <w:rsid w:val="00F014EE"/>
    <w:rsid w:val="00F0154B"/>
    <w:rsid w:val="00F01586"/>
    <w:rsid w:val="00F015CC"/>
    <w:rsid w:val="00F015D3"/>
    <w:rsid w:val="00F0167D"/>
    <w:rsid w:val="00F016F9"/>
    <w:rsid w:val="00F01794"/>
    <w:rsid w:val="00F01990"/>
    <w:rsid w:val="00F01C76"/>
    <w:rsid w:val="00F01DAD"/>
    <w:rsid w:val="00F02018"/>
    <w:rsid w:val="00F02155"/>
    <w:rsid w:val="00F02156"/>
    <w:rsid w:val="00F0218B"/>
    <w:rsid w:val="00F022DD"/>
    <w:rsid w:val="00F02465"/>
    <w:rsid w:val="00F024F9"/>
    <w:rsid w:val="00F02539"/>
    <w:rsid w:val="00F026A2"/>
    <w:rsid w:val="00F026F9"/>
    <w:rsid w:val="00F02746"/>
    <w:rsid w:val="00F028F5"/>
    <w:rsid w:val="00F0297B"/>
    <w:rsid w:val="00F029B7"/>
    <w:rsid w:val="00F02B7B"/>
    <w:rsid w:val="00F02C72"/>
    <w:rsid w:val="00F02CA2"/>
    <w:rsid w:val="00F02CCE"/>
    <w:rsid w:val="00F02D25"/>
    <w:rsid w:val="00F02F58"/>
    <w:rsid w:val="00F03052"/>
    <w:rsid w:val="00F03180"/>
    <w:rsid w:val="00F0318E"/>
    <w:rsid w:val="00F03453"/>
    <w:rsid w:val="00F034A2"/>
    <w:rsid w:val="00F03502"/>
    <w:rsid w:val="00F03646"/>
    <w:rsid w:val="00F037D0"/>
    <w:rsid w:val="00F0383C"/>
    <w:rsid w:val="00F03890"/>
    <w:rsid w:val="00F03B46"/>
    <w:rsid w:val="00F03B5C"/>
    <w:rsid w:val="00F03B7B"/>
    <w:rsid w:val="00F03BD1"/>
    <w:rsid w:val="00F03E4F"/>
    <w:rsid w:val="00F03E5C"/>
    <w:rsid w:val="00F03E80"/>
    <w:rsid w:val="00F042DE"/>
    <w:rsid w:val="00F042E1"/>
    <w:rsid w:val="00F04300"/>
    <w:rsid w:val="00F045CA"/>
    <w:rsid w:val="00F04649"/>
    <w:rsid w:val="00F048FA"/>
    <w:rsid w:val="00F049D7"/>
    <w:rsid w:val="00F04B3D"/>
    <w:rsid w:val="00F04B57"/>
    <w:rsid w:val="00F04B9D"/>
    <w:rsid w:val="00F04D71"/>
    <w:rsid w:val="00F04E2A"/>
    <w:rsid w:val="00F04E3F"/>
    <w:rsid w:val="00F04FF3"/>
    <w:rsid w:val="00F0519E"/>
    <w:rsid w:val="00F051E9"/>
    <w:rsid w:val="00F051F7"/>
    <w:rsid w:val="00F052FC"/>
    <w:rsid w:val="00F0544C"/>
    <w:rsid w:val="00F05546"/>
    <w:rsid w:val="00F05688"/>
    <w:rsid w:val="00F057DF"/>
    <w:rsid w:val="00F0580B"/>
    <w:rsid w:val="00F05ADE"/>
    <w:rsid w:val="00F05B18"/>
    <w:rsid w:val="00F05CAB"/>
    <w:rsid w:val="00F05E0A"/>
    <w:rsid w:val="00F0608A"/>
    <w:rsid w:val="00F060A7"/>
    <w:rsid w:val="00F06210"/>
    <w:rsid w:val="00F06392"/>
    <w:rsid w:val="00F063CD"/>
    <w:rsid w:val="00F0645A"/>
    <w:rsid w:val="00F064A2"/>
    <w:rsid w:val="00F06547"/>
    <w:rsid w:val="00F0660E"/>
    <w:rsid w:val="00F0665C"/>
    <w:rsid w:val="00F0667E"/>
    <w:rsid w:val="00F06850"/>
    <w:rsid w:val="00F068B6"/>
    <w:rsid w:val="00F06A6D"/>
    <w:rsid w:val="00F06AF9"/>
    <w:rsid w:val="00F06BE8"/>
    <w:rsid w:val="00F06DA8"/>
    <w:rsid w:val="00F06E6D"/>
    <w:rsid w:val="00F06E78"/>
    <w:rsid w:val="00F06F06"/>
    <w:rsid w:val="00F07192"/>
    <w:rsid w:val="00F072C8"/>
    <w:rsid w:val="00F072F5"/>
    <w:rsid w:val="00F0739D"/>
    <w:rsid w:val="00F07526"/>
    <w:rsid w:val="00F07639"/>
    <w:rsid w:val="00F076FE"/>
    <w:rsid w:val="00F0771F"/>
    <w:rsid w:val="00F0779A"/>
    <w:rsid w:val="00F077D8"/>
    <w:rsid w:val="00F07957"/>
    <w:rsid w:val="00F07A9F"/>
    <w:rsid w:val="00F07BF5"/>
    <w:rsid w:val="00F07E31"/>
    <w:rsid w:val="00F07E8F"/>
    <w:rsid w:val="00F07FAE"/>
    <w:rsid w:val="00F10001"/>
    <w:rsid w:val="00F100D2"/>
    <w:rsid w:val="00F102AC"/>
    <w:rsid w:val="00F1037E"/>
    <w:rsid w:val="00F103F0"/>
    <w:rsid w:val="00F10414"/>
    <w:rsid w:val="00F106B1"/>
    <w:rsid w:val="00F107FC"/>
    <w:rsid w:val="00F10833"/>
    <w:rsid w:val="00F108D2"/>
    <w:rsid w:val="00F10A65"/>
    <w:rsid w:val="00F10B3B"/>
    <w:rsid w:val="00F10B7C"/>
    <w:rsid w:val="00F10CD4"/>
    <w:rsid w:val="00F10DC5"/>
    <w:rsid w:val="00F110F2"/>
    <w:rsid w:val="00F1112C"/>
    <w:rsid w:val="00F11214"/>
    <w:rsid w:val="00F1145E"/>
    <w:rsid w:val="00F1154E"/>
    <w:rsid w:val="00F115E5"/>
    <w:rsid w:val="00F11660"/>
    <w:rsid w:val="00F118CC"/>
    <w:rsid w:val="00F118FE"/>
    <w:rsid w:val="00F1195C"/>
    <w:rsid w:val="00F11A65"/>
    <w:rsid w:val="00F11AB3"/>
    <w:rsid w:val="00F11ACB"/>
    <w:rsid w:val="00F11E75"/>
    <w:rsid w:val="00F11F07"/>
    <w:rsid w:val="00F12049"/>
    <w:rsid w:val="00F120C7"/>
    <w:rsid w:val="00F120E9"/>
    <w:rsid w:val="00F12108"/>
    <w:rsid w:val="00F12192"/>
    <w:rsid w:val="00F122E0"/>
    <w:rsid w:val="00F1245B"/>
    <w:rsid w:val="00F124AE"/>
    <w:rsid w:val="00F12523"/>
    <w:rsid w:val="00F125BD"/>
    <w:rsid w:val="00F126A0"/>
    <w:rsid w:val="00F12733"/>
    <w:rsid w:val="00F1274B"/>
    <w:rsid w:val="00F1291E"/>
    <w:rsid w:val="00F12A10"/>
    <w:rsid w:val="00F12BB8"/>
    <w:rsid w:val="00F12BBA"/>
    <w:rsid w:val="00F12C7D"/>
    <w:rsid w:val="00F12CC7"/>
    <w:rsid w:val="00F12D84"/>
    <w:rsid w:val="00F12DDD"/>
    <w:rsid w:val="00F12E17"/>
    <w:rsid w:val="00F12FAA"/>
    <w:rsid w:val="00F1301F"/>
    <w:rsid w:val="00F1314A"/>
    <w:rsid w:val="00F131F0"/>
    <w:rsid w:val="00F133E7"/>
    <w:rsid w:val="00F13727"/>
    <w:rsid w:val="00F13733"/>
    <w:rsid w:val="00F1373A"/>
    <w:rsid w:val="00F1377A"/>
    <w:rsid w:val="00F1380D"/>
    <w:rsid w:val="00F1396D"/>
    <w:rsid w:val="00F139C5"/>
    <w:rsid w:val="00F13B44"/>
    <w:rsid w:val="00F13B71"/>
    <w:rsid w:val="00F13BA9"/>
    <w:rsid w:val="00F13C6D"/>
    <w:rsid w:val="00F13DC7"/>
    <w:rsid w:val="00F13E1E"/>
    <w:rsid w:val="00F13E8B"/>
    <w:rsid w:val="00F13EB5"/>
    <w:rsid w:val="00F13FA7"/>
    <w:rsid w:val="00F140C1"/>
    <w:rsid w:val="00F143DB"/>
    <w:rsid w:val="00F14481"/>
    <w:rsid w:val="00F144B0"/>
    <w:rsid w:val="00F144E7"/>
    <w:rsid w:val="00F14566"/>
    <w:rsid w:val="00F145DF"/>
    <w:rsid w:val="00F1466F"/>
    <w:rsid w:val="00F146EA"/>
    <w:rsid w:val="00F146ED"/>
    <w:rsid w:val="00F1479C"/>
    <w:rsid w:val="00F14889"/>
    <w:rsid w:val="00F149F5"/>
    <w:rsid w:val="00F14F96"/>
    <w:rsid w:val="00F150E1"/>
    <w:rsid w:val="00F151C1"/>
    <w:rsid w:val="00F152E8"/>
    <w:rsid w:val="00F15432"/>
    <w:rsid w:val="00F15444"/>
    <w:rsid w:val="00F15545"/>
    <w:rsid w:val="00F1557E"/>
    <w:rsid w:val="00F15769"/>
    <w:rsid w:val="00F158EB"/>
    <w:rsid w:val="00F159AD"/>
    <w:rsid w:val="00F15AD6"/>
    <w:rsid w:val="00F15C09"/>
    <w:rsid w:val="00F15CD1"/>
    <w:rsid w:val="00F15D12"/>
    <w:rsid w:val="00F1602B"/>
    <w:rsid w:val="00F162EA"/>
    <w:rsid w:val="00F16404"/>
    <w:rsid w:val="00F16458"/>
    <w:rsid w:val="00F16459"/>
    <w:rsid w:val="00F164BA"/>
    <w:rsid w:val="00F165DE"/>
    <w:rsid w:val="00F16713"/>
    <w:rsid w:val="00F168B7"/>
    <w:rsid w:val="00F16992"/>
    <w:rsid w:val="00F16B7B"/>
    <w:rsid w:val="00F16C5B"/>
    <w:rsid w:val="00F16DC1"/>
    <w:rsid w:val="00F16DEC"/>
    <w:rsid w:val="00F16F14"/>
    <w:rsid w:val="00F16F30"/>
    <w:rsid w:val="00F16FC9"/>
    <w:rsid w:val="00F1707D"/>
    <w:rsid w:val="00F1707F"/>
    <w:rsid w:val="00F17109"/>
    <w:rsid w:val="00F1715E"/>
    <w:rsid w:val="00F173FF"/>
    <w:rsid w:val="00F174FF"/>
    <w:rsid w:val="00F1763F"/>
    <w:rsid w:val="00F176A4"/>
    <w:rsid w:val="00F1773B"/>
    <w:rsid w:val="00F17B1D"/>
    <w:rsid w:val="00F17BD0"/>
    <w:rsid w:val="00F17D24"/>
    <w:rsid w:val="00F17DC5"/>
    <w:rsid w:val="00F17DD4"/>
    <w:rsid w:val="00F17DD8"/>
    <w:rsid w:val="00F17E55"/>
    <w:rsid w:val="00F17E86"/>
    <w:rsid w:val="00F17FA2"/>
    <w:rsid w:val="00F20260"/>
    <w:rsid w:val="00F20281"/>
    <w:rsid w:val="00F2032E"/>
    <w:rsid w:val="00F203E5"/>
    <w:rsid w:val="00F2061E"/>
    <w:rsid w:val="00F2076A"/>
    <w:rsid w:val="00F209DD"/>
    <w:rsid w:val="00F20A37"/>
    <w:rsid w:val="00F20A63"/>
    <w:rsid w:val="00F20A6C"/>
    <w:rsid w:val="00F20ABC"/>
    <w:rsid w:val="00F20AE7"/>
    <w:rsid w:val="00F20AF4"/>
    <w:rsid w:val="00F20B3A"/>
    <w:rsid w:val="00F20B5D"/>
    <w:rsid w:val="00F20BA9"/>
    <w:rsid w:val="00F20CD7"/>
    <w:rsid w:val="00F20DBD"/>
    <w:rsid w:val="00F20E5C"/>
    <w:rsid w:val="00F20EAB"/>
    <w:rsid w:val="00F20EED"/>
    <w:rsid w:val="00F2100A"/>
    <w:rsid w:val="00F21165"/>
    <w:rsid w:val="00F21180"/>
    <w:rsid w:val="00F2119F"/>
    <w:rsid w:val="00F211D8"/>
    <w:rsid w:val="00F21270"/>
    <w:rsid w:val="00F212CA"/>
    <w:rsid w:val="00F2146D"/>
    <w:rsid w:val="00F21702"/>
    <w:rsid w:val="00F217FD"/>
    <w:rsid w:val="00F22043"/>
    <w:rsid w:val="00F223CD"/>
    <w:rsid w:val="00F22412"/>
    <w:rsid w:val="00F226CD"/>
    <w:rsid w:val="00F22868"/>
    <w:rsid w:val="00F228D2"/>
    <w:rsid w:val="00F228E0"/>
    <w:rsid w:val="00F229BE"/>
    <w:rsid w:val="00F22A73"/>
    <w:rsid w:val="00F22A7A"/>
    <w:rsid w:val="00F22B5C"/>
    <w:rsid w:val="00F22BE9"/>
    <w:rsid w:val="00F22EA0"/>
    <w:rsid w:val="00F22F4E"/>
    <w:rsid w:val="00F22FBA"/>
    <w:rsid w:val="00F230BF"/>
    <w:rsid w:val="00F2314C"/>
    <w:rsid w:val="00F23201"/>
    <w:rsid w:val="00F23251"/>
    <w:rsid w:val="00F23266"/>
    <w:rsid w:val="00F2353D"/>
    <w:rsid w:val="00F235A8"/>
    <w:rsid w:val="00F236B7"/>
    <w:rsid w:val="00F23C08"/>
    <w:rsid w:val="00F23C0A"/>
    <w:rsid w:val="00F23C7C"/>
    <w:rsid w:val="00F23E58"/>
    <w:rsid w:val="00F23F13"/>
    <w:rsid w:val="00F24293"/>
    <w:rsid w:val="00F24523"/>
    <w:rsid w:val="00F24589"/>
    <w:rsid w:val="00F2466E"/>
    <w:rsid w:val="00F2476A"/>
    <w:rsid w:val="00F247E5"/>
    <w:rsid w:val="00F24806"/>
    <w:rsid w:val="00F24807"/>
    <w:rsid w:val="00F24840"/>
    <w:rsid w:val="00F24A1E"/>
    <w:rsid w:val="00F24AE0"/>
    <w:rsid w:val="00F24B6E"/>
    <w:rsid w:val="00F24C7F"/>
    <w:rsid w:val="00F24CBA"/>
    <w:rsid w:val="00F24D5E"/>
    <w:rsid w:val="00F24DAE"/>
    <w:rsid w:val="00F24DEA"/>
    <w:rsid w:val="00F2501A"/>
    <w:rsid w:val="00F251F7"/>
    <w:rsid w:val="00F25212"/>
    <w:rsid w:val="00F25415"/>
    <w:rsid w:val="00F257DE"/>
    <w:rsid w:val="00F25839"/>
    <w:rsid w:val="00F25841"/>
    <w:rsid w:val="00F25849"/>
    <w:rsid w:val="00F25884"/>
    <w:rsid w:val="00F25934"/>
    <w:rsid w:val="00F25AA1"/>
    <w:rsid w:val="00F25B18"/>
    <w:rsid w:val="00F26135"/>
    <w:rsid w:val="00F26499"/>
    <w:rsid w:val="00F264A7"/>
    <w:rsid w:val="00F26560"/>
    <w:rsid w:val="00F2666F"/>
    <w:rsid w:val="00F266F7"/>
    <w:rsid w:val="00F26710"/>
    <w:rsid w:val="00F26AA5"/>
    <w:rsid w:val="00F26AAB"/>
    <w:rsid w:val="00F26C65"/>
    <w:rsid w:val="00F26CD5"/>
    <w:rsid w:val="00F26FA5"/>
    <w:rsid w:val="00F26FC9"/>
    <w:rsid w:val="00F27028"/>
    <w:rsid w:val="00F27091"/>
    <w:rsid w:val="00F2709F"/>
    <w:rsid w:val="00F270D7"/>
    <w:rsid w:val="00F271C2"/>
    <w:rsid w:val="00F27241"/>
    <w:rsid w:val="00F2729D"/>
    <w:rsid w:val="00F27395"/>
    <w:rsid w:val="00F273CB"/>
    <w:rsid w:val="00F277E2"/>
    <w:rsid w:val="00F27829"/>
    <w:rsid w:val="00F27A4B"/>
    <w:rsid w:val="00F27B12"/>
    <w:rsid w:val="00F27BD2"/>
    <w:rsid w:val="00F27C59"/>
    <w:rsid w:val="00F27CB4"/>
    <w:rsid w:val="00F27F11"/>
    <w:rsid w:val="00F27FAA"/>
    <w:rsid w:val="00F27FC0"/>
    <w:rsid w:val="00F302E3"/>
    <w:rsid w:val="00F304CA"/>
    <w:rsid w:val="00F304E8"/>
    <w:rsid w:val="00F3050B"/>
    <w:rsid w:val="00F30537"/>
    <w:rsid w:val="00F30597"/>
    <w:rsid w:val="00F3077C"/>
    <w:rsid w:val="00F30809"/>
    <w:rsid w:val="00F3085B"/>
    <w:rsid w:val="00F30A61"/>
    <w:rsid w:val="00F30B93"/>
    <w:rsid w:val="00F30C00"/>
    <w:rsid w:val="00F30D0B"/>
    <w:rsid w:val="00F30E2B"/>
    <w:rsid w:val="00F30E68"/>
    <w:rsid w:val="00F311EE"/>
    <w:rsid w:val="00F312A6"/>
    <w:rsid w:val="00F31395"/>
    <w:rsid w:val="00F313BE"/>
    <w:rsid w:val="00F315F2"/>
    <w:rsid w:val="00F315FB"/>
    <w:rsid w:val="00F31698"/>
    <w:rsid w:val="00F31710"/>
    <w:rsid w:val="00F317BB"/>
    <w:rsid w:val="00F31AA2"/>
    <w:rsid w:val="00F31ACF"/>
    <w:rsid w:val="00F31BBF"/>
    <w:rsid w:val="00F31CAF"/>
    <w:rsid w:val="00F31CCE"/>
    <w:rsid w:val="00F31EF2"/>
    <w:rsid w:val="00F31FA3"/>
    <w:rsid w:val="00F32056"/>
    <w:rsid w:val="00F3228D"/>
    <w:rsid w:val="00F323DF"/>
    <w:rsid w:val="00F324CA"/>
    <w:rsid w:val="00F324D3"/>
    <w:rsid w:val="00F3265A"/>
    <w:rsid w:val="00F32685"/>
    <w:rsid w:val="00F326DE"/>
    <w:rsid w:val="00F32767"/>
    <w:rsid w:val="00F32960"/>
    <w:rsid w:val="00F32A88"/>
    <w:rsid w:val="00F32AB2"/>
    <w:rsid w:val="00F32AB3"/>
    <w:rsid w:val="00F32AE7"/>
    <w:rsid w:val="00F32BF4"/>
    <w:rsid w:val="00F32C8A"/>
    <w:rsid w:val="00F32DFC"/>
    <w:rsid w:val="00F32E08"/>
    <w:rsid w:val="00F32EE5"/>
    <w:rsid w:val="00F32EFB"/>
    <w:rsid w:val="00F331F8"/>
    <w:rsid w:val="00F3322D"/>
    <w:rsid w:val="00F334DD"/>
    <w:rsid w:val="00F334EA"/>
    <w:rsid w:val="00F33517"/>
    <w:rsid w:val="00F33609"/>
    <w:rsid w:val="00F33870"/>
    <w:rsid w:val="00F33A22"/>
    <w:rsid w:val="00F33AC7"/>
    <w:rsid w:val="00F33AF8"/>
    <w:rsid w:val="00F33B0F"/>
    <w:rsid w:val="00F33B13"/>
    <w:rsid w:val="00F33C27"/>
    <w:rsid w:val="00F33D1C"/>
    <w:rsid w:val="00F33D77"/>
    <w:rsid w:val="00F33E31"/>
    <w:rsid w:val="00F33E52"/>
    <w:rsid w:val="00F33EDD"/>
    <w:rsid w:val="00F33F47"/>
    <w:rsid w:val="00F33F6E"/>
    <w:rsid w:val="00F33F78"/>
    <w:rsid w:val="00F33FBC"/>
    <w:rsid w:val="00F33FBE"/>
    <w:rsid w:val="00F34097"/>
    <w:rsid w:val="00F3413C"/>
    <w:rsid w:val="00F3415A"/>
    <w:rsid w:val="00F34202"/>
    <w:rsid w:val="00F3432B"/>
    <w:rsid w:val="00F34374"/>
    <w:rsid w:val="00F34454"/>
    <w:rsid w:val="00F344C9"/>
    <w:rsid w:val="00F344F0"/>
    <w:rsid w:val="00F34552"/>
    <w:rsid w:val="00F345F2"/>
    <w:rsid w:val="00F3464B"/>
    <w:rsid w:val="00F34734"/>
    <w:rsid w:val="00F34880"/>
    <w:rsid w:val="00F348E9"/>
    <w:rsid w:val="00F349DC"/>
    <w:rsid w:val="00F34A36"/>
    <w:rsid w:val="00F34AD3"/>
    <w:rsid w:val="00F34C4B"/>
    <w:rsid w:val="00F34CFE"/>
    <w:rsid w:val="00F34FF3"/>
    <w:rsid w:val="00F3500A"/>
    <w:rsid w:val="00F3505B"/>
    <w:rsid w:val="00F35127"/>
    <w:rsid w:val="00F35230"/>
    <w:rsid w:val="00F35471"/>
    <w:rsid w:val="00F35712"/>
    <w:rsid w:val="00F3588F"/>
    <w:rsid w:val="00F35997"/>
    <w:rsid w:val="00F35BA0"/>
    <w:rsid w:val="00F35BB5"/>
    <w:rsid w:val="00F35D50"/>
    <w:rsid w:val="00F35E5B"/>
    <w:rsid w:val="00F35EEE"/>
    <w:rsid w:val="00F36065"/>
    <w:rsid w:val="00F361D5"/>
    <w:rsid w:val="00F361DE"/>
    <w:rsid w:val="00F36211"/>
    <w:rsid w:val="00F362B4"/>
    <w:rsid w:val="00F36323"/>
    <w:rsid w:val="00F364C6"/>
    <w:rsid w:val="00F36665"/>
    <w:rsid w:val="00F366A4"/>
    <w:rsid w:val="00F36797"/>
    <w:rsid w:val="00F367B0"/>
    <w:rsid w:val="00F369A0"/>
    <w:rsid w:val="00F36BA3"/>
    <w:rsid w:val="00F36C62"/>
    <w:rsid w:val="00F36CCE"/>
    <w:rsid w:val="00F36E0C"/>
    <w:rsid w:val="00F36E9F"/>
    <w:rsid w:val="00F36EEE"/>
    <w:rsid w:val="00F36F08"/>
    <w:rsid w:val="00F36F50"/>
    <w:rsid w:val="00F36FB4"/>
    <w:rsid w:val="00F370C3"/>
    <w:rsid w:val="00F373C1"/>
    <w:rsid w:val="00F375F2"/>
    <w:rsid w:val="00F37620"/>
    <w:rsid w:val="00F3766C"/>
    <w:rsid w:val="00F377DA"/>
    <w:rsid w:val="00F37860"/>
    <w:rsid w:val="00F37948"/>
    <w:rsid w:val="00F37AD8"/>
    <w:rsid w:val="00F37BFC"/>
    <w:rsid w:val="00F37C15"/>
    <w:rsid w:val="00F37D56"/>
    <w:rsid w:val="00F37E23"/>
    <w:rsid w:val="00F37F4B"/>
    <w:rsid w:val="00F40187"/>
    <w:rsid w:val="00F401DC"/>
    <w:rsid w:val="00F4022A"/>
    <w:rsid w:val="00F4023B"/>
    <w:rsid w:val="00F402A9"/>
    <w:rsid w:val="00F402C5"/>
    <w:rsid w:val="00F403FA"/>
    <w:rsid w:val="00F40579"/>
    <w:rsid w:val="00F40582"/>
    <w:rsid w:val="00F40599"/>
    <w:rsid w:val="00F407A8"/>
    <w:rsid w:val="00F407DB"/>
    <w:rsid w:val="00F4083E"/>
    <w:rsid w:val="00F40851"/>
    <w:rsid w:val="00F4095F"/>
    <w:rsid w:val="00F40A9B"/>
    <w:rsid w:val="00F40C7F"/>
    <w:rsid w:val="00F40D1C"/>
    <w:rsid w:val="00F40EAC"/>
    <w:rsid w:val="00F40F72"/>
    <w:rsid w:val="00F41035"/>
    <w:rsid w:val="00F4108A"/>
    <w:rsid w:val="00F4143D"/>
    <w:rsid w:val="00F41544"/>
    <w:rsid w:val="00F4160D"/>
    <w:rsid w:val="00F41836"/>
    <w:rsid w:val="00F4192A"/>
    <w:rsid w:val="00F4198D"/>
    <w:rsid w:val="00F419C8"/>
    <w:rsid w:val="00F419EC"/>
    <w:rsid w:val="00F41A19"/>
    <w:rsid w:val="00F41B50"/>
    <w:rsid w:val="00F41CE2"/>
    <w:rsid w:val="00F41DDC"/>
    <w:rsid w:val="00F41DF2"/>
    <w:rsid w:val="00F41E08"/>
    <w:rsid w:val="00F41E59"/>
    <w:rsid w:val="00F420C5"/>
    <w:rsid w:val="00F420FB"/>
    <w:rsid w:val="00F42119"/>
    <w:rsid w:val="00F4234C"/>
    <w:rsid w:val="00F42391"/>
    <w:rsid w:val="00F4243A"/>
    <w:rsid w:val="00F426D4"/>
    <w:rsid w:val="00F4276A"/>
    <w:rsid w:val="00F428DF"/>
    <w:rsid w:val="00F42CA4"/>
    <w:rsid w:val="00F42D74"/>
    <w:rsid w:val="00F42D9C"/>
    <w:rsid w:val="00F42FD9"/>
    <w:rsid w:val="00F4318E"/>
    <w:rsid w:val="00F4329D"/>
    <w:rsid w:val="00F4343B"/>
    <w:rsid w:val="00F43553"/>
    <w:rsid w:val="00F435C6"/>
    <w:rsid w:val="00F435E1"/>
    <w:rsid w:val="00F43650"/>
    <w:rsid w:val="00F4389D"/>
    <w:rsid w:val="00F439DC"/>
    <w:rsid w:val="00F43A5A"/>
    <w:rsid w:val="00F43BBE"/>
    <w:rsid w:val="00F43DB4"/>
    <w:rsid w:val="00F43DFC"/>
    <w:rsid w:val="00F43EE1"/>
    <w:rsid w:val="00F43F00"/>
    <w:rsid w:val="00F43F6F"/>
    <w:rsid w:val="00F440F2"/>
    <w:rsid w:val="00F440FE"/>
    <w:rsid w:val="00F4419E"/>
    <w:rsid w:val="00F442D9"/>
    <w:rsid w:val="00F44396"/>
    <w:rsid w:val="00F443BF"/>
    <w:rsid w:val="00F44400"/>
    <w:rsid w:val="00F44466"/>
    <w:rsid w:val="00F446DD"/>
    <w:rsid w:val="00F446FE"/>
    <w:rsid w:val="00F4475C"/>
    <w:rsid w:val="00F44783"/>
    <w:rsid w:val="00F4479E"/>
    <w:rsid w:val="00F44AC3"/>
    <w:rsid w:val="00F44C02"/>
    <w:rsid w:val="00F44C17"/>
    <w:rsid w:val="00F44C34"/>
    <w:rsid w:val="00F44C85"/>
    <w:rsid w:val="00F44CF0"/>
    <w:rsid w:val="00F45032"/>
    <w:rsid w:val="00F45222"/>
    <w:rsid w:val="00F452C6"/>
    <w:rsid w:val="00F45344"/>
    <w:rsid w:val="00F45519"/>
    <w:rsid w:val="00F4554A"/>
    <w:rsid w:val="00F45627"/>
    <w:rsid w:val="00F456AE"/>
    <w:rsid w:val="00F457E4"/>
    <w:rsid w:val="00F45A5B"/>
    <w:rsid w:val="00F45BA9"/>
    <w:rsid w:val="00F45C10"/>
    <w:rsid w:val="00F45E36"/>
    <w:rsid w:val="00F45E99"/>
    <w:rsid w:val="00F45EF4"/>
    <w:rsid w:val="00F45F7B"/>
    <w:rsid w:val="00F45F8F"/>
    <w:rsid w:val="00F46060"/>
    <w:rsid w:val="00F4621E"/>
    <w:rsid w:val="00F4656B"/>
    <w:rsid w:val="00F46689"/>
    <w:rsid w:val="00F467D6"/>
    <w:rsid w:val="00F46818"/>
    <w:rsid w:val="00F46928"/>
    <w:rsid w:val="00F46B61"/>
    <w:rsid w:val="00F46C7C"/>
    <w:rsid w:val="00F46E3B"/>
    <w:rsid w:val="00F46EBA"/>
    <w:rsid w:val="00F46EDB"/>
    <w:rsid w:val="00F47200"/>
    <w:rsid w:val="00F47267"/>
    <w:rsid w:val="00F4731B"/>
    <w:rsid w:val="00F473D5"/>
    <w:rsid w:val="00F474A6"/>
    <w:rsid w:val="00F474D4"/>
    <w:rsid w:val="00F476AD"/>
    <w:rsid w:val="00F476B9"/>
    <w:rsid w:val="00F476CB"/>
    <w:rsid w:val="00F4771A"/>
    <w:rsid w:val="00F47795"/>
    <w:rsid w:val="00F47885"/>
    <w:rsid w:val="00F47AB8"/>
    <w:rsid w:val="00F47B05"/>
    <w:rsid w:val="00F47B96"/>
    <w:rsid w:val="00F47BF1"/>
    <w:rsid w:val="00F47C19"/>
    <w:rsid w:val="00F47C2B"/>
    <w:rsid w:val="00F47E03"/>
    <w:rsid w:val="00F47E14"/>
    <w:rsid w:val="00F47E7C"/>
    <w:rsid w:val="00F47F3F"/>
    <w:rsid w:val="00F50020"/>
    <w:rsid w:val="00F500DF"/>
    <w:rsid w:val="00F500ED"/>
    <w:rsid w:val="00F50109"/>
    <w:rsid w:val="00F503B2"/>
    <w:rsid w:val="00F505CE"/>
    <w:rsid w:val="00F505E1"/>
    <w:rsid w:val="00F50635"/>
    <w:rsid w:val="00F506A3"/>
    <w:rsid w:val="00F5071B"/>
    <w:rsid w:val="00F5071C"/>
    <w:rsid w:val="00F50785"/>
    <w:rsid w:val="00F508D1"/>
    <w:rsid w:val="00F50A39"/>
    <w:rsid w:val="00F50A7D"/>
    <w:rsid w:val="00F50AA0"/>
    <w:rsid w:val="00F50ABD"/>
    <w:rsid w:val="00F50DC5"/>
    <w:rsid w:val="00F50DD6"/>
    <w:rsid w:val="00F50E2C"/>
    <w:rsid w:val="00F50F37"/>
    <w:rsid w:val="00F50F43"/>
    <w:rsid w:val="00F51150"/>
    <w:rsid w:val="00F513B0"/>
    <w:rsid w:val="00F516C4"/>
    <w:rsid w:val="00F516FA"/>
    <w:rsid w:val="00F517A7"/>
    <w:rsid w:val="00F5185E"/>
    <w:rsid w:val="00F51881"/>
    <w:rsid w:val="00F5188A"/>
    <w:rsid w:val="00F51A77"/>
    <w:rsid w:val="00F51AB7"/>
    <w:rsid w:val="00F51BED"/>
    <w:rsid w:val="00F51C20"/>
    <w:rsid w:val="00F51C2E"/>
    <w:rsid w:val="00F51CDC"/>
    <w:rsid w:val="00F51EF4"/>
    <w:rsid w:val="00F5206C"/>
    <w:rsid w:val="00F523C6"/>
    <w:rsid w:val="00F524DF"/>
    <w:rsid w:val="00F5256B"/>
    <w:rsid w:val="00F52774"/>
    <w:rsid w:val="00F529D5"/>
    <w:rsid w:val="00F52BC4"/>
    <w:rsid w:val="00F52C8D"/>
    <w:rsid w:val="00F52D00"/>
    <w:rsid w:val="00F52DAC"/>
    <w:rsid w:val="00F52E70"/>
    <w:rsid w:val="00F531F1"/>
    <w:rsid w:val="00F532DF"/>
    <w:rsid w:val="00F53450"/>
    <w:rsid w:val="00F53488"/>
    <w:rsid w:val="00F53746"/>
    <w:rsid w:val="00F537AF"/>
    <w:rsid w:val="00F537E1"/>
    <w:rsid w:val="00F537EB"/>
    <w:rsid w:val="00F539BA"/>
    <w:rsid w:val="00F539D1"/>
    <w:rsid w:val="00F53C53"/>
    <w:rsid w:val="00F53D07"/>
    <w:rsid w:val="00F53E37"/>
    <w:rsid w:val="00F53FFD"/>
    <w:rsid w:val="00F5422A"/>
    <w:rsid w:val="00F542DD"/>
    <w:rsid w:val="00F54444"/>
    <w:rsid w:val="00F54479"/>
    <w:rsid w:val="00F545F4"/>
    <w:rsid w:val="00F5476B"/>
    <w:rsid w:val="00F547A0"/>
    <w:rsid w:val="00F547C7"/>
    <w:rsid w:val="00F5488E"/>
    <w:rsid w:val="00F54968"/>
    <w:rsid w:val="00F54CD6"/>
    <w:rsid w:val="00F54DEE"/>
    <w:rsid w:val="00F54FA6"/>
    <w:rsid w:val="00F55196"/>
    <w:rsid w:val="00F55245"/>
    <w:rsid w:val="00F5528A"/>
    <w:rsid w:val="00F55315"/>
    <w:rsid w:val="00F55433"/>
    <w:rsid w:val="00F5544C"/>
    <w:rsid w:val="00F5547B"/>
    <w:rsid w:val="00F556A1"/>
    <w:rsid w:val="00F556CD"/>
    <w:rsid w:val="00F55771"/>
    <w:rsid w:val="00F5597C"/>
    <w:rsid w:val="00F55AEF"/>
    <w:rsid w:val="00F55BF6"/>
    <w:rsid w:val="00F55C70"/>
    <w:rsid w:val="00F55CC5"/>
    <w:rsid w:val="00F55E3C"/>
    <w:rsid w:val="00F55E50"/>
    <w:rsid w:val="00F56005"/>
    <w:rsid w:val="00F56118"/>
    <w:rsid w:val="00F5628B"/>
    <w:rsid w:val="00F5633A"/>
    <w:rsid w:val="00F565B4"/>
    <w:rsid w:val="00F56674"/>
    <w:rsid w:val="00F56777"/>
    <w:rsid w:val="00F5686F"/>
    <w:rsid w:val="00F568BE"/>
    <w:rsid w:val="00F568DF"/>
    <w:rsid w:val="00F569EA"/>
    <w:rsid w:val="00F56BCE"/>
    <w:rsid w:val="00F56C90"/>
    <w:rsid w:val="00F56CA6"/>
    <w:rsid w:val="00F56CF1"/>
    <w:rsid w:val="00F56E3E"/>
    <w:rsid w:val="00F5706D"/>
    <w:rsid w:val="00F570A6"/>
    <w:rsid w:val="00F571A1"/>
    <w:rsid w:val="00F57238"/>
    <w:rsid w:val="00F5733A"/>
    <w:rsid w:val="00F5736F"/>
    <w:rsid w:val="00F576D9"/>
    <w:rsid w:val="00F5771C"/>
    <w:rsid w:val="00F57968"/>
    <w:rsid w:val="00F57991"/>
    <w:rsid w:val="00F579D4"/>
    <w:rsid w:val="00F57A16"/>
    <w:rsid w:val="00F57A38"/>
    <w:rsid w:val="00F57AC9"/>
    <w:rsid w:val="00F57CCC"/>
    <w:rsid w:val="00F57F4E"/>
    <w:rsid w:val="00F57FC8"/>
    <w:rsid w:val="00F60002"/>
    <w:rsid w:val="00F60148"/>
    <w:rsid w:val="00F601C3"/>
    <w:rsid w:val="00F60212"/>
    <w:rsid w:val="00F60232"/>
    <w:rsid w:val="00F60376"/>
    <w:rsid w:val="00F603F4"/>
    <w:rsid w:val="00F6041D"/>
    <w:rsid w:val="00F60586"/>
    <w:rsid w:val="00F606DF"/>
    <w:rsid w:val="00F607EB"/>
    <w:rsid w:val="00F609DE"/>
    <w:rsid w:val="00F609F4"/>
    <w:rsid w:val="00F60A4F"/>
    <w:rsid w:val="00F60B8D"/>
    <w:rsid w:val="00F60BA4"/>
    <w:rsid w:val="00F60C10"/>
    <w:rsid w:val="00F60D1C"/>
    <w:rsid w:val="00F60FA2"/>
    <w:rsid w:val="00F6118B"/>
    <w:rsid w:val="00F611B6"/>
    <w:rsid w:val="00F6153C"/>
    <w:rsid w:val="00F615E3"/>
    <w:rsid w:val="00F61638"/>
    <w:rsid w:val="00F61700"/>
    <w:rsid w:val="00F61921"/>
    <w:rsid w:val="00F61B40"/>
    <w:rsid w:val="00F61BDD"/>
    <w:rsid w:val="00F61CB7"/>
    <w:rsid w:val="00F61CBE"/>
    <w:rsid w:val="00F61DAE"/>
    <w:rsid w:val="00F61DE0"/>
    <w:rsid w:val="00F61EDB"/>
    <w:rsid w:val="00F62266"/>
    <w:rsid w:val="00F6235F"/>
    <w:rsid w:val="00F62602"/>
    <w:rsid w:val="00F62B45"/>
    <w:rsid w:val="00F62C81"/>
    <w:rsid w:val="00F62DF2"/>
    <w:rsid w:val="00F62E09"/>
    <w:rsid w:val="00F62F88"/>
    <w:rsid w:val="00F62FC5"/>
    <w:rsid w:val="00F62FD0"/>
    <w:rsid w:val="00F63097"/>
    <w:rsid w:val="00F6339F"/>
    <w:rsid w:val="00F633B2"/>
    <w:rsid w:val="00F634EC"/>
    <w:rsid w:val="00F636B2"/>
    <w:rsid w:val="00F636BE"/>
    <w:rsid w:val="00F636EC"/>
    <w:rsid w:val="00F6377C"/>
    <w:rsid w:val="00F6383D"/>
    <w:rsid w:val="00F63894"/>
    <w:rsid w:val="00F63899"/>
    <w:rsid w:val="00F638B7"/>
    <w:rsid w:val="00F63AF1"/>
    <w:rsid w:val="00F63D06"/>
    <w:rsid w:val="00F63D65"/>
    <w:rsid w:val="00F63ED3"/>
    <w:rsid w:val="00F64041"/>
    <w:rsid w:val="00F640D1"/>
    <w:rsid w:val="00F6444B"/>
    <w:rsid w:val="00F64695"/>
    <w:rsid w:val="00F646F4"/>
    <w:rsid w:val="00F6470B"/>
    <w:rsid w:val="00F64876"/>
    <w:rsid w:val="00F6488D"/>
    <w:rsid w:val="00F648DE"/>
    <w:rsid w:val="00F6492A"/>
    <w:rsid w:val="00F64968"/>
    <w:rsid w:val="00F64AB3"/>
    <w:rsid w:val="00F64C22"/>
    <w:rsid w:val="00F64CB3"/>
    <w:rsid w:val="00F64DFF"/>
    <w:rsid w:val="00F6508D"/>
    <w:rsid w:val="00F65192"/>
    <w:rsid w:val="00F651B3"/>
    <w:rsid w:val="00F6525B"/>
    <w:rsid w:val="00F65349"/>
    <w:rsid w:val="00F65507"/>
    <w:rsid w:val="00F656AE"/>
    <w:rsid w:val="00F65768"/>
    <w:rsid w:val="00F657C2"/>
    <w:rsid w:val="00F65891"/>
    <w:rsid w:val="00F65A02"/>
    <w:rsid w:val="00F65A47"/>
    <w:rsid w:val="00F65A7A"/>
    <w:rsid w:val="00F65D3A"/>
    <w:rsid w:val="00F65E89"/>
    <w:rsid w:val="00F66141"/>
    <w:rsid w:val="00F66248"/>
    <w:rsid w:val="00F662CF"/>
    <w:rsid w:val="00F66371"/>
    <w:rsid w:val="00F663A6"/>
    <w:rsid w:val="00F663D1"/>
    <w:rsid w:val="00F66467"/>
    <w:rsid w:val="00F664F8"/>
    <w:rsid w:val="00F6658F"/>
    <w:rsid w:val="00F66597"/>
    <w:rsid w:val="00F66620"/>
    <w:rsid w:val="00F66691"/>
    <w:rsid w:val="00F6678E"/>
    <w:rsid w:val="00F66854"/>
    <w:rsid w:val="00F6691B"/>
    <w:rsid w:val="00F6693D"/>
    <w:rsid w:val="00F66BAF"/>
    <w:rsid w:val="00F66C7F"/>
    <w:rsid w:val="00F66D66"/>
    <w:rsid w:val="00F66E2A"/>
    <w:rsid w:val="00F67080"/>
    <w:rsid w:val="00F67100"/>
    <w:rsid w:val="00F671BF"/>
    <w:rsid w:val="00F67405"/>
    <w:rsid w:val="00F6749F"/>
    <w:rsid w:val="00F67568"/>
    <w:rsid w:val="00F676D1"/>
    <w:rsid w:val="00F676E3"/>
    <w:rsid w:val="00F67753"/>
    <w:rsid w:val="00F677F2"/>
    <w:rsid w:val="00F67AA3"/>
    <w:rsid w:val="00F67B87"/>
    <w:rsid w:val="00F67BA9"/>
    <w:rsid w:val="00F67CC1"/>
    <w:rsid w:val="00F67CC8"/>
    <w:rsid w:val="00F67DB3"/>
    <w:rsid w:val="00F67E78"/>
    <w:rsid w:val="00F70047"/>
    <w:rsid w:val="00F7005E"/>
    <w:rsid w:val="00F7006C"/>
    <w:rsid w:val="00F70154"/>
    <w:rsid w:val="00F701E5"/>
    <w:rsid w:val="00F7025E"/>
    <w:rsid w:val="00F70286"/>
    <w:rsid w:val="00F70304"/>
    <w:rsid w:val="00F70314"/>
    <w:rsid w:val="00F705DC"/>
    <w:rsid w:val="00F70926"/>
    <w:rsid w:val="00F70C2D"/>
    <w:rsid w:val="00F70DC6"/>
    <w:rsid w:val="00F70E80"/>
    <w:rsid w:val="00F70FA2"/>
    <w:rsid w:val="00F71060"/>
    <w:rsid w:val="00F71115"/>
    <w:rsid w:val="00F71247"/>
    <w:rsid w:val="00F71261"/>
    <w:rsid w:val="00F71279"/>
    <w:rsid w:val="00F712E8"/>
    <w:rsid w:val="00F7131E"/>
    <w:rsid w:val="00F713AF"/>
    <w:rsid w:val="00F713D0"/>
    <w:rsid w:val="00F7142D"/>
    <w:rsid w:val="00F714D3"/>
    <w:rsid w:val="00F7155D"/>
    <w:rsid w:val="00F71653"/>
    <w:rsid w:val="00F716EE"/>
    <w:rsid w:val="00F7181E"/>
    <w:rsid w:val="00F719A7"/>
    <w:rsid w:val="00F71C73"/>
    <w:rsid w:val="00F71C93"/>
    <w:rsid w:val="00F71CB3"/>
    <w:rsid w:val="00F71DC3"/>
    <w:rsid w:val="00F71E1A"/>
    <w:rsid w:val="00F71FD6"/>
    <w:rsid w:val="00F720BE"/>
    <w:rsid w:val="00F721B8"/>
    <w:rsid w:val="00F72306"/>
    <w:rsid w:val="00F72316"/>
    <w:rsid w:val="00F724C5"/>
    <w:rsid w:val="00F72556"/>
    <w:rsid w:val="00F725CA"/>
    <w:rsid w:val="00F7268E"/>
    <w:rsid w:val="00F726AB"/>
    <w:rsid w:val="00F727E0"/>
    <w:rsid w:val="00F7280E"/>
    <w:rsid w:val="00F7281B"/>
    <w:rsid w:val="00F72A64"/>
    <w:rsid w:val="00F72CA8"/>
    <w:rsid w:val="00F72D7E"/>
    <w:rsid w:val="00F72EBC"/>
    <w:rsid w:val="00F7300B"/>
    <w:rsid w:val="00F73025"/>
    <w:rsid w:val="00F730C3"/>
    <w:rsid w:val="00F730DC"/>
    <w:rsid w:val="00F730EF"/>
    <w:rsid w:val="00F73276"/>
    <w:rsid w:val="00F732BB"/>
    <w:rsid w:val="00F7332D"/>
    <w:rsid w:val="00F73353"/>
    <w:rsid w:val="00F7344D"/>
    <w:rsid w:val="00F734ED"/>
    <w:rsid w:val="00F73550"/>
    <w:rsid w:val="00F735C8"/>
    <w:rsid w:val="00F737E5"/>
    <w:rsid w:val="00F73954"/>
    <w:rsid w:val="00F73B1C"/>
    <w:rsid w:val="00F73B98"/>
    <w:rsid w:val="00F73D30"/>
    <w:rsid w:val="00F73E41"/>
    <w:rsid w:val="00F740B9"/>
    <w:rsid w:val="00F74185"/>
    <w:rsid w:val="00F7427F"/>
    <w:rsid w:val="00F74519"/>
    <w:rsid w:val="00F74693"/>
    <w:rsid w:val="00F747CE"/>
    <w:rsid w:val="00F74D9D"/>
    <w:rsid w:val="00F74E9E"/>
    <w:rsid w:val="00F74F53"/>
    <w:rsid w:val="00F75000"/>
    <w:rsid w:val="00F750DC"/>
    <w:rsid w:val="00F75341"/>
    <w:rsid w:val="00F753DE"/>
    <w:rsid w:val="00F75407"/>
    <w:rsid w:val="00F754D7"/>
    <w:rsid w:val="00F755BA"/>
    <w:rsid w:val="00F755C5"/>
    <w:rsid w:val="00F75737"/>
    <w:rsid w:val="00F75798"/>
    <w:rsid w:val="00F757C6"/>
    <w:rsid w:val="00F757FD"/>
    <w:rsid w:val="00F75916"/>
    <w:rsid w:val="00F759A9"/>
    <w:rsid w:val="00F75A86"/>
    <w:rsid w:val="00F75E19"/>
    <w:rsid w:val="00F7609B"/>
    <w:rsid w:val="00F7616C"/>
    <w:rsid w:val="00F763C9"/>
    <w:rsid w:val="00F7644A"/>
    <w:rsid w:val="00F7651B"/>
    <w:rsid w:val="00F765F6"/>
    <w:rsid w:val="00F768A6"/>
    <w:rsid w:val="00F768D6"/>
    <w:rsid w:val="00F76A1F"/>
    <w:rsid w:val="00F76A57"/>
    <w:rsid w:val="00F76B90"/>
    <w:rsid w:val="00F76C2E"/>
    <w:rsid w:val="00F76DDE"/>
    <w:rsid w:val="00F76E23"/>
    <w:rsid w:val="00F770EF"/>
    <w:rsid w:val="00F7718F"/>
    <w:rsid w:val="00F771AF"/>
    <w:rsid w:val="00F7729F"/>
    <w:rsid w:val="00F774AE"/>
    <w:rsid w:val="00F774E7"/>
    <w:rsid w:val="00F774EF"/>
    <w:rsid w:val="00F775C9"/>
    <w:rsid w:val="00F7772A"/>
    <w:rsid w:val="00F777E4"/>
    <w:rsid w:val="00F7796C"/>
    <w:rsid w:val="00F77C3C"/>
    <w:rsid w:val="00F77D83"/>
    <w:rsid w:val="00F77EE1"/>
    <w:rsid w:val="00F77FC5"/>
    <w:rsid w:val="00F77FEC"/>
    <w:rsid w:val="00F80044"/>
    <w:rsid w:val="00F80164"/>
    <w:rsid w:val="00F802A5"/>
    <w:rsid w:val="00F8040A"/>
    <w:rsid w:val="00F804D9"/>
    <w:rsid w:val="00F80529"/>
    <w:rsid w:val="00F80595"/>
    <w:rsid w:val="00F80690"/>
    <w:rsid w:val="00F80776"/>
    <w:rsid w:val="00F80787"/>
    <w:rsid w:val="00F8078A"/>
    <w:rsid w:val="00F807F6"/>
    <w:rsid w:val="00F80817"/>
    <w:rsid w:val="00F808E2"/>
    <w:rsid w:val="00F8098C"/>
    <w:rsid w:val="00F809EC"/>
    <w:rsid w:val="00F80B5C"/>
    <w:rsid w:val="00F80BA6"/>
    <w:rsid w:val="00F80C92"/>
    <w:rsid w:val="00F80CEF"/>
    <w:rsid w:val="00F80D8B"/>
    <w:rsid w:val="00F80E8D"/>
    <w:rsid w:val="00F80F3A"/>
    <w:rsid w:val="00F80F6C"/>
    <w:rsid w:val="00F81009"/>
    <w:rsid w:val="00F810C9"/>
    <w:rsid w:val="00F81140"/>
    <w:rsid w:val="00F81211"/>
    <w:rsid w:val="00F81360"/>
    <w:rsid w:val="00F81402"/>
    <w:rsid w:val="00F8150B"/>
    <w:rsid w:val="00F8159C"/>
    <w:rsid w:val="00F816FE"/>
    <w:rsid w:val="00F81735"/>
    <w:rsid w:val="00F817C1"/>
    <w:rsid w:val="00F81825"/>
    <w:rsid w:val="00F818E8"/>
    <w:rsid w:val="00F81B86"/>
    <w:rsid w:val="00F81C4D"/>
    <w:rsid w:val="00F81C54"/>
    <w:rsid w:val="00F81CD8"/>
    <w:rsid w:val="00F81F38"/>
    <w:rsid w:val="00F81FB1"/>
    <w:rsid w:val="00F81FCD"/>
    <w:rsid w:val="00F82208"/>
    <w:rsid w:val="00F8242A"/>
    <w:rsid w:val="00F824B1"/>
    <w:rsid w:val="00F82577"/>
    <w:rsid w:val="00F825BE"/>
    <w:rsid w:val="00F82744"/>
    <w:rsid w:val="00F827DF"/>
    <w:rsid w:val="00F827ED"/>
    <w:rsid w:val="00F82925"/>
    <w:rsid w:val="00F829B6"/>
    <w:rsid w:val="00F829EF"/>
    <w:rsid w:val="00F82B2A"/>
    <w:rsid w:val="00F82BC8"/>
    <w:rsid w:val="00F82C4E"/>
    <w:rsid w:val="00F82CCC"/>
    <w:rsid w:val="00F82CFB"/>
    <w:rsid w:val="00F82D38"/>
    <w:rsid w:val="00F82D63"/>
    <w:rsid w:val="00F82DA2"/>
    <w:rsid w:val="00F82E5B"/>
    <w:rsid w:val="00F8315D"/>
    <w:rsid w:val="00F832EA"/>
    <w:rsid w:val="00F83454"/>
    <w:rsid w:val="00F8346D"/>
    <w:rsid w:val="00F834BD"/>
    <w:rsid w:val="00F834D0"/>
    <w:rsid w:val="00F834E2"/>
    <w:rsid w:val="00F83591"/>
    <w:rsid w:val="00F835F4"/>
    <w:rsid w:val="00F836EB"/>
    <w:rsid w:val="00F838BD"/>
    <w:rsid w:val="00F838E5"/>
    <w:rsid w:val="00F839D6"/>
    <w:rsid w:val="00F83B2F"/>
    <w:rsid w:val="00F83B90"/>
    <w:rsid w:val="00F83BEA"/>
    <w:rsid w:val="00F83DB9"/>
    <w:rsid w:val="00F842AF"/>
    <w:rsid w:val="00F8430D"/>
    <w:rsid w:val="00F84473"/>
    <w:rsid w:val="00F8459C"/>
    <w:rsid w:val="00F84734"/>
    <w:rsid w:val="00F84792"/>
    <w:rsid w:val="00F848A9"/>
    <w:rsid w:val="00F84929"/>
    <w:rsid w:val="00F84A33"/>
    <w:rsid w:val="00F84BF3"/>
    <w:rsid w:val="00F84C28"/>
    <w:rsid w:val="00F84CCF"/>
    <w:rsid w:val="00F84CEC"/>
    <w:rsid w:val="00F84CF2"/>
    <w:rsid w:val="00F84D3D"/>
    <w:rsid w:val="00F84DDC"/>
    <w:rsid w:val="00F84FB4"/>
    <w:rsid w:val="00F84FEB"/>
    <w:rsid w:val="00F85059"/>
    <w:rsid w:val="00F851A7"/>
    <w:rsid w:val="00F853CF"/>
    <w:rsid w:val="00F853FF"/>
    <w:rsid w:val="00F8581D"/>
    <w:rsid w:val="00F8587B"/>
    <w:rsid w:val="00F85987"/>
    <w:rsid w:val="00F859A1"/>
    <w:rsid w:val="00F85AF6"/>
    <w:rsid w:val="00F85B9B"/>
    <w:rsid w:val="00F85D62"/>
    <w:rsid w:val="00F85DB9"/>
    <w:rsid w:val="00F85DD5"/>
    <w:rsid w:val="00F86256"/>
    <w:rsid w:val="00F86309"/>
    <w:rsid w:val="00F86317"/>
    <w:rsid w:val="00F863A7"/>
    <w:rsid w:val="00F86624"/>
    <w:rsid w:val="00F86647"/>
    <w:rsid w:val="00F86764"/>
    <w:rsid w:val="00F86963"/>
    <w:rsid w:val="00F869C6"/>
    <w:rsid w:val="00F86AFB"/>
    <w:rsid w:val="00F86B0F"/>
    <w:rsid w:val="00F86B73"/>
    <w:rsid w:val="00F86CA9"/>
    <w:rsid w:val="00F86F61"/>
    <w:rsid w:val="00F872A2"/>
    <w:rsid w:val="00F87A1C"/>
    <w:rsid w:val="00F87AD2"/>
    <w:rsid w:val="00F87D63"/>
    <w:rsid w:val="00F87F67"/>
    <w:rsid w:val="00F9001D"/>
    <w:rsid w:val="00F90171"/>
    <w:rsid w:val="00F901F0"/>
    <w:rsid w:val="00F901F4"/>
    <w:rsid w:val="00F902C5"/>
    <w:rsid w:val="00F9060F"/>
    <w:rsid w:val="00F9073A"/>
    <w:rsid w:val="00F90849"/>
    <w:rsid w:val="00F90881"/>
    <w:rsid w:val="00F909A5"/>
    <w:rsid w:val="00F909CE"/>
    <w:rsid w:val="00F90AF8"/>
    <w:rsid w:val="00F90B26"/>
    <w:rsid w:val="00F90B6D"/>
    <w:rsid w:val="00F90B84"/>
    <w:rsid w:val="00F90C0D"/>
    <w:rsid w:val="00F90C1C"/>
    <w:rsid w:val="00F90C94"/>
    <w:rsid w:val="00F90DBE"/>
    <w:rsid w:val="00F90DDC"/>
    <w:rsid w:val="00F910B5"/>
    <w:rsid w:val="00F91164"/>
    <w:rsid w:val="00F9130F"/>
    <w:rsid w:val="00F9148A"/>
    <w:rsid w:val="00F91533"/>
    <w:rsid w:val="00F9156C"/>
    <w:rsid w:val="00F917CB"/>
    <w:rsid w:val="00F918D0"/>
    <w:rsid w:val="00F91983"/>
    <w:rsid w:val="00F91A79"/>
    <w:rsid w:val="00F91B25"/>
    <w:rsid w:val="00F91CE2"/>
    <w:rsid w:val="00F91F00"/>
    <w:rsid w:val="00F9214D"/>
    <w:rsid w:val="00F92263"/>
    <w:rsid w:val="00F923DC"/>
    <w:rsid w:val="00F92498"/>
    <w:rsid w:val="00F924B9"/>
    <w:rsid w:val="00F925D2"/>
    <w:rsid w:val="00F925FE"/>
    <w:rsid w:val="00F9272F"/>
    <w:rsid w:val="00F92798"/>
    <w:rsid w:val="00F927DB"/>
    <w:rsid w:val="00F928EB"/>
    <w:rsid w:val="00F929F9"/>
    <w:rsid w:val="00F92B48"/>
    <w:rsid w:val="00F92BAA"/>
    <w:rsid w:val="00F92D01"/>
    <w:rsid w:val="00F92DD0"/>
    <w:rsid w:val="00F92EAE"/>
    <w:rsid w:val="00F92ED6"/>
    <w:rsid w:val="00F92F66"/>
    <w:rsid w:val="00F9301D"/>
    <w:rsid w:val="00F9309C"/>
    <w:rsid w:val="00F933B5"/>
    <w:rsid w:val="00F93643"/>
    <w:rsid w:val="00F9377C"/>
    <w:rsid w:val="00F93815"/>
    <w:rsid w:val="00F938BD"/>
    <w:rsid w:val="00F93A3E"/>
    <w:rsid w:val="00F93AFC"/>
    <w:rsid w:val="00F93B83"/>
    <w:rsid w:val="00F93CBF"/>
    <w:rsid w:val="00F93D6F"/>
    <w:rsid w:val="00F93F1D"/>
    <w:rsid w:val="00F93FE4"/>
    <w:rsid w:val="00F93FFE"/>
    <w:rsid w:val="00F940A4"/>
    <w:rsid w:val="00F9434D"/>
    <w:rsid w:val="00F94514"/>
    <w:rsid w:val="00F94538"/>
    <w:rsid w:val="00F946C7"/>
    <w:rsid w:val="00F947DA"/>
    <w:rsid w:val="00F94A03"/>
    <w:rsid w:val="00F94B08"/>
    <w:rsid w:val="00F94B1E"/>
    <w:rsid w:val="00F94BDA"/>
    <w:rsid w:val="00F94CA0"/>
    <w:rsid w:val="00F94F37"/>
    <w:rsid w:val="00F94F51"/>
    <w:rsid w:val="00F95143"/>
    <w:rsid w:val="00F9522F"/>
    <w:rsid w:val="00F95236"/>
    <w:rsid w:val="00F95264"/>
    <w:rsid w:val="00F954F9"/>
    <w:rsid w:val="00F9559F"/>
    <w:rsid w:val="00F955D9"/>
    <w:rsid w:val="00F95883"/>
    <w:rsid w:val="00F959A4"/>
    <w:rsid w:val="00F95A60"/>
    <w:rsid w:val="00F95BB7"/>
    <w:rsid w:val="00F95D8B"/>
    <w:rsid w:val="00F95DA7"/>
    <w:rsid w:val="00F95DDE"/>
    <w:rsid w:val="00F95E59"/>
    <w:rsid w:val="00F95FB2"/>
    <w:rsid w:val="00F960FA"/>
    <w:rsid w:val="00F961A0"/>
    <w:rsid w:val="00F9625C"/>
    <w:rsid w:val="00F96267"/>
    <w:rsid w:val="00F96448"/>
    <w:rsid w:val="00F96533"/>
    <w:rsid w:val="00F96634"/>
    <w:rsid w:val="00F96887"/>
    <w:rsid w:val="00F968C9"/>
    <w:rsid w:val="00F96972"/>
    <w:rsid w:val="00F96973"/>
    <w:rsid w:val="00F96B67"/>
    <w:rsid w:val="00F96F27"/>
    <w:rsid w:val="00F970D1"/>
    <w:rsid w:val="00F97242"/>
    <w:rsid w:val="00F97362"/>
    <w:rsid w:val="00F974A3"/>
    <w:rsid w:val="00F974B5"/>
    <w:rsid w:val="00F9751F"/>
    <w:rsid w:val="00F975C5"/>
    <w:rsid w:val="00F9777E"/>
    <w:rsid w:val="00F977BB"/>
    <w:rsid w:val="00F9780B"/>
    <w:rsid w:val="00F97A62"/>
    <w:rsid w:val="00F97B6A"/>
    <w:rsid w:val="00F97DEF"/>
    <w:rsid w:val="00F97E48"/>
    <w:rsid w:val="00F97E91"/>
    <w:rsid w:val="00F97EBD"/>
    <w:rsid w:val="00F97EFA"/>
    <w:rsid w:val="00F97F03"/>
    <w:rsid w:val="00F97F47"/>
    <w:rsid w:val="00FA0045"/>
    <w:rsid w:val="00FA0082"/>
    <w:rsid w:val="00FA0272"/>
    <w:rsid w:val="00FA0286"/>
    <w:rsid w:val="00FA032C"/>
    <w:rsid w:val="00FA037D"/>
    <w:rsid w:val="00FA046F"/>
    <w:rsid w:val="00FA0479"/>
    <w:rsid w:val="00FA0637"/>
    <w:rsid w:val="00FA0643"/>
    <w:rsid w:val="00FA06A1"/>
    <w:rsid w:val="00FA07D2"/>
    <w:rsid w:val="00FA0977"/>
    <w:rsid w:val="00FA0C5F"/>
    <w:rsid w:val="00FA0D50"/>
    <w:rsid w:val="00FA0DA6"/>
    <w:rsid w:val="00FA0E9F"/>
    <w:rsid w:val="00FA0EC8"/>
    <w:rsid w:val="00FA11A1"/>
    <w:rsid w:val="00FA121A"/>
    <w:rsid w:val="00FA12F9"/>
    <w:rsid w:val="00FA14AB"/>
    <w:rsid w:val="00FA1536"/>
    <w:rsid w:val="00FA158E"/>
    <w:rsid w:val="00FA1626"/>
    <w:rsid w:val="00FA1931"/>
    <w:rsid w:val="00FA1B67"/>
    <w:rsid w:val="00FA1B74"/>
    <w:rsid w:val="00FA1CB2"/>
    <w:rsid w:val="00FA1CF7"/>
    <w:rsid w:val="00FA1D63"/>
    <w:rsid w:val="00FA1ECB"/>
    <w:rsid w:val="00FA1F62"/>
    <w:rsid w:val="00FA207A"/>
    <w:rsid w:val="00FA2265"/>
    <w:rsid w:val="00FA2508"/>
    <w:rsid w:val="00FA255D"/>
    <w:rsid w:val="00FA25E3"/>
    <w:rsid w:val="00FA2666"/>
    <w:rsid w:val="00FA2722"/>
    <w:rsid w:val="00FA2759"/>
    <w:rsid w:val="00FA2A27"/>
    <w:rsid w:val="00FA2A38"/>
    <w:rsid w:val="00FA2AD5"/>
    <w:rsid w:val="00FA2B2C"/>
    <w:rsid w:val="00FA2BD5"/>
    <w:rsid w:val="00FA2D2C"/>
    <w:rsid w:val="00FA2E19"/>
    <w:rsid w:val="00FA2E3B"/>
    <w:rsid w:val="00FA2EEB"/>
    <w:rsid w:val="00FA2F1E"/>
    <w:rsid w:val="00FA2F48"/>
    <w:rsid w:val="00FA300B"/>
    <w:rsid w:val="00FA307D"/>
    <w:rsid w:val="00FA30CC"/>
    <w:rsid w:val="00FA3253"/>
    <w:rsid w:val="00FA326C"/>
    <w:rsid w:val="00FA3384"/>
    <w:rsid w:val="00FA34A2"/>
    <w:rsid w:val="00FA354A"/>
    <w:rsid w:val="00FA35CF"/>
    <w:rsid w:val="00FA36AE"/>
    <w:rsid w:val="00FA38DD"/>
    <w:rsid w:val="00FA3939"/>
    <w:rsid w:val="00FA39E7"/>
    <w:rsid w:val="00FA39FB"/>
    <w:rsid w:val="00FA3A66"/>
    <w:rsid w:val="00FA3BF8"/>
    <w:rsid w:val="00FA3C00"/>
    <w:rsid w:val="00FA3C98"/>
    <w:rsid w:val="00FA3CDB"/>
    <w:rsid w:val="00FA3D0B"/>
    <w:rsid w:val="00FA3EEE"/>
    <w:rsid w:val="00FA4049"/>
    <w:rsid w:val="00FA4087"/>
    <w:rsid w:val="00FA42D5"/>
    <w:rsid w:val="00FA4373"/>
    <w:rsid w:val="00FA43C8"/>
    <w:rsid w:val="00FA4467"/>
    <w:rsid w:val="00FA474C"/>
    <w:rsid w:val="00FA478A"/>
    <w:rsid w:val="00FA47B6"/>
    <w:rsid w:val="00FA4C3D"/>
    <w:rsid w:val="00FA4E83"/>
    <w:rsid w:val="00FA4EB4"/>
    <w:rsid w:val="00FA5055"/>
    <w:rsid w:val="00FA506E"/>
    <w:rsid w:val="00FA522E"/>
    <w:rsid w:val="00FA528C"/>
    <w:rsid w:val="00FA5323"/>
    <w:rsid w:val="00FA543A"/>
    <w:rsid w:val="00FA54E8"/>
    <w:rsid w:val="00FA561C"/>
    <w:rsid w:val="00FA56F9"/>
    <w:rsid w:val="00FA5A1E"/>
    <w:rsid w:val="00FA5A69"/>
    <w:rsid w:val="00FA5B57"/>
    <w:rsid w:val="00FA5B5E"/>
    <w:rsid w:val="00FA5CFE"/>
    <w:rsid w:val="00FA604F"/>
    <w:rsid w:val="00FA61C9"/>
    <w:rsid w:val="00FA626C"/>
    <w:rsid w:val="00FA6329"/>
    <w:rsid w:val="00FA63F8"/>
    <w:rsid w:val="00FA63F9"/>
    <w:rsid w:val="00FA64A5"/>
    <w:rsid w:val="00FA669A"/>
    <w:rsid w:val="00FA66D3"/>
    <w:rsid w:val="00FA67BF"/>
    <w:rsid w:val="00FA68F4"/>
    <w:rsid w:val="00FA6A25"/>
    <w:rsid w:val="00FA6AC5"/>
    <w:rsid w:val="00FA6AF7"/>
    <w:rsid w:val="00FA6C3F"/>
    <w:rsid w:val="00FA6C98"/>
    <w:rsid w:val="00FA6D60"/>
    <w:rsid w:val="00FA6D63"/>
    <w:rsid w:val="00FA6D81"/>
    <w:rsid w:val="00FA6E66"/>
    <w:rsid w:val="00FA6F25"/>
    <w:rsid w:val="00FA7031"/>
    <w:rsid w:val="00FA70AA"/>
    <w:rsid w:val="00FA725B"/>
    <w:rsid w:val="00FA7290"/>
    <w:rsid w:val="00FA72FF"/>
    <w:rsid w:val="00FA7350"/>
    <w:rsid w:val="00FA7373"/>
    <w:rsid w:val="00FA7397"/>
    <w:rsid w:val="00FA75FA"/>
    <w:rsid w:val="00FA767B"/>
    <w:rsid w:val="00FA785A"/>
    <w:rsid w:val="00FA7898"/>
    <w:rsid w:val="00FA78F4"/>
    <w:rsid w:val="00FA7903"/>
    <w:rsid w:val="00FA7A88"/>
    <w:rsid w:val="00FA7AB4"/>
    <w:rsid w:val="00FA7C79"/>
    <w:rsid w:val="00FB0136"/>
    <w:rsid w:val="00FB0143"/>
    <w:rsid w:val="00FB01C4"/>
    <w:rsid w:val="00FB0236"/>
    <w:rsid w:val="00FB023E"/>
    <w:rsid w:val="00FB0493"/>
    <w:rsid w:val="00FB049A"/>
    <w:rsid w:val="00FB0675"/>
    <w:rsid w:val="00FB06B2"/>
    <w:rsid w:val="00FB0A45"/>
    <w:rsid w:val="00FB0CB5"/>
    <w:rsid w:val="00FB0D0E"/>
    <w:rsid w:val="00FB0D25"/>
    <w:rsid w:val="00FB0DCF"/>
    <w:rsid w:val="00FB0E3A"/>
    <w:rsid w:val="00FB0E84"/>
    <w:rsid w:val="00FB0EB0"/>
    <w:rsid w:val="00FB0FA5"/>
    <w:rsid w:val="00FB0FE3"/>
    <w:rsid w:val="00FB105A"/>
    <w:rsid w:val="00FB105B"/>
    <w:rsid w:val="00FB10AA"/>
    <w:rsid w:val="00FB113C"/>
    <w:rsid w:val="00FB13FC"/>
    <w:rsid w:val="00FB148E"/>
    <w:rsid w:val="00FB1579"/>
    <w:rsid w:val="00FB1620"/>
    <w:rsid w:val="00FB16FB"/>
    <w:rsid w:val="00FB1711"/>
    <w:rsid w:val="00FB174F"/>
    <w:rsid w:val="00FB18B3"/>
    <w:rsid w:val="00FB192F"/>
    <w:rsid w:val="00FB1A87"/>
    <w:rsid w:val="00FB1B58"/>
    <w:rsid w:val="00FB1C76"/>
    <w:rsid w:val="00FB1D55"/>
    <w:rsid w:val="00FB1DE1"/>
    <w:rsid w:val="00FB1EA4"/>
    <w:rsid w:val="00FB1FE4"/>
    <w:rsid w:val="00FB202A"/>
    <w:rsid w:val="00FB205E"/>
    <w:rsid w:val="00FB21F4"/>
    <w:rsid w:val="00FB223E"/>
    <w:rsid w:val="00FB2253"/>
    <w:rsid w:val="00FB2370"/>
    <w:rsid w:val="00FB2380"/>
    <w:rsid w:val="00FB24BE"/>
    <w:rsid w:val="00FB25FD"/>
    <w:rsid w:val="00FB268C"/>
    <w:rsid w:val="00FB26B8"/>
    <w:rsid w:val="00FB28C0"/>
    <w:rsid w:val="00FB2B87"/>
    <w:rsid w:val="00FB2D24"/>
    <w:rsid w:val="00FB2E78"/>
    <w:rsid w:val="00FB2F12"/>
    <w:rsid w:val="00FB2FBD"/>
    <w:rsid w:val="00FB3163"/>
    <w:rsid w:val="00FB31F5"/>
    <w:rsid w:val="00FB3274"/>
    <w:rsid w:val="00FB32CA"/>
    <w:rsid w:val="00FB333C"/>
    <w:rsid w:val="00FB35C7"/>
    <w:rsid w:val="00FB363E"/>
    <w:rsid w:val="00FB3787"/>
    <w:rsid w:val="00FB39F7"/>
    <w:rsid w:val="00FB3AAB"/>
    <w:rsid w:val="00FB3AF6"/>
    <w:rsid w:val="00FB3B2B"/>
    <w:rsid w:val="00FB3C4C"/>
    <w:rsid w:val="00FB3DD2"/>
    <w:rsid w:val="00FB3E26"/>
    <w:rsid w:val="00FB3E2E"/>
    <w:rsid w:val="00FB3E60"/>
    <w:rsid w:val="00FB3EEF"/>
    <w:rsid w:val="00FB41F2"/>
    <w:rsid w:val="00FB422F"/>
    <w:rsid w:val="00FB4272"/>
    <w:rsid w:val="00FB44D0"/>
    <w:rsid w:val="00FB45A8"/>
    <w:rsid w:val="00FB462F"/>
    <w:rsid w:val="00FB477B"/>
    <w:rsid w:val="00FB4A19"/>
    <w:rsid w:val="00FB4B8B"/>
    <w:rsid w:val="00FB4BAB"/>
    <w:rsid w:val="00FB4C48"/>
    <w:rsid w:val="00FB4CA7"/>
    <w:rsid w:val="00FB4CD8"/>
    <w:rsid w:val="00FB4F25"/>
    <w:rsid w:val="00FB521E"/>
    <w:rsid w:val="00FB5286"/>
    <w:rsid w:val="00FB52C2"/>
    <w:rsid w:val="00FB54EC"/>
    <w:rsid w:val="00FB54F0"/>
    <w:rsid w:val="00FB5545"/>
    <w:rsid w:val="00FB5565"/>
    <w:rsid w:val="00FB5617"/>
    <w:rsid w:val="00FB562A"/>
    <w:rsid w:val="00FB5639"/>
    <w:rsid w:val="00FB580F"/>
    <w:rsid w:val="00FB58C7"/>
    <w:rsid w:val="00FB5986"/>
    <w:rsid w:val="00FB5B30"/>
    <w:rsid w:val="00FB5C1C"/>
    <w:rsid w:val="00FB5CC8"/>
    <w:rsid w:val="00FB5CF5"/>
    <w:rsid w:val="00FB5E32"/>
    <w:rsid w:val="00FB5E34"/>
    <w:rsid w:val="00FB604D"/>
    <w:rsid w:val="00FB6092"/>
    <w:rsid w:val="00FB6282"/>
    <w:rsid w:val="00FB66F0"/>
    <w:rsid w:val="00FB684B"/>
    <w:rsid w:val="00FB6CA0"/>
    <w:rsid w:val="00FB6D75"/>
    <w:rsid w:val="00FB6DAB"/>
    <w:rsid w:val="00FB6F7C"/>
    <w:rsid w:val="00FB6FAB"/>
    <w:rsid w:val="00FB6FD0"/>
    <w:rsid w:val="00FB6FF5"/>
    <w:rsid w:val="00FB7185"/>
    <w:rsid w:val="00FB7200"/>
    <w:rsid w:val="00FB7202"/>
    <w:rsid w:val="00FB7372"/>
    <w:rsid w:val="00FB74DE"/>
    <w:rsid w:val="00FB7530"/>
    <w:rsid w:val="00FB7732"/>
    <w:rsid w:val="00FB7733"/>
    <w:rsid w:val="00FB77B5"/>
    <w:rsid w:val="00FB77C5"/>
    <w:rsid w:val="00FB7977"/>
    <w:rsid w:val="00FB79B9"/>
    <w:rsid w:val="00FB79CB"/>
    <w:rsid w:val="00FB7BE9"/>
    <w:rsid w:val="00FB7C81"/>
    <w:rsid w:val="00FB7F1E"/>
    <w:rsid w:val="00FB7F81"/>
    <w:rsid w:val="00FC0122"/>
    <w:rsid w:val="00FC013E"/>
    <w:rsid w:val="00FC0316"/>
    <w:rsid w:val="00FC03B7"/>
    <w:rsid w:val="00FC03BE"/>
    <w:rsid w:val="00FC04F6"/>
    <w:rsid w:val="00FC0689"/>
    <w:rsid w:val="00FC0922"/>
    <w:rsid w:val="00FC09DE"/>
    <w:rsid w:val="00FC0A5D"/>
    <w:rsid w:val="00FC0A63"/>
    <w:rsid w:val="00FC0B16"/>
    <w:rsid w:val="00FC0FAC"/>
    <w:rsid w:val="00FC133F"/>
    <w:rsid w:val="00FC151D"/>
    <w:rsid w:val="00FC16B6"/>
    <w:rsid w:val="00FC17B7"/>
    <w:rsid w:val="00FC1A7E"/>
    <w:rsid w:val="00FC1AA3"/>
    <w:rsid w:val="00FC1B14"/>
    <w:rsid w:val="00FC1B60"/>
    <w:rsid w:val="00FC1C68"/>
    <w:rsid w:val="00FC1DFA"/>
    <w:rsid w:val="00FC202D"/>
    <w:rsid w:val="00FC220C"/>
    <w:rsid w:val="00FC222C"/>
    <w:rsid w:val="00FC224C"/>
    <w:rsid w:val="00FC22F3"/>
    <w:rsid w:val="00FC2378"/>
    <w:rsid w:val="00FC2427"/>
    <w:rsid w:val="00FC251F"/>
    <w:rsid w:val="00FC25F0"/>
    <w:rsid w:val="00FC2824"/>
    <w:rsid w:val="00FC2890"/>
    <w:rsid w:val="00FC289C"/>
    <w:rsid w:val="00FC28F2"/>
    <w:rsid w:val="00FC2948"/>
    <w:rsid w:val="00FC29DD"/>
    <w:rsid w:val="00FC2A06"/>
    <w:rsid w:val="00FC2ACE"/>
    <w:rsid w:val="00FC2AD5"/>
    <w:rsid w:val="00FC2AE0"/>
    <w:rsid w:val="00FC2B07"/>
    <w:rsid w:val="00FC2B24"/>
    <w:rsid w:val="00FC2B47"/>
    <w:rsid w:val="00FC2B88"/>
    <w:rsid w:val="00FC2B94"/>
    <w:rsid w:val="00FC2FC1"/>
    <w:rsid w:val="00FC3045"/>
    <w:rsid w:val="00FC30D0"/>
    <w:rsid w:val="00FC3113"/>
    <w:rsid w:val="00FC33CA"/>
    <w:rsid w:val="00FC34A6"/>
    <w:rsid w:val="00FC36BA"/>
    <w:rsid w:val="00FC370C"/>
    <w:rsid w:val="00FC3890"/>
    <w:rsid w:val="00FC3969"/>
    <w:rsid w:val="00FC3A5A"/>
    <w:rsid w:val="00FC3A91"/>
    <w:rsid w:val="00FC3B91"/>
    <w:rsid w:val="00FC3E8D"/>
    <w:rsid w:val="00FC3F09"/>
    <w:rsid w:val="00FC3FFC"/>
    <w:rsid w:val="00FC43C6"/>
    <w:rsid w:val="00FC43C9"/>
    <w:rsid w:val="00FC4731"/>
    <w:rsid w:val="00FC47C5"/>
    <w:rsid w:val="00FC49F2"/>
    <w:rsid w:val="00FC4B42"/>
    <w:rsid w:val="00FC4C05"/>
    <w:rsid w:val="00FC4C0F"/>
    <w:rsid w:val="00FC4E2E"/>
    <w:rsid w:val="00FC4E9B"/>
    <w:rsid w:val="00FC5198"/>
    <w:rsid w:val="00FC519F"/>
    <w:rsid w:val="00FC51EE"/>
    <w:rsid w:val="00FC51F6"/>
    <w:rsid w:val="00FC5258"/>
    <w:rsid w:val="00FC5317"/>
    <w:rsid w:val="00FC5379"/>
    <w:rsid w:val="00FC54E3"/>
    <w:rsid w:val="00FC562C"/>
    <w:rsid w:val="00FC5640"/>
    <w:rsid w:val="00FC58B3"/>
    <w:rsid w:val="00FC5AAA"/>
    <w:rsid w:val="00FC5B59"/>
    <w:rsid w:val="00FC5BBC"/>
    <w:rsid w:val="00FC5C90"/>
    <w:rsid w:val="00FC5CEA"/>
    <w:rsid w:val="00FC5D26"/>
    <w:rsid w:val="00FC5E4E"/>
    <w:rsid w:val="00FC60BF"/>
    <w:rsid w:val="00FC6168"/>
    <w:rsid w:val="00FC62A5"/>
    <w:rsid w:val="00FC64EE"/>
    <w:rsid w:val="00FC651F"/>
    <w:rsid w:val="00FC66CE"/>
    <w:rsid w:val="00FC67AB"/>
    <w:rsid w:val="00FC67DA"/>
    <w:rsid w:val="00FC688A"/>
    <w:rsid w:val="00FC6A8F"/>
    <w:rsid w:val="00FC6AE5"/>
    <w:rsid w:val="00FC6D7F"/>
    <w:rsid w:val="00FC6ED4"/>
    <w:rsid w:val="00FC6F9A"/>
    <w:rsid w:val="00FC6FFC"/>
    <w:rsid w:val="00FC703F"/>
    <w:rsid w:val="00FC7069"/>
    <w:rsid w:val="00FC7073"/>
    <w:rsid w:val="00FC720A"/>
    <w:rsid w:val="00FC7380"/>
    <w:rsid w:val="00FC7398"/>
    <w:rsid w:val="00FC740B"/>
    <w:rsid w:val="00FC74A0"/>
    <w:rsid w:val="00FC74C1"/>
    <w:rsid w:val="00FC7550"/>
    <w:rsid w:val="00FC75DC"/>
    <w:rsid w:val="00FC7611"/>
    <w:rsid w:val="00FC775B"/>
    <w:rsid w:val="00FC77D2"/>
    <w:rsid w:val="00FC7842"/>
    <w:rsid w:val="00FC78E3"/>
    <w:rsid w:val="00FC79E5"/>
    <w:rsid w:val="00FC7B95"/>
    <w:rsid w:val="00FC7E1C"/>
    <w:rsid w:val="00FC7ED2"/>
    <w:rsid w:val="00FD0053"/>
    <w:rsid w:val="00FD0061"/>
    <w:rsid w:val="00FD0167"/>
    <w:rsid w:val="00FD030D"/>
    <w:rsid w:val="00FD0371"/>
    <w:rsid w:val="00FD043A"/>
    <w:rsid w:val="00FD0525"/>
    <w:rsid w:val="00FD0561"/>
    <w:rsid w:val="00FD07E3"/>
    <w:rsid w:val="00FD096B"/>
    <w:rsid w:val="00FD09AB"/>
    <w:rsid w:val="00FD09CA"/>
    <w:rsid w:val="00FD0B4B"/>
    <w:rsid w:val="00FD0BBD"/>
    <w:rsid w:val="00FD0C5D"/>
    <w:rsid w:val="00FD0C75"/>
    <w:rsid w:val="00FD0D3B"/>
    <w:rsid w:val="00FD105A"/>
    <w:rsid w:val="00FD1168"/>
    <w:rsid w:val="00FD153B"/>
    <w:rsid w:val="00FD1589"/>
    <w:rsid w:val="00FD165D"/>
    <w:rsid w:val="00FD16A5"/>
    <w:rsid w:val="00FD18CA"/>
    <w:rsid w:val="00FD1D4A"/>
    <w:rsid w:val="00FD1F47"/>
    <w:rsid w:val="00FD2069"/>
    <w:rsid w:val="00FD2256"/>
    <w:rsid w:val="00FD240B"/>
    <w:rsid w:val="00FD259E"/>
    <w:rsid w:val="00FD261D"/>
    <w:rsid w:val="00FD2642"/>
    <w:rsid w:val="00FD2A62"/>
    <w:rsid w:val="00FD2B38"/>
    <w:rsid w:val="00FD2C6E"/>
    <w:rsid w:val="00FD2D2E"/>
    <w:rsid w:val="00FD2E61"/>
    <w:rsid w:val="00FD308F"/>
    <w:rsid w:val="00FD3116"/>
    <w:rsid w:val="00FD3338"/>
    <w:rsid w:val="00FD333B"/>
    <w:rsid w:val="00FD3694"/>
    <w:rsid w:val="00FD370A"/>
    <w:rsid w:val="00FD371B"/>
    <w:rsid w:val="00FD37B6"/>
    <w:rsid w:val="00FD3884"/>
    <w:rsid w:val="00FD3AC6"/>
    <w:rsid w:val="00FD3BD0"/>
    <w:rsid w:val="00FD3BE1"/>
    <w:rsid w:val="00FD3CBB"/>
    <w:rsid w:val="00FD3CCE"/>
    <w:rsid w:val="00FD3D6B"/>
    <w:rsid w:val="00FD3DC2"/>
    <w:rsid w:val="00FD3F32"/>
    <w:rsid w:val="00FD402E"/>
    <w:rsid w:val="00FD403C"/>
    <w:rsid w:val="00FD41AD"/>
    <w:rsid w:val="00FD4544"/>
    <w:rsid w:val="00FD45C9"/>
    <w:rsid w:val="00FD469D"/>
    <w:rsid w:val="00FD4863"/>
    <w:rsid w:val="00FD4D0D"/>
    <w:rsid w:val="00FD4E0A"/>
    <w:rsid w:val="00FD4E19"/>
    <w:rsid w:val="00FD4E3B"/>
    <w:rsid w:val="00FD4E73"/>
    <w:rsid w:val="00FD4EFF"/>
    <w:rsid w:val="00FD4FBF"/>
    <w:rsid w:val="00FD502E"/>
    <w:rsid w:val="00FD5189"/>
    <w:rsid w:val="00FD5198"/>
    <w:rsid w:val="00FD51A9"/>
    <w:rsid w:val="00FD51D2"/>
    <w:rsid w:val="00FD5361"/>
    <w:rsid w:val="00FD53DD"/>
    <w:rsid w:val="00FD54F4"/>
    <w:rsid w:val="00FD56C5"/>
    <w:rsid w:val="00FD575B"/>
    <w:rsid w:val="00FD5A64"/>
    <w:rsid w:val="00FD5AAC"/>
    <w:rsid w:val="00FD5B17"/>
    <w:rsid w:val="00FD5CC3"/>
    <w:rsid w:val="00FD5CD3"/>
    <w:rsid w:val="00FD60AD"/>
    <w:rsid w:val="00FD62AF"/>
    <w:rsid w:val="00FD62CF"/>
    <w:rsid w:val="00FD62EC"/>
    <w:rsid w:val="00FD6338"/>
    <w:rsid w:val="00FD63BA"/>
    <w:rsid w:val="00FD6401"/>
    <w:rsid w:val="00FD669C"/>
    <w:rsid w:val="00FD6800"/>
    <w:rsid w:val="00FD69B9"/>
    <w:rsid w:val="00FD6AF6"/>
    <w:rsid w:val="00FD6B81"/>
    <w:rsid w:val="00FD6E66"/>
    <w:rsid w:val="00FD7075"/>
    <w:rsid w:val="00FD7081"/>
    <w:rsid w:val="00FD70E3"/>
    <w:rsid w:val="00FD7142"/>
    <w:rsid w:val="00FD723F"/>
    <w:rsid w:val="00FD7258"/>
    <w:rsid w:val="00FD72F8"/>
    <w:rsid w:val="00FD735C"/>
    <w:rsid w:val="00FD7366"/>
    <w:rsid w:val="00FD73A3"/>
    <w:rsid w:val="00FD75EE"/>
    <w:rsid w:val="00FD7A18"/>
    <w:rsid w:val="00FD7AA2"/>
    <w:rsid w:val="00FD7B64"/>
    <w:rsid w:val="00FD7B9F"/>
    <w:rsid w:val="00FD7C74"/>
    <w:rsid w:val="00FD7CA2"/>
    <w:rsid w:val="00FD7D39"/>
    <w:rsid w:val="00FD7DBB"/>
    <w:rsid w:val="00FD7DEC"/>
    <w:rsid w:val="00FD7EB0"/>
    <w:rsid w:val="00FE023F"/>
    <w:rsid w:val="00FE02C6"/>
    <w:rsid w:val="00FE035F"/>
    <w:rsid w:val="00FE037D"/>
    <w:rsid w:val="00FE04D4"/>
    <w:rsid w:val="00FE04DA"/>
    <w:rsid w:val="00FE0688"/>
    <w:rsid w:val="00FE068B"/>
    <w:rsid w:val="00FE073B"/>
    <w:rsid w:val="00FE0919"/>
    <w:rsid w:val="00FE0937"/>
    <w:rsid w:val="00FE093C"/>
    <w:rsid w:val="00FE09DE"/>
    <w:rsid w:val="00FE0BFD"/>
    <w:rsid w:val="00FE0C0F"/>
    <w:rsid w:val="00FE0CCA"/>
    <w:rsid w:val="00FE0EA6"/>
    <w:rsid w:val="00FE0FE9"/>
    <w:rsid w:val="00FE11D8"/>
    <w:rsid w:val="00FE1367"/>
    <w:rsid w:val="00FE152A"/>
    <w:rsid w:val="00FE15D5"/>
    <w:rsid w:val="00FE1BDF"/>
    <w:rsid w:val="00FE1DDD"/>
    <w:rsid w:val="00FE1E82"/>
    <w:rsid w:val="00FE1EEA"/>
    <w:rsid w:val="00FE1FA3"/>
    <w:rsid w:val="00FE20EE"/>
    <w:rsid w:val="00FE21B9"/>
    <w:rsid w:val="00FE21E7"/>
    <w:rsid w:val="00FE2261"/>
    <w:rsid w:val="00FE240F"/>
    <w:rsid w:val="00FE2613"/>
    <w:rsid w:val="00FE2697"/>
    <w:rsid w:val="00FE2756"/>
    <w:rsid w:val="00FE27EF"/>
    <w:rsid w:val="00FE2807"/>
    <w:rsid w:val="00FE2891"/>
    <w:rsid w:val="00FE28FD"/>
    <w:rsid w:val="00FE2C9C"/>
    <w:rsid w:val="00FE308B"/>
    <w:rsid w:val="00FE310A"/>
    <w:rsid w:val="00FE3130"/>
    <w:rsid w:val="00FE31A1"/>
    <w:rsid w:val="00FE3365"/>
    <w:rsid w:val="00FE339E"/>
    <w:rsid w:val="00FE34A9"/>
    <w:rsid w:val="00FE34ED"/>
    <w:rsid w:val="00FE357C"/>
    <w:rsid w:val="00FE3591"/>
    <w:rsid w:val="00FE35A0"/>
    <w:rsid w:val="00FE3657"/>
    <w:rsid w:val="00FE3756"/>
    <w:rsid w:val="00FE375E"/>
    <w:rsid w:val="00FE3955"/>
    <w:rsid w:val="00FE3CA0"/>
    <w:rsid w:val="00FE3EB6"/>
    <w:rsid w:val="00FE4080"/>
    <w:rsid w:val="00FE4090"/>
    <w:rsid w:val="00FE41DE"/>
    <w:rsid w:val="00FE4494"/>
    <w:rsid w:val="00FE4593"/>
    <w:rsid w:val="00FE45A9"/>
    <w:rsid w:val="00FE4618"/>
    <w:rsid w:val="00FE468C"/>
    <w:rsid w:val="00FE46C3"/>
    <w:rsid w:val="00FE4834"/>
    <w:rsid w:val="00FE493C"/>
    <w:rsid w:val="00FE4998"/>
    <w:rsid w:val="00FE4AD3"/>
    <w:rsid w:val="00FE4C26"/>
    <w:rsid w:val="00FE4C4E"/>
    <w:rsid w:val="00FE4DAB"/>
    <w:rsid w:val="00FE4DD0"/>
    <w:rsid w:val="00FE4DED"/>
    <w:rsid w:val="00FE4E39"/>
    <w:rsid w:val="00FE4ECF"/>
    <w:rsid w:val="00FE5016"/>
    <w:rsid w:val="00FE5279"/>
    <w:rsid w:val="00FE5290"/>
    <w:rsid w:val="00FE52A2"/>
    <w:rsid w:val="00FE53FC"/>
    <w:rsid w:val="00FE54C0"/>
    <w:rsid w:val="00FE55CD"/>
    <w:rsid w:val="00FE5892"/>
    <w:rsid w:val="00FE589D"/>
    <w:rsid w:val="00FE5A2B"/>
    <w:rsid w:val="00FE5A5B"/>
    <w:rsid w:val="00FE5B55"/>
    <w:rsid w:val="00FE5C14"/>
    <w:rsid w:val="00FE5EA8"/>
    <w:rsid w:val="00FE5EEF"/>
    <w:rsid w:val="00FE605C"/>
    <w:rsid w:val="00FE6133"/>
    <w:rsid w:val="00FE6142"/>
    <w:rsid w:val="00FE6293"/>
    <w:rsid w:val="00FE630C"/>
    <w:rsid w:val="00FE6373"/>
    <w:rsid w:val="00FE639F"/>
    <w:rsid w:val="00FE6440"/>
    <w:rsid w:val="00FE6726"/>
    <w:rsid w:val="00FE67D8"/>
    <w:rsid w:val="00FE6953"/>
    <w:rsid w:val="00FE6A00"/>
    <w:rsid w:val="00FE6C93"/>
    <w:rsid w:val="00FE6CA5"/>
    <w:rsid w:val="00FE6D80"/>
    <w:rsid w:val="00FE6EBF"/>
    <w:rsid w:val="00FE6F0E"/>
    <w:rsid w:val="00FE7065"/>
    <w:rsid w:val="00FE7151"/>
    <w:rsid w:val="00FE7177"/>
    <w:rsid w:val="00FE723E"/>
    <w:rsid w:val="00FE73A6"/>
    <w:rsid w:val="00FE7599"/>
    <w:rsid w:val="00FE7618"/>
    <w:rsid w:val="00FE7658"/>
    <w:rsid w:val="00FE78DB"/>
    <w:rsid w:val="00FE791E"/>
    <w:rsid w:val="00FE7A1C"/>
    <w:rsid w:val="00FE7AE7"/>
    <w:rsid w:val="00FE7CD8"/>
    <w:rsid w:val="00FE7DD8"/>
    <w:rsid w:val="00FE7F42"/>
    <w:rsid w:val="00FF0250"/>
    <w:rsid w:val="00FF03B9"/>
    <w:rsid w:val="00FF03FE"/>
    <w:rsid w:val="00FF050F"/>
    <w:rsid w:val="00FF05E8"/>
    <w:rsid w:val="00FF063B"/>
    <w:rsid w:val="00FF0653"/>
    <w:rsid w:val="00FF06D8"/>
    <w:rsid w:val="00FF07B8"/>
    <w:rsid w:val="00FF08CE"/>
    <w:rsid w:val="00FF0969"/>
    <w:rsid w:val="00FF0B18"/>
    <w:rsid w:val="00FF0BB5"/>
    <w:rsid w:val="00FF0C53"/>
    <w:rsid w:val="00FF0D41"/>
    <w:rsid w:val="00FF0F7B"/>
    <w:rsid w:val="00FF1011"/>
    <w:rsid w:val="00FF1105"/>
    <w:rsid w:val="00FF11A6"/>
    <w:rsid w:val="00FF124D"/>
    <w:rsid w:val="00FF1329"/>
    <w:rsid w:val="00FF13D8"/>
    <w:rsid w:val="00FF1473"/>
    <w:rsid w:val="00FF15DB"/>
    <w:rsid w:val="00FF1790"/>
    <w:rsid w:val="00FF190F"/>
    <w:rsid w:val="00FF1A1A"/>
    <w:rsid w:val="00FF1A92"/>
    <w:rsid w:val="00FF1C8B"/>
    <w:rsid w:val="00FF1D14"/>
    <w:rsid w:val="00FF1D9E"/>
    <w:rsid w:val="00FF20A7"/>
    <w:rsid w:val="00FF20E8"/>
    <w:rsid w:val="00FF2173"/>
    <w:rsid w:val="00FF2208"/>
    <w:rsid w:val="00FF2219"/>
    <w:rsid w:val="00FF2220"/>
    <w:rsid w:val="00FF22BD"/>
    <w:rsid w:val="00FF2333"/>
    <w:rsid w:val="00FF23B4"/>
    <w:rsid w:val="00FF24E4"/>
    <w:rsid w:val="00FF2615"/>
    <w:rsid w:val="00FF2799"/>
    <w:rsid w:val="00FF2901"/>
    <w:rsid w:val="00FF2976"/>
    <w:rsid w:val="00FF2A59"/>
    <w:rsid w:val="00FF2D57"/>
    <w:rsid w:val="00FF2F3E"/>
    <w:rsid w:val="00FF2FE2"/>
    <w:rsid w:val="00FF3091"/>
    <w:rsid w:val="00FF326A"/>
    <w:rsid w:val="00FF332E"/>
    <w:rsid w:val="00FF335D"/>
    <w:rsid w:val="00FF346C"/>
    <w:rsid w:val="00FF357C"/>
    <w:rsid w:val="00FF37D5"/>
    <w:rsid w:val="00FF37F3"/>
    <w:rsid w:val="00FF380A"/>
    <w:rsid w:val="00FF39B9"/>
    <w:rsid w:val="00FF39EF"/>
    <w:rsid w:val="00FF3B03"/>
    <w:rsid w:val="00FF3C96"/>
    <w:rsid w:val="00FF3DBF"/>
    <w:rsid w:val="00FF3EA3"/>
    <w:rsid w:val="00FF3ED1"/>
    <w:rsid w:val="00FF3F31"/>
    <w:rsid w:val="00FF418D"/>
    <w:rsid w:val="00FF41AC"/>
    <w:rsid w:val="00FF4270"/>
    <w:rsid w:val="00FF4448"/>
    <w:rsid w:val="00FF460D"/>
    <w:rsid w:val="00FF46DA"/>
    <w:rsid w:val="00FF4842"/>
    <w:rsid w:val="00FF49A6"/>
    <w:rsid w:val="00FF49DA"/>
    <w:rsid w:val="00FF4A88"/>
    <w:rsid w:val="00FF4B43"/>
    <w:rsid w:val="00FF4B79"/>
    <w:rsid w:val="00FF4CE4"/>
    <w:rsid w:val="00FF4D2D"/>
    <w:rsid w:val="00FF4DFA"/>
    <w:rsid w:val="00FF4E7C"/>
    <w:rsid w:val="00FF4EFC"/>
    <w:rsid w:val="00FF50EC"/>
    <w:rsid w:val="00FF51C3"/>
    <w:rsid w:val="00FF52B0"/>
    <w:rsid w:val="00FF52EF"/>
    <w:rsid w:val="00FF5403"/>
    <w:rsid w:val="00FF54FC"/>
    <w:rsid w:val="00FF55E7"/>
    <w:rsid w:val="00FF5628"/>
    <w:rsid w:val="00FF57C6"/>
    <w:rsid w:val="00FF5A87"/>
    <w:rsid w:val="00FF5B50"/>
    <w:rsid w:val="00FF5CAF"/>
    <w:rsid w:val="00FF5D24"/>
    <w:rsid w:val="00FF5EB2"/>
    <w:rsid w:val="00FF5F06"/>
    <w:rsid w:val="00FF5F75"/>
    <w:rsid w:val="00FF5F91"/>
    <w:rsid w:val="00FF60DB"/>
    <w:rsid w:val="00FF6319"/>
    <w:rsid w:val="00FF631B"/>
    <w:rsid w:val="00FF6363"/>
    <w:rsid w:val="00FF63CB"/>
    <w:rsid w:val="00FF6427"/>
    <w:rsid w:val="00FF648D"/>
    <w:rsid w:val="00FF6558"/>
    <w:rsid w:val="00FF6616"/>
    <w:rsid w:val="00FF66CF"/>
    <w:rsid w:val="00FF66ED"/>
    <w:rsid w:val="00FF67D3"/>
    <w:rsid w:val="00FF6A77"/>
    <w:rsid w:val="00FF6B0E"/>
    <w:rsid w:val="00FF6BD6"/>
    <w:rsid w:val="00FF6E78"/>
    <w:rsid w:val="00FF6F6C"/>
    <w:rsid w:val="00FF70C8"/>
    <w:rsid w:val="00FF711D"/>
    <w:rsid w:val="00FF71A2"/>
    <w:rsid w:val="00FF722E"/>
    <w:rsid w:val="00FF72C9"/>
    <w:rsid w:val="00FF7324"/>
    <w:rsid w:val="00FF74AB"/>
    <w:rsid w:val="00FF7574"/>
    <w:rsid w:val="00FF7A0A"/>
    <w:rsid w:val="00FF7BA4"/>
    <w:rsid w:val="00FF7C13"/>
    <w:rsid w:val="00FF7C3D"/>
    <w:rsid w:val="00FF7C48"/>
    <w:rsid w:val="00FF7E79"/>
    <w:rsid w:val="011AE2D2"/>
    <w:rsid w:val="036B6520"/>
    <w:rsid w:val="03E15656"/>
    <w:rsid w:val="05031600"/>
    <w:rsid w:val="054EFD5B"/>
    <w:rsid w:val="065A35E2"/>
    <w:rsid w:val="0A4F3A2A"/>
    <w:rsid w:val="0F0329FC"/>
    <w:rsid w:val="0F889CC8"/>
    <w:rsid w:val="1036EAB5"/>
    <w:rsid w:val="106AD07F"/>
    <w:rsid w:val="1153BAAE"/>
    <w:rsid w:val="133ADAF2"/>
    <w:rsid w:val="147297BA"/>
    <w:rsid w:val="153212B0"/>
    <w:rsid w:val="1592C0B7"/>
    <w:rsid w:val="167C2EA7"/>
    <w:rsid w:val="16EA9308"/>
    <w:rsid w:val="189839F3"/>
    <w:rsid w:val="18AFCDBE"/>
    <w:rsid w:val="18C2F2AD"/>
    <w:rsid w:val="19338E1D"/>
    <w:rsid w:val="1972B0D5"/>
    <w:rsid w:val="1B45555F"/>
    <w:rsid w:val="1BB34DFD"/>
    <w:rsid w:val="1DF3F9CA"/>
    <w:rsid w:val="1E590760"/>
    <w:rsid w:val="2056358D"/>
    <w:rsid w:val="2195F820"/>
    <w:rsid w:val="2338DE9C"/>
    <w:rsid w:val="237E7C4A"/>
    <w:rsid w:val="249863BF"/>
    <w:rsid w:val="253EAAC5"/>
    <w:rsid w:val="26D7A5DE"/>
    <w:rsid w:val="2702BC31"/>
    <w:rsid w:val="27CF6D09"/>
    <w:rsid w:val="2813704E"/>
    <w:rsid w:val="2848B68D"/>
    <w:rsid w:val="2848E95E"/>
    <w:rsid w:val="29F91A17"/>
    <w:rsid w:val="2A564976"/>
    <w:rsid w:val="2D14D29D"/>
    <w:rsid w:val="2E2D0E14"/>
    <w:rsid w:val="31C5CD17"/>
    <w:rsid w:val="32CBF9D1"/>
    <w:rsid w:val="32E3F33E"/>
    <w:rsid w:val="332C4459"/>
    <w:rsid w:val="33EDB195"/>
    <w:rsid w:val="342FE035"/>
    <w:rsid w:val="34ECA987"/>
    <w:rsid w:val="353C7139"/>
    <w:rsid w:val="3673595D"/>
    <w:rsid w:val="390FD16A"/>
    <w:rsid w:val="39B45D9B"/>
    <w:rsid w:val="39CE44AE"/>
    <w:rsid w:val="3B756631"/>
    <w:rsid w:val="3C2F46E9"/>
    <w:rsid w:val="3D623E54"/>
    <w:rsid w:val="3DF5B6EC"/>
    <w:rsid w:val="3E5555FC"/>
    <w:rsid w:val="3F2D9EE2"/>
    <w:rsid w:val="3F37C9B2"/>
    <w:rsid w:val="3FFDAEAF"/>
    <w:rsid w:val="41D13737"/>
    <w:rsid w:val="43779A44"/>
    <w:rsid w:val="456EBB97"/>
    <w:rsid w:val="4788913C"/>
    <w:rsid w:val="4876AB6D"/>
    <w:rsid w:val="488DC9AD"/>
    <w:rsid w:val="48A8BA39"/>
    <w:rsid w:val="4AAF8E9F"/>
    <w:rsid w:val="4AD4D16C"/>
    <w:rsid w:val="4C277CF9"/>
    <w:rsid w:val="4C4B0DE5"/>
    <w:rsid w:val="4D6068B1"/>
    <w:rsid w:val="4EBF8630"/>
    <w:rsid w:val="506DCD26"/>
    <w:rsid w:val="50ABDF93"/>
    <w:rsid w:val="51770FAE"/>
    <w:rsid w:val="51F6DB03"/>
    <w:rsid w:val="539DF1EE"/>
    <w:rsid w:val="5415FA67"/>
    <w:rsid w:val="5509F188"/>
    <w:rsid w:val="553F25B6"/>
    <w:rsid w:val="55C1524D"/>
    <w:rsid w:val="58486231"/>
    <w:rsid w:val="5956E601"/>
    <w:rsid w:val="59626FF2"/>
    <w:rsid w:val="5C5A2CBC"/>
    <w:rsid w:val="5C902851"/>
    <w:rsid w:val="5CD16A6A"/>
    <w:rsid w:val="5CD79731"/>
    <w:rsid w:val="5D9A45BF"/>
    <w:rsid w:val="5E5C5FAF"/>
    <w:rsid w:val="607026BA"/>
    <w:rsid w:val="6082C73A"/>
    <w:rsid w:val="65E65E67"/>
    <w:rsid w:val="6670A68E"/>
    <w:rsid w:val="6673681A"/>
    <w:rsid w:val="66F41F2D"/>
    <w:rsid w:val="683D1B71"/>
    <w:rsid w:val="6A4B5836"/>
    <w:rsid w:val="6D4C8F02"/>
    <w:rsid w:val="6DD53DA1"/>
    <w:rsid w:val="6DFB7D5B"/>
    <w:rsid w:val="6F2835A9"/>
    <w:rsid w:val="6F49B6A3"/>
    <w:rsid w:val="6F9399DB"/>
    <w:rsid w:val="6FBE5284"/>
    <w:rsid w:val="707317AC"/>
    <w:rsid w:val="72C1B8B7"/>
    <w:rsid w:val="72FBBA8D"/>
    <w:rsid w:val="7415BC36"/>
    <w:rsid w:val="758B1ADA"/>
    <w:rsid w:val="7663BD32"/>
    <w:rsid w:val="76C9E994"/>
    <w:rsid w:val="7792EE40"/>
    <w:rsid w:val="795A25BF"/>
    <w:rsid w:val="79B17F7B"/>
    <w:rsid w:val="7C20FFF1"/>
    <w:rsid w:val="7F847040"/>
    <w:rsid w:val="7F87C944"/>
    <w:rsid w:val="7FA1D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2"/>
      <o:rules v:ext="edit">
        <o:r id="V:Rule1" type="connector" idref="#Connector: Elbow 32"/>
        <o:r id="V:Rule2" type="connector" idref="#Connector: Elbow 30"/>
        <o:r id="V:Rule3" type="connector" idref="#Straight Arrow Connector 1"/>
        <o:r id="V:Rule4" type="connector" idref="#Connector: Elbow 25"/>
        <o:r id="V:Rule5" type="connector" idref="#Straight Arrow Connector 28"/>
        <o:r id="V:Rule6" type="connector" idref="#Connector: Elbow 39"/>
        <o:r id="V:Rule7" type="connector" idref="#Straight Connector 41"/>
        <o:r id="V:Rule8" type="connector" idref="#Straight Connector 51"/>
      </o:rules>
    </o:shapelayout>
  </w:shapeDefaults>
  <w:doNotEmbedSmartTags/>
  <w:decimalSymbol w:val="."/>
  <w:listSeparator w:val=","/>
  <w14:docId w14:val="21B2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833"/>
    <w:pPr>
      <w:suppressAutoHyphens/>
      <w:spacing w:before="120" w:line="280" w:lineRule="atLeast"/>
      <w:jc w:val="both"/>
    </w:pPr>
    <w:rPr>
      <w:rFonts w:ascii="Arial" w:hAnsi="Arial"/>
      <w:color w:val="2C2624"/>
      <w:sz w:val="20"/>
      <w:lang w:val="en-AU" w:eastAsia="en-US"/>
    </w:rPr>
  </w:style>
  <w:style w:type="paragraph" w:styleId="Heading1">
    <w:name w:val="heading 1"/>
    <w:next w:val="BodyText"/>
    <w:qFormat/>
    <w:rsid w:val="00834CB4"/>
    <w:pPr>
      <w:keepNext/>
      <w:keepLines/>
      <w:spacing w:before="360" w:after="120"/>
      <w:outlineLvl w:val="0"/>
    </w:pPr>
    <w:rPr>
      <w:rFonts w:ascii="Arial" w:hAnsi="Arial" w:cs="Arial"/>
      <w:color w:val="ED0C64"/>
      <w:kern w:val="32"/>
      <w:sz w:val="44"/>
      <w:lang w:val="en-AU" w:eastAsia="en-US"/>
    </w:rPr>
  </w:style>
  <w:style w:type="paragraph" w:styleId="Heading2">
    <w:name w:val="heading 2"/>
    <w:basedOn w:val="Heading1"/>
    <w:next w:val="BodyText"/>
    <w:link w:val="Heading2Char"/>
    <w:qFormat/>
    <w:rsid w:val="00897FF2"/>
    <w:pPr>
      <w:suppressAutoHyphens/>
      <w:spacing w:before="240"/>
      <w:outlineLvl w:val="1"/>
    </w:pPr>
    <w:rPr>
      <w:color w:val="62136D"/>
      <w:sz w:val="38"/>
      <w:szCs w:val="38"/>
    </w:rPr>
  </w:style>
  <w:style w:type="paragraph" w:styleId="Heading3">
    <w:name w:val="heading 3"/>
    <w:basedOn w:val="Heading2"/>
    <w:next w:val="BodyText"/>
    <w:link w:val="Heading3Char"/>
    <w:qFormat/>
    <w:rsid w:val="000D58EC"/>
    <w:pPr>
      <w:outlineLvl w:val="2"/>
    </w:pPr>
    <w:rPr>
      <w:color w:val="241C44"/>
      <w:sz w:val="32"/>
      <w:szCs w:val="32"/>
    </w:rPr>
  </w:style>
  <w:style w:type="paragraph" w:styleId="Heading4">
    <w:name w:val="heading 4"/>
    <w:basedOn w:val="Heading3"/>
    <w:next w:val="BodyText"/>
    <w:link w:val="Heading4Char"/>
    <w:qFormat/>
    <w:rsid w:val="000D58EC"/>
    <w:pPr>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S Table Grid"/>
    <w:basedOn w:val="TableNormal"/>
    <w:rsid w:val="00774D3B"/>
    <w:pPr>
      <w:spacing w:before="120"/>
    </w:pPr>
    <w:rPr>
      <w:rFonts w:ascii="Arial" w:hAnsi="Arial"/>
      <w:color w:val="2C2624"/>
      <w:sz w:val="18"/>
      <w:szCs w:val="18"/>
    </w:rPr>
    <w:tblPr>
      <w:tblBorders>
        <w:top w:val="single" w:sz="2" w:space="0" w:color="auto"/>
        <w:bottom w:val="single" w:sz="2" w:space="0" w:color="auto"/>
        <w:insideH w:val="single" w:sz="2" w:space="0" w:color="auto"/>
      </w:tblBorders>
    </w:tblPr>
    <w:trPr>
      <w:cantSplit/>
    </w:trPr>
    <w:tblStylePr w:type="firstRow">
      <w:rPr>
        <w:rFonts w:ascii="Arial" w:hAnsi="Arial"/>
        <w:b w:val="0"/>
        <w:bCs w:val="0"/>
        <w:i w:val="0"/>
        <w:iCs w:val="0"/>
        <w:color w:val="2C2624"/>
        <w:sz w:val="18"/>
        <w:szCs w:val="18"/>
      </w:rPr>
      <w:tblPr/>
      <w:tcPr>
        <w:shd w:val="clear" w:color="auto" w:fill="62136D"/>
      </w:tcPr>
    </w:tblStylePr>
  </w:style>
  <w:style w:type="paragraph" w:styleId="ListBullet">
    <w:name w:val="List Bullet"/>
    <w:basedOn w:val="BodyText"/>
    <w:qFormat/>
    <w:rsid w:val="009C67DB"/>
    <w:pPr>
      <w:numPr>
        <w:numId w:val="18"/>
      </w:numPr>
      <w:tabs>
        <w:tab w:val="num" w:pos="425"/>
      </w:tabs>
      <w:spacing w:before="60"/>
      <w:ind w:left="714" w:hanging="357"/>
      <w:jc w:val="left"/>
    </w:pPr>
  </w:style>
  <w:style w:type="paragraph" w:styleId="ListNumber">
    <w:name w:val="List Number"/>
    <w:basedOn w:val="BodyText"/>
    <w:rsid w:val="00897FF2"/>
    <w:pPr>
      <w:numPr>
        <w:numId w:val="57"/>
      </w:numPr>
      <w:tabs>
        <w:tab w:val="num" w:pos="360"/>
      </w:tabs>
      <w:spacing w:before="60"/>
    </w:pPr>
  </w:style>
  <w:style w:type="paragraph" w:styleId="ListBullet2">
    <w:name w:val="List Bullet 2"/>
    <w:basedOn w:val="ListBullet"/>
    <w:qFormat/>
    <w:rsid w:val="00834CB4"/>
    <w:pPr>
      <w:tabs>
        <w:tab w:val="clear" w:pos="425"/>
        <w:tab w:val="num" w:pos="851"/>
      </w:tabs>
      <w:ind w:left="851" w:hanging="426"/>
    </w:pPr>
  </w:style>
  <w:style w:type="paragraph" w:styleId="ListNumber2">
    <w:name w:val="List Number 2"/>
    <w:basedOn w:val="ListNumber"/>
    <w:rsid w:val="002805D2"/>
    <w:pPr>
      <w:tabs>
        <w:tab w:val="num" w:pos="851"/>
      </w:tabs>
      <w:ind w:left="851" w:hanging="426"/>
    </w:pPr>
  </w:style>
  <w:style w:type="paragraph" w:styleId="BodyText">
    <w:name w:val="Body Text"/>
    <w:basedOn w:val="Normal"/>
    <w:link w:val="BodyTextChar"/>
    <w:qFormat/>
    <w:rsid w:val="00897FF2"/>
    <w:rPr>
      <w:rFonts w:eastAsia="Times New Roman"/>
      <w:lang w:bidi="en-US"/>
    </w:rPr>
  </w:style>
  <w:style w:type="paragraph" w:styleId="Footer">
    <w:name w:val="footer"/>
    <w:basedOn w:val="Normal"/>
    <w:rsid w:val="00897FF2"/>
    <w:pPr>
      <w:numPr>
        <w:numId w:val="1"/>
      </w:numPr>
      <w:tabs>
        <w:tab w:val="right" w:pos="8505"/>
      </w:tabs>
    </w:pPr>
    <w:rPr>
      <w:color w:val="241C44"/>
      <w:sz w:val="16"/>
      <w:szCs w:val="16"/>
    </w:rPr>
  </w:style>
  <w:style w:type="paragraph" w:styleId="Header">
    <w:name w:val="header"/>
    <w:basedOn w:val="Normal"/>
    <w:rsid w:val="00526EC6"/>
    <w:pPr>
      <w:numPr>
        <w:numId w:val="4"/>
      </w:numPr>
      <w:spacing w:before="0" w:line="240" w:lineRule="auto"/>
    </w:pPr>
    <w:rPr>
      <w:noProof/>
      <w:color w:val="241C44"/>
      <w:sz w:val="16"/>
      <w:szCs w:val="16"/>
      <w:lang w:val="en-US"/>
    </w:rPr>
  </w:style>
  <w:style w:type="paragraph" w:customStyle="1" w:styleId="TableText">
    <w:name w:val="Table Text"/>
    <w:basedOn w:val="BodyText"/>
    <w:rsid w:val="00422E22"/>
    <w:pPr>
      <w:keepNext/>
      <w:numPr>
        <w:numId w:val="2"/>
      </w:numPr>
      <w:spacing w:before="60" w:after="60" w:line="240" w:lineRule="auto"/>
    </w:pPr>
    <w:rPr>
      <w:szCs w:val="20"/>
      <w:lang w:val="en-US" w:eastAsia="en-AU"/>
    </w:rPr>
  </w:style>
  <w:style w:type="paragraph" w:styleId="BalloonText">
    <w:name w:val="Balloon Text"/>
    <w:basedOn w:val="Normal"/>
    <w:semiHidden/>
    <w:rsid w:val="000B343E"/>
    <w:pPr>
      <w:numPr>
        <w:numId w:val="3"/>
      </w:numPr>
    </w:pPr>
    <w:rPr>
      <w:rFonts w:ascii="Lucida Grande" w:hAnsi="Lucida Grande"/>
      <w:sz w:val="18"/>
      <w:szCs w:val="18"/>
    </w:rPr>
  </w:style>
  <w:style w:type="paragraph" w:customStyle="1" w:styleId="FigureCaption">
    <w:name w:val="Figure Caption"/>
    <w:basedOn w:val="BodyText"/>
    <w:next w:val="BodyText"/>
    <w:qFormat/>
    <w:rsid w:val="00897FF2"/>
    <w:pPr>
      <w:keepNext/>
      <w:spacing w:before="360" w:after="120"/>
    </w:pPr>
    <w:rPr>
      <w:rFonts w:cs="Arial"/>
      <w:b/>
      <w:color w:val="ED0C64"/>
      <w:lang w:val="en-US" w:eastAsia="ja-JP"/>
    </w:rPr>
  </w:style>
  <w:style w:type="paragraph" w:customStyle="1" w:styleId="HeaderCover">
    <w:name w:val="Header Cover"/>
    <w:basedOn w:val="Header"/>
    <w:rsid w:val="008C3543"/>
    <w:pPr>
      <w:ind w:left="-1701" w:right="-1701"/>
      <w:jc w:val="center"/>
    </w:pPr>
  </w:style>
  <w:style w:type="paragraph" w:customStyle="1" w:styleId="ReportTitle">
    <w:name w:val="Report Title"/>
    <w:rsid w:val="001D176F"/>
    <w:pPr>
      <w:keepLines/>
      <w:suppressAutoHyphens/>
      <w:spacing w:before="1680" w:after="240"/>
      <w:jc w:val="center"/>
    </w:pPr>
    <w:rPr>
      <w:rFonts w:ascii="Arial" w:eastAsia="Times New Roman" w:hAnsi="Arial"/>
      <w:color w:val="ED0C64"/>
      <w:sz w:val="56"/>
      <w:szCs w:val="56"/>
      <w:lang w:val="en-AU" w:eastAsia="en-US" w:bidi="en-US"/>
    </w:rPr>
  </w:style>
  <w:style w:type="paragraph" w:customStyle="1" w:styleId="ReportSubtitle">
    <w:name w:val="Report Subtitle"/>
    <w:rsid w:val="005D0819"/>
    <w:pPr>
      <w:spacing w:before="240"/>
      <w:jc w:val="center"/>
    </w:pPr>
    <w:rPr>
      <w:rFonts w:ascii="Arial" w:eastAsia="Times New Roman" w:hAnsi="Arial"/>
      <w:color w:val="241C44"/>
      <w:sz w:val="36"/>
      <w:szCs w:val="28"/>
      <w:lang w:val="en-AU" w:eastAsia="en-US" w:bidi="en-US"/>
    </w:rPr>
  </w:style>
  <w:style w:type="paragraph" w:customStyle="1" w:styleId="PlaceholderImage">
    <w:name w:val="Placeholder Image"/>
    <w:basedOn w:val="BodyText"/>
    <w:rsid w:val="00D718FB"/>
    <w:pPr>
      <w:spacing w:before="360" w:after="360"/>
      <w:jc w:val="center"/>
    </w:pPr>
  </w:style>
  <w:style w:type="paragraph" w:customStyle="1" w:styleId="CoverDetails">
    <w:name w:val="Cover Details"/>
    <w:basedOn w:val="BodyText"/>
    <w:rsid w:val="00B05718"/>
    <w:pPr>
      <w:spacing w:before="240"/>
      <w:jc w:val="center"/>
    </w:pPr>
    <w:rPr>
      <w:color w:val="241C44"/>
      <w:sz w:val="22"/>
      <w:szCs w:val="22"/>
    </w:rPr>
  </w:style>
  <w:style w:type="character" w:styleId="PageNumber">
    <w:name w:val="page number"/>
    <w:basedOn w:val="DefaultParagraphFont"/>
    <w:uiPriority w:val="99"/>
    <w:semiHidden/>
    <w:unhideWhenUsed/>
    <w:rsid w:val="00034106"/>
  </w:style>
  <w:style w:type="paragraph" w:customStyle="1" w:styleId="Heading1Outline">
    <w:name w:val="Heading 1 Outline"/>
    <w:basedOn w:val="Heading1"/>
    <w:next w:val="BodyText"/>
    <w:rsid w:val="00911089"/>
    <w:pPr>
      <w:tabs>
        <w:tab w:val="num" w:pos="992"/>
      </w:tabs>
      <w:ind w:left="992" w:hanging="992"/>
    </w:pPr>
  </w:style>
  <w:style w:type="paragraph" w:customStyle="1" w:styleId="Heading2Outline">
    <w:name w:val="Heading 2 Outline"/>
    <w:basedOn w:val="Heading1Outline"/>
    <w:next w:val="BodyText"/>
    <w:rsid w:val="00B86526"/>
    <w:pPr>
      <w:numPr>
        <w:ilvl w:val="1"/>
      </w:numPr>
      <w:tabs>
        <w:tab w:val="num" w:pos="992"/>
      </w:tabs>
      <w:spacing w:before="240"/>
      <w:ind w:left="992" w:hanging="992"/>
      <w:outlineLvl w:val="1"/>
    </w:pPr>
    <w:rPr>
      <w:color w:val="62136D"/>
      <w:sz w:val="38"/>
      <w:szCs w:val="38"/>
    </w:rPr>
  </w:style>
  <w:style w:type="paragraph" w:styleId="ListParagraph">
    <w:name w:val="List Paragraph"/>
    <w:basedOn w:val="BodyText"/>
    <w:uiPriority w:val="34"/>
    <w:qFormat/>
    <w:rsid w:val="00E77355"/>
    <w:pPr>
      <w:spacing w:before="60"/>
      <w:ind w:left="425"/>
      <w:contextualSpacing/>
    </w:pPr>
  </w:style>
  <w:style w:type="paragraph" w:customStyle="1" w:styleId="Acknowledgments">
    <w:name w:val="Acknowledgments"/>
    <w:basedOn w:val="Heading1"/>
    <w:qFormat/>
    <w:rsid w:val="003A2FE4"/>
  </w:style>
  <w:style w:type="paragraph" w:customStyle="1" w:styleId="TableCaption">
    <w:name w:val="Table Caption"/>
    <w:basedOn w:val="BodyText"/>
    <w:rsid w:val="00E27255"/>
    <w:pPr>
      <w:keepNext/>
      <w:numPr>
        <w:numId w:val="5"/>
      </w:numPr>
      <w:spacing w:before="240" w:after="120"/>
    </w:pPr>
    <w:rPr>
      <w:b/>
      <w:color w:val="ED0C64"/>
    </w:rPr>
  </w:style>
  <w:style w:type="paragraph" w:customStyle="1" w:styleId="TableTextCentre">
    <w:name w:val="Table Text Centre"/>
    <w:basedOn w:val="TableText"/>
    <w:rsid w:val="00896080"/>
    <w:pPr>
      <w:numPr>
        <w:ilvl w:val="1"/>
        <w:numId w:val="5"/>
      </w:numPr>
      <w:jc w:val="center"/>
    </w:pPr>
  </w:style>
  <w:style w:type="paragraph" w:customStyle="1" w:styleId="TableHeading">
    <w:name w:val="Table Heading"/>
    <w:basedOn w:val="TableText"/>
    <w:rsid w:val="00854714"/>
    <w:rPr>
      <w:color w:val="62136D"/>
      <w:szCs w:val="18"/>
    </w:rPr>
  </w:style>
  <w:style w:type="paragraph" w:customStyle="1" w:styleId="TableColHeadLeft">
    <w:name w:val="Table Col Head Left"/>
    <w:basedOn w:val="TableText"/>
    <w:rsid w:val="00AE22B6"/>
    <w:rPr>
      <w:color w:val="FFFFFF" w:themeColor="background1"/>
      <w:szCs w:val="18"/>
    </w:rPr>
  </w:style>
  <w:style w:type="paragraph" w:customStyle="1" w:styleId="TableColHeadCentre">
    <w:name w:val="Table Col Head Centre"/>
    <w:basedOn w:val="TableColHeadLeft"/>
    <w:rsid w:val="00AE22B6"/>
    <w:pPr>
      <w:jc w:val="center"/>
    </w:pPr>
  </w:style>
  <w:style w:type="paragraph" w:customStyle="1" w:styleId="TableTextIndent">
    <w:name w:val="Table Text Indent"/>
    <w:basedOn w:val="TableText"/>
    <w:rsid w:val="00EB5E36"/>
    <w:pPr>
      <w:ind w:left="227"/>
    </w:pPr>
    <w:rPr>
      <w:szCs w:val="18"/>
    </w:rPr>
  </w:style>
  <w:style w:type="paragraph" w:customStyle="1" w:styleId="TableBullet1">
    <w:name w:val="Table Bullet 1"/>
    <w:basedOn w:val="TableText"/>
    <w:rsid w:val="001B6BBE"/>
    <w:pPr>
      <w:numPr>
        <w:numId w:val="7"/>
      </w:numPr>
    </w:pPr>
    <w:rPr>
      <w:szCs w:val="18"/>
    </w:rPr>
  </w:style>
  <w:style w:type="paragraph" w:customStyle="1" w:styleId="TableBullet2">
    <w:name w:val="Table Bullet 2"/>
    <w:basedOn w:val="TableBullet1"/>
    <w:rsid w:val="001B6BBE"/>
    <w:pPr>
      <w:numPr>
        <w:numId w:val="0"/>
      </w:numPr>
      <w:tabs>
        <w:tab w:val="num" w:pos="454"/>
      </w:tabs>
      <w:ind w:left="454" w:hanging="227"/>
    </w:pPr>
  </w:style>
  <w:style w:type="paragraph" w:customStyle="1" w:styleId="FigureNotes">
    <w:name w:val="Figure Notes"/>
    <w:basedOn w:val="BodyText"/>
    <w:qFormat/>
    <w:rsid w:val="00E27255"/>
    <w:pPr>
      <w:keepNext/>
      <w:spacing w:before="240" w:line="240" w:lineRule="auto"/>
      <w:contextualSpacing/>
    </w:pPr>
    <w:rPr>
      <w:rFonts w:cs="Arial"/>
      <w:sz w:val="16"/>
      <w:szCs w:val="16"/>
      <w:lang w:val="en-US" w:eastAsia="ja-JP"/>
    </w:rPr>
  </w:style>
  <w:style w:type="paragraph" w:customStyle="1" w:styleId="FigurePlaceholder">
    <w:name w:val="Figure Placeholder"/>
    <w:basedOn w:val="BodyText"/>
    <w:qFormat/>
    <w:rsid w:val="005F6CBA"/>
    <w:pPr>
      <w:keepNext/>
      <w:spacing w:before="240" w:after="240" w:line="240" w:lineRule="auto"/>
      <w:jc w:val="center"/>
    </w:pPr>
    <w:rPr>
      <w:lang w:val="en-US" w:eastAsia="ja-JP"/>
    </w:rPr>
  </w:style>
  <w:style w:type="character" w:styleId="CommentReference">
    <w:name w:val="annotation reference"/>
    <w:basedOn w:val="DefaultParagraphFont"/>
    <w:uiPriority w:val="99"/>
    <w:semiHidden/>
    <w:unhideWhenUsed/>
    <w:rsid w:val="00BF1C95"/>
    <w:rPr>
      <w:sz w:val="18"/>
      <w:szCs w:val="18"/>
    </w:rPr>
  </w:style>
  <w:style w:type="paragraph" w:styleId="CommentText">
    <w:name w:val="annotation text"/>
    <w:link w:val="CommentTextChar"/>
    <w:uiPriority w:val="99"/>
    <w:unhideWhenUsed/>
    <w:rsid w:val="001A2A21"/>
    <w:pPr>
      <w:numPr>
        <w:numId w:val="6"/>
      </w:numPr>
    </w:pPr>
    <w:rPr>
      <w:rFonts w:ascii="Arial Narrow" w:hAnsi="Arial Narrow"/>
      <w:color w:val="FF0000"/>
      <w:sz w:val="16"/>
      <w:lang w:val="en-AU" w:eastAsia="en-US"/>
    </w:rPr>
  </w:style>
  <w:style w:type="character" w:customStyle="1" w:styleId="CommentTextChar">
    <w:name w:val="Comment Text Char"/>
    <w:basedOn w:val="DefaultParagraphFont"/>
    <w:link w:val="CommentText"/>
    <w:uiPriority w:val="99"/>
    <w:rsid w:val="001A2A21"/>
    <w:rPr>
      <w:rFonts w:ascii="Arial Narrow" w:hAnsi="Arial Narrow"/>
      <w:color w:val="FF0000"/>
      <w:sz w:val="16"/>
      <w:lang w:val="en-AU" w:eastAsia="en-US"/>
    </w:rPr>
  </w:style>
  <w:style w:type="paragraph" w:styleId="CommentSubject">
    <w:name w:val="annotation subject"/>
    <w:basedOn w:val="CommentText"/>
    <w:next w:val="CommentText"/>
    <w:link w:val="CommentSubjectChar"/>
    <w:uiPriority w:val="99"/>
    <w:semiHidden/>
    <w:unhideWhenUsed/>
    <w:rsid w:val="00BF1C95"/>
    <w:rPr>
      <w:b/>
      <w:bCs/>
      <w:sz w:val="20"/>
      <w:szCs w:val="20"/>
    </w:rPr>
  </w:style>
  <w:style w:type="character" w:customStyle="1" w:styleId="CommentSubjectChar">
    <w:name w:val="Comment Subject Char"/>
    <w:basedOn w:val="CommentTextChar"/>
    <w:link w:val="CommentSubject"/>
    <w:uiPriority w:val="99"/>
    <w:semiHidden/>
    <w:rsid w:val="00BF1C95"/>
    <w:rPr>
      <w:rFonts w:ascii="Arial Narrow" w:hAnsi="Arial Narrow"/>
      <w:b/>
      <w:bCs/>
      <w:color w:val="FF0000"/>
      <w:sz w:val="20"/>
      <w:szCs w:val="20"/>
      <w:lang w:val="en-AU" w:eastAsia="en-US"/>
    </w:rPr>
  </w:style>
  <w:style w:type="paragraph" w:customStyle="1" w:styleId="CommentTextBullet">
    <w:name w:val="Comment Text Bullet"/>
    <w:basedOn w:val="CommentText"/>
    <w:rsid w:val="0014636E"/>
    <w:pPr>
      <w:numPr>
        <w:numId w:val="8"/>
      </w:numPr>
    </w:pPr>
  </w:style>
  <w:style w:type="paragraph" w:customStyle="1" w:styleId="ListParagraph2">
    <w:name w:val="List Paragraph 2"/>
    <w:basedOn w:val="ListParagraph"/>
    <w:rsid w:val="00DF52A4"/>
    <w:pPr>
      <w:ind w:left="851"/>
    </w:pPr>
  </w:style>
  <w:style w:type="table" w:customStyle="1" w:styleId="TableBox">
    <w:name w:val="Table Box"/>
    <w:basedOn w:val="TableNormal"/>
    <w:uiPriority w:val="99"/>
    <w:rsid w:val="00DD374B"/>
    <w:rPr>
      <w:rFonts w:ascii="Arial" w:hAnsi="Arial"/>
      <w:sz w:val="20"/>
    </w:rPr>
    <w:tblPr>
      <w:tblBorders>
        <w:top w:val="single" w:sz="4" w:space="0" w:color="auto"/>
        <w:left w:val="single" w:sz="4" w:space="0" w:color="auto"/>
        <w:bottom w:val="single" w:sz="4" w:space="0" w:color="auto"/>
        <w:right w:val="single" w:sz="4" w:space="0" w:color="auto"/>
      </w:tblBorders>
      <w:tblCellMar>
        <w:top w:w="113" w:type="dxa"/>
        <w:bottom w:w="113" w:type="dxa"/>
      </w:tblCellMar>
    </w:tblPr>
  </w:style>
  <w:style w:type="paragraph" w:customStyle="1" w:styleId="PrelimHeading1">
    <w:name w:val="Prelim Heading 1"/>
    <w:basedOn w:val="Heading1"/>
    <w:next w:val="BodyText"/>
    <w:rsid w:val="00180989"/>
  </w:style>
  <w:style w:type="paragraph" w:styleId="TOC1">
    <w:name w:val="toc 1"/>
    <w:basedOn w:val="Normal"/>
    <w:next w:val="Normal"/>
    <w:autoRedefine/>
    <w:uiPriority w:val="39"/>
    <w:unhideWhenUsed/>
    <w:rsid w:val="007B3472"/>
    <w:pPr>
      <w:tabs>
        <w:tab w:val="right" w:leader="dot" w:pos="8489"/>
      </w:tabs>
      <w:jc w:val="left"/>
    </w:pPr>
    <w:rPr>
      <w:bCs/>
      <w:szCs w:val="22"/>
    </w:rPr>
  </w:style>
  <w:style w:type="paragraph" w:styleId="TOC2">
    <w:name w:val="toc 2"/>
    <w:basedOn w:val="Normal"/>
    <w:next w:val="Normal"/>
    <w:autoRedefine/>
    <w:uiPriority w:val="39"/>
    <w:unhideWhenUsed/>
    <w:rsid w:val="00897FF2"/>
    <w:pPr>
      <w:tabs>
        <w:tab w:val="right" w:leader="dot" w:pos="8489"/>
      </w:tabs>
      <w:spacing w:before="0"/>
      <w:ind w:left="200"/>
      <w:jc w:val="left"/>
    </w:pPr>
    <w:rPr>
      <w:iCs/>
      <w:szCs w:val="22"/>
    </w:rPr>
  </w:style>
  <w:style w:type="paragraph" w:styleId="TOC3">
    <w:name w:val="toc 3"/>
    <w:basedOn w:val="Normal"/>
    <w:next w:val="Normal"/>
    <w:autoRedefine/>
    <w:uiPriority w:val="39"/>
    <w:unhideWhenUsed/>
    <w:rsid w:val="00545404"/>
    <w:pPr>
      <w:spacing w:before="0"/>
      <w:ind w:left="400"/>
      <w:jc w:val="left"/>
    </w:pPr>
    <w:rPr>
      <w:szCs w:val="22"/>
    </w:rPr>
  </w:style>
  <w:style w:type="paragraph" w:styleId="TOC4">
    <w:name w:val="toc 4"/>
    <w:basedOn w:val="Normal"/>
    <w:next w:val="Normal"/>
    <w:autoRedefine/>
    <w:uiPriority w:val="39"/>
    <w:unhideWhenUsed/>
    <w:rsid w:val="00B44E9B"/>
    <w:pPr>
      <w:ind w:left="600"/>
    </w:pPr>
  </w:style>
  <w:style w:type="paragraph" w:styleId="TOC5">
    <w:name w:val="toc 5"/>
    <w:basedOn w:val="Normal"/>
    <w:next w:val="Normal"/>
    <w:autoRedefine/>
    <w:uiPriority w:val="39"/>
    <w:unhideWhenUsed/>
    <w:rsid w:val="00B44E9B"/>
    <w:pPr>
      <w:ind w:left="800"/>
    </w:pPr>
  </w:style>
  <w:style w:type="paragraph" w:styleId="TOC6">
    <w:name w:val="toc 6"/>
    <w:basedOn w:val="Normal"/>
    <w:next w:val="Normal"/>
    <w:autoRedefine/>
    <w:uiPriority w:val="39"/>
    <w:unhideWhenUsed/>
    <w:rsid w:val="00B44E9B"/>
    <w:pPr>
      <w:ind w:left="1000"/>
    </w:pPr>
  </w:style>
  <w:style w:type="paragraph" w:styleId="TOC7">
    <w:name w:val="toc 7"/>
    <w:basedOn w:val="Normal"/>
    <w:next w:val="Normal"/>
    <w:autoRedefine/>
    <w:uiPriority w:val="39"/>
    <w:unhideWhenUsed/>
    <w:rsid w:val="00B44E9B"/>
    <w:pPr>
      <w:ind w:left="1200"/>
    </w:pPr>
  </w:style>
  <w:style w:type="paragraph" w:styleId="TOC8">
    <w:name w:val="toc 8"/>
    <w:basedOn w:val="Normal"/>
    <w:next w:val="Normal"/>
    <w:autoRedefine/>
    <w:uiPriority w:val="39"/>
    <w:unhideWhenUsed/>
    <w:rsid w:val="00B44E9B"/>
    <w:pPr>
      <w:ind w:left="1400"/>
    </w:pPr>
  </w:style>
  <w:style w:type="paragraph" w:styleId="TOC9">
    <w:name w:val="toc 9"/>
    <w:basedOn w:val="Normal"/>
    <w:next w:val="Normal"/>
    <w:autoRedefine/>
    <w:uiPriority w:val="39"/>
    <w:unhideWhenUsed/>
    <w:rsid w:val="00B44E9B"/>
    <w:pPr>
      <w:ind w:left="1600"/>
    </w:pPr>
  </w:style>
  <w:style w:type="paragraph" w:customStyle="1" w:styleId="TableNumber1">
    <w:name w:val="Table Number 1"/>
    <w:basedOn w:val="TableText"/>
    <w:rsid w:val="00E54D9F"/>
    <w:pPr>
      <w:numPr>
        <w:numId w:val="10"/>
      </w:numPr>
    </w:pPr>
  </w:style>
  <w:style w:type="paragraph" w:customStyle="1" w:styleId="TableNumber2">
    <w:name w:val="Table Number 2"/>
    <w:basedOn w:val="TableNumber1"/>
    <w:rsid w:val="00E54D9F"/>
    <w:pPr>
      <w:numPr>
        <w:numId w:val="0"/>
      </w:numPr>
      <w:tabs>
        <w:tab w:val="num" w:pos="454"/>
      </w:tabs>
      <w:ind w:left="454" w:hanging="227"/>
    </w:pPr>
  </w:style>
  <w:style w:type="paragraph" w:styleId="FootnoteText">
    <w:name w:val="footnote text"/>
    <w:basedOn w:val="Normal"/>
    <w:link w:val="FootnoteTextChar"/>
    <w:uiPriority w:val="99"/>
    <w:unhideWhenUsed/>
    <w:rsid w:val="006C1D0B"/>
    <w:pPr>
      <w:spacing w:before="0" w:line="240" w:lineRule="auto"/>
      <w:ind w:left="284" w:hanging="284"/>
    </w:pPr>
    <w:rPr>
      <w:sz w:val="16"/>
      <w:szCs w:val="16"/>
    </w:rPr>
  </w:style>
  <w:style w:type="character" w:customStyle="1" w:styleId="FootnoteTextChar">
    <w:name w:val="Footnote Text Char"/>
    <w:basedOn w:val="DefaultParagraphFont"/>
    <w:link w:val="FootnoteText"/>
    <w:uiPriority w:val="99"/>
    <w:rsid w:val="006C1D0B"/>
    <w:rPr>
      <w:rFonts w:ascii="Arial" w:hAnsi="Arial"/>
      <w:color w:val="2C2624"/>
      <w:sz w:val="16"/>
      <w:szCs w:val="16"/>
      <w:lang w:val="en-AU" w:eastAsia="en-US"/>
    </w:rPr>
  </w:style>
  <w:style w:type="character" w:styleId="FootnoteReference">
    <w:name w:val="footnote reference"/>
    <w:basedOn w:val="DefaultParagraphFont"/>
    <w:uiPriority w:val="99"/>
    <w:unhideWhenUsed/>
    <w:rsid w:val="006C1D0B"/>
    <w:rPr>
      <w:vertAlign w:val="superscript"/>
    </w:rPr>
  </w:style>
  <w:style w:type="paragraph" w:customStyle="1" w:styleId="AppendixHeading1">
    <w:name w:val="Appendix Heading 1"/>
    <w:basedOn w:val="Heading1"/>
    <w:next w:val="BodyText"/>
    <w:qFormat/>
    <w:rsid w:val="00C34691"/>
    <w:pPr>
      <w:pageBreakBefore/>
      <w:numPr>
        <w:numId w:val="9"/>
      </w:numPr>
      <w:spacing w:before="0"/>
    </w:pPr>
  </w:style>
  <w:style w:type="paragraph" w:customStyle="1" w:styleId="AppendixHeading2">
    <w:name w:val="Appendix Heading 2"/>
    <w:basedOn w:val="Heading2"/>
    <w:next w:val="BodyText"/>
    <w:qFormat/>
    <w:rsid w:val="00DF6249"/>
  </w:style>
  <w:style w:type="paragraph" w:customStyle="1" w:styleId="AppendixHeading3">
    <w:name w:val="Appendix Heading 3"/>
    <w:basedOn w:val="Heading3"/>
    <w:next w:val="BodyText"/>
    <w:rsid w:val="00DF6249"/>
  </w:style>
  <w:style w:type="paragraph" w:customStyle="1" w:styleId="Reportauthors">
    <w:name w:val="Report authors"/>
    <w:basedOn w:val="AppendixHeading2"/>
    <w:next w:val="Authoraffiliation"/>
    <w:rsid w:val="005D0819"/>
    <w:pPr>
      <w:spacing w:after="0"/>
      <w:jc w:val="center"/>
      <w:outlineLvl w:val="9"/>
    </w:pPr>
    <w:rPr>
      <w:sz w:val="28"/>
    </w:rPr>
  </w:style>
  <w:style w:type="paragraph" w:customStyle="1" w:styleId="Authoraffiliation">
    <w:name w:val="Author affiliation"/>
    <w:basedOn w:val="BodyText"/>
    <w:next w:val="StaffInfoHeading"/>
    <w:rsid w:val="00C5318D"/>
    <w:pPr>
      <w:keepNext/>
      <w:keepLines/>
      <w:spacing w:before="0"/>
      <w:jc w:val="center"/>
    </w:pPr>
    <w:rPr>
      <w:i/>
      <w:color w:val="241C44"/>
      <w:sz w:val="24"/>
      <w:szCs w:val="26"/>
    </w:rPr>
  </w:style>
  <w:style w:type="paragraph" w:customStyle="1" w:styleId="StaffInfoHeading">
    <w:name w:val="Staff Info Heading"/>
    <w:basedOn w:val="Authoraffiliation"/>
    <w:next w:val="BodyText"/>
    <w:rsid w:val="00636093"/>
    <w:pPr>
      <w:spacing w:before="240" w:after="120"/>
    </w:pPr>
    <w:rPr>
      <w:i w:val="0"/>
      <w:sz w:val="32"/>
    </w:rPr>
  </w:style>
  <w:style w:type="paragraph" w:customStyle="1" w:styleId="ContentsHeading">
    <w:name w:val="Contents Heading"/>
    <w:basedOn w:val="PrelimHeading1"/>
    <w:next w:val="TOC1"/>
    <w:rsid w:val="00180989"/>
    <w:pPr>
      <w:outlineLvl w:val="9"/>
    </w:pPr>
  </w:style>
  <w:style w:type="paragraph" w:customStyle="1" w:styleId="References">
    <w:name w:val="References"/>
    <w:basedOn w:val="BodyText"/>
    <w:qFormat/>
    <w:rsid w:val="00897FF2"/>
    <w:pPr>
      <w:spacing w:before="60" w:line="240" w:lineRule="auto"/>
      <w:ind w:left="284" w:hanging="284"/>
      <w:jc w:val="left"/>
    </w:pPr>
    <w:rPr>
      <w:sz w:val="18"/>
      <w:szCs w:val="18"/>
    </w:rPr>
  </w:style>
  <w:style w:type="paragraph" w:customStyle="1" w:styleId="Heading1Part">
    <w:name w:val="Heading 1 Part"/>
    <w:basedOn w:val="Heading1"/>
    <w:rsid w:val="00252337"/>
    <w:pPr>
      <w:ind w:left="1560" w:hanging="1560"/>
    </w:pPr>
  </w:style>
  <w:style w:type="paragraph" w:styleId="NoSpacing">
    <w:name w:val="No Spacing"/>
    <w:uiPriority w:val="1"/>
    <w:rsid w:val="00C51FBB"/>
    <w:pPr>
      <w:suppressAutoHyphens/>
      <w:jc w:val="both"/>
    </w:pPr>
    <w:rPr>
      <w:rFonts w:ascii="Arial" w:hAnsi="Arial"/>
      <w:color w:val="2C2624"/>
      <w:sz w:val="20"/>
      <w:lang w:val="en-AU" w:eastAsia="en-US"/>
    </w:rPr>
  </w:style>
  <w:style w:type="paragraph" w:styleId="Title">
    <w:name w:val="Title"/>
    <w:basedOn w:val="Normal"/>
    <w:next w:val="Normal"/>
    <w:link w:val="TitleChar"/>
    <w:uiPriority w:val="10"/>
    <w:rsid w:val="00C51FB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1FBB"/>
    <w:rPr>
      <w:rFonts w:asciiTheme="majorHAnsi" w:eastAsiaTheme="majorEastAsia" w:hAnsiTheme="majorHAnsi" w:cstheme="majorBidi"/>
      <w:color w:val="17365D" w:themeColor="text2" w:themeShade="BF"/>
      <w:spacing w:val="5"/>
      <w:kern w:val="28"/>
      <w:sz w:val="52"/>
      <w:szCs w:val="52"/>
      <w:lang w:val="en-AU" w:eastAsia="en-US"/>
    </w:rPr>
  </w:style>
  <w:style w:type="paragraph" w:styleId="Subtitle">
    <w:name w:val="Subtitle"/>
    <w:basedOn w:val="Normal"/>
    <w:next w:val="Normal"/>
    <w:link w:val="SubtitleChar"/>
    <w:uiPriority w:val="11"/>
    <w:rsid w:val="00C51FBB"/>
    <w:pPr>
      <w:numPr>
        <w:numId w:val="1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C51FBB"/>
    <w:rPr>
      <w:rFonts w:asciiTheme="majorHAnsi" w:eastAsiaTheme="majorEastAsia" w:hAnsiTheme="majorHAnsi" w:cstheme="majorBidi"/>
      <w:i/>
      <w:iCs/>
      <w:color w:val="4F81BD" w:themeColor="accent1"/>
      <w:spacing w:val="15"/>
      <w:lang w:val="en-AU" w:eastAsia="en-US"/>
    </w:rPr>
  </w:style>
  <w:style w:type="character" w:styleId="SubtleEmphasis">
    <w:name w:val="Subtle Emphasis"/>
    <w:basedOn w:val="DefaultParagraphFont"/>
    <w:uiPriority w:val="19"/>
    <w:rsid w:val="00C51FBB"/>
    <w:rPr>
      <w:i/>
      <w:iCs/>
      <w:color w:val="808080" w:themeColor="text1" w:themeTint="7F"/>
    </w:rPr>
  </w:style>
  <w:style w:type="character" w:styleId="Emphasis">
    <w:name w:val="Emphasis"/>
    <w:basedOn w:val="DefaultParagraphFont"/>
    <w:uiPriority w:val="20"/>
    <w:qFormat/>
    <w:rsid w:val="00C51FBB"/>
    <w:rPr>
      <w:i/>
      <w:iCs/>
    </w:rPr>
  </w:style>
  <w:style w:type="character" w:styleId="IntenseEmphasis">
    <w:name w:val="Intense Emphasis"/>
    <w:basedOn w:val="DefaultParagraphFont"/>
    <w:uiPriority w:val="21"/>
    <w:rsid w:val="00C51FBB"/>
    <w:rPr>
      <w:b/>
      <w:bCs/>
      <w:i/>
      <w:iCs/>
      <w:color w:val="4F81BD" w:themeColor="accent1"/>
    </w:rPr>
  </w:style>
  <w:style w:type="character" w:styleId="Strong">
    <w:name w:val="Strong"/>
    <w:basedOn w:val="DefaultParagraphFont"/>
    <w:uiPriority w:val="22"/>
    <w:rsid w:val="00C51FBB"/>
    <w:rPr>
      <w:b/>
      <w:bCs/>
    </w:rPr>
  </w:style>
  <w:style w:type="paragraph" w:styleId="Quote">
    <w:name w:val="Quote"/>
    <w:basedOn w:val="Normal"/>
    <w:next w:val="Normal"/>
    <w:link w:val="QuoteChar"/>
    <w:uiPriority w:val="29"/>
    <w:qFormat/>
    <w:rsid w:val="00C51FBB"/>
    <w:pPr>
      <w:spacing w:before="240" w:after="240"/>
      <w:ind w:left="567" w:right="567"/>
    </w:pPr>
    <w:rPr>
      <w:iCs/>
      <w:color w:val="ED0C64"/>
    </w:rPr>
  </w:style>
  <w:style w:type="character" w:customStyle="1" w:styleId="QuoteChar">
    <w:name w:val="Quote Char"/>
    <w:basedOn w:val="DefaultParagraphFont"/>
    <w:link w:val="Quote"/>
    <w:uiPriority w:val="29"/>
    <w:rsid w:val="00C51FBB"/>
    <w:rPr>
      <w:rFonts w:ascii="Arial" w:hAnsi="Arial"/>
      <w:iCs/>
      <w:color w:val="ED0C64"/>
      <w:sz w:val="20"/>
      <w:lang w:val="en-AU" w:eastAsia="en-US"/>
    </w:rPr>
  </w:style>
  <w:style w:type="paragraph" w:styleId="IntenseQuote">
    <w:name w:val="Intense Quote"/>
    <w:basedOn w:val="Normal"/>
    <w:next w:val="Normal"/>
    <w:link w:val="IntenseQuoteChar"/>
    <w:uiPriority w:val="30"/>
    <w:rsid w:val="00C51F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51FBB"/>
    <w:rPr>
      <w:rFonts w:ascii="Arial" w:hAnsi="Arial"/>
      <w:b/>
      <w:bCs/>
      <w:i/>
      <w:iCs/>
      <w:color w:val="4F81BD" w:themeColor="accent1"/>
      <w:sz w:val="20"/>
      <w:lang w:val="en-AU" w:eastAsia="en-US"/>
    </w:rPr>
  </w:style>
  <w:style w:type="character" w:styleId="SubtleReference">
    <w:name w:val="Subtle Reference"/>
    <w:basedOn w:val="DefaultParagraphFont"/>
    <w:uiPriority w:val="31"/>
    <w:rsid w:val="00C51FBB"/>
    <w:rPr>
      <w:smallCaps/>
      <w:color w:val="C0504D" w:themeColor="accent2"/>
      <w:u w:val="single"/>
    </w:rPr>
  </w:style>
  <w:style w:type="character" w:styleId="IntenseReference">
    <w:name w:val="Intense Reference"/>
    <w:basedOn w:val="DefaultParagraphFont"/>
    <w:uiPriority w:val="32"/>
    <w:rsid w:val="00C51FBB"/>
    <w:rPr>
      <w:b/>
      <w:bCs/>
      <w:smallCaps/>
      <w:color w:val="C0504D" w:themeColor="accent2"/>
      <w:spacing w:val="5"/>
      <w:u w:val="single"/>
    </w:rPr>
  </w:style>
  <w:style w:type="character" w:styleId="BookTitle">
    <w:name w:val="Book Title"/>
    <w:basedOn w:val="DefaultParagraphFont"/>
    <w:uiPriority w:val="33"/>
    <w:rsid w:val="00C51FBB"/>
    <w:rPr>
      <w:b/>
      <w:bCs/>
      <w:smallCaps/>
      <w:spacing w:val="5"/>
    </w:rPr>
  </w:style>
  <w:style w:type="paragraph" w:customStyle="1" w:styleId="Comment">
    <w:name w:val="Comment"/>
    <w:basedOn w:val="CommentTextBullet"/>
    <w:rsid w:val="00C51FBB"/>
  </w:style>
  <w:style w:type="paragraph" w:styleId="Revision">
    <w:name w:val="Revision"/>
    <w:hidden/>
    <w:uiPriority w:val="99"/>
    <w:semiHidden/>
    <w:rsid w:val="000D0E99"/>
    <w:rPr>
      <w:rFonts w:ascii="Arial" w:hAnsi="Arial"/>
      <w:color w:val="2C2624"/>
      <w:sz w:val="20"/>
      <w:lang w:val="en-AU" w:eastAsia="en-US"/>
    </w:rPr>
  </w:style>
  <w:style w:type="table" w:styleId="TableClassic1">
    <w:name w:val="Table Classic 1"/>
    <w:basedOn w:val="TableNormal"/>
    <w:uiPriority w:val="99"/>
    <w:semiHidden/>
    <w:unhideWhenUsed/>
    <w:rsid w:val="000D0E99"/>
    <w:pPr>
      <w:suppressAutoHyphens/>
      <w:spacing w:before="120" w:line="28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LightShading">
    <w:name w:val="Light Shading"/>
    <w:basedOn w:val="TableNormal"/>
    <w:uiPriority w:val="60"/>
    <w:rsid w:val="000D0E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Aligned">
    <w:name w:val="Table Text Aligned"/>
    <w:basedOn w:val="TableTextCentre"/>
    <w:rsid w:val="00D66F29"/>
    <w:pPr>
      <w:tabs>
        <w:tab w:val="decimal" w:pos="1038"/>
      </w:tabs>
      <w:jc w:val="left"/>
    </w:pPr>
  </w:style>
  <w:style w:type="paragraph" w:customStyle="1" w:styleId="OverviewText">
    <w:name w:val="Overview Text"/>
    <w:basedOn w:val="BodyText"/>
    <w:rsid w:val="002C204E"/>
    <w:rPr>
      <w:color w:val="7030A0"/>
      <w:sz w:val="24"/>
    </w:rPr>
  </w:style>
  <w:style w:type="paragraph" w:customStyle="1" w:styleId="KeyMessagesHeading">
    <w:name w:val="Key Messages Heading"/>
    <w:basedOn w:val="Heading1"/>
    <w:rsid w:val="002C204E"/>
    <w:rPr>
      <w:sz w:val="38"/>
    </w:rPr>
  </w:style>
  <w:style w:type="paragraph" w:customStyle="1" w:styleId="KeyMessageslistbullet">
    <w:name w:val="Key Messages list bullet"/>
    <w:basedOn w:val="ListBullet"/>
    <w:rsid w:val="002C204E"/>
    <w:rPr>
      <w:color w:val="7030A0"/>
      <w:sz w:val="24"/>
    </w:rPr>
  </w:style>
  <w:style w:type="paragraph" w:customStyle="1" w:styleId="Overview">
    <w:name w:val="Overview"/>
    <w:basedOn w:val="KeyMessagesHeading"/>
    <w:qFormat/>
    <w:rsid w:val="002F774A"/>
  </w:style>
  <w:style w:type="paragraph" w:customStyle="1" w:styleId="TableNotes">
    <w:name w:val="Table Notes"/>
    <w:basedOn w:val="FigureNotes"/>
    <w:autoRedefine/>
    <w:qFormat/>
    <w:rsid w:val="008A7C2E"/>
  </w:style>
  <w:style w:type="paragraph" w:customStyle="1" w:styleId="ListParagraph1">
    <w:name w:val="List Paragraph 1"/>
    <w:basedOn w:val="ListBullet"/>
    <w:next w:val="ListBullet"/>
    <w:rsid w:val="00FA7AB4"/>
    <w:pPr>
      <w:tabs>
        <w:tab w:val="left" w:pos="425"/>
      </w:tabs>
      <w:ind w:firstLine="0"/>
    </w:pPr>
  </w:style>
  <w:style w:type="paragraph" w:customStyle="1" w:styleId="TableColHeadLeftSmall">
    <w:name w:val="Table Col Head Left Small"/>
    <w:basedOn w:val="TableColHeadLeft"/>
    <w:rsid w:val="00D224F0"/>
    <w:rPr>
      <w:sz w:val="16"/>
    </w:rPr>
  </w:style>
  <w:style w:type="paragraph" w:customStyle="1" w:styleId="TableColHeadCentreSmall">
    <w:name w:val="Table Col Head Centre Small"/>
    <w:basedOn w:val="TableColHeadCentre"/>
    <w:rsid w:val="00D224F0"/>
    <w:rPr>
      <w:sz w:val="16"/>
    </w:rPr>
  </w:style>
  <w:style w:type="paragraph" w:customStyle="1" w:styleId="TableHeadingSmall">
    <w:name w:val="Table Heading Small"/>
    <w:basedOn w:val="TableHeading"/>
    <w:rsid w:val="00D224F0"/>
    <w:rPr>
      <w:sz w:val="16"/>
    </w:rPr>
  </w:style>
  <w:style w:type="paragraph" w:customStyle="1" w:styleId="TableTextIndentSmall">
    <w:name w:val="Table Text Indent Small"/>
    <w:basedOn w:val="TableTextIndent"/>
    <w:rsid w:val="00D224F0"/>
    <w:rPr>
      <w:sz w:val="16"/>
    </w:rPr>
  </w:style>
  <w:style w:type="paragraph" w:customStyle="1" w:styleId="TableTextSmall">
    <w:name w:val="Table Text Small"/>
    <w:basedOn w:val="TableText"/>
    <w:rsid w:val="00D224F0"/>
    <w:rPr>
      <w:sz w:val="16"/>
    </w:rPr>
  </w:style>
  <w:style w:type="paragraph" w:customStyle="1" w:styleId="TableNumber1Small">
    <w:name w:val="Table Number 1 Small"/>
    <w:basedOn w:val="TableNumber1"/>
    <w:rsid w:val="00D224F0"/>
    <w:rPr>
      <w:sz w:val="16"/>
    </w:rPr>
  </w:style>
  <w:style w:type="paragraph" w:customStyle="1" w:styleId="TableNumber2Small">
    <w:name w:val="Table Number 2 Small"/>
    <w:basedOn w:val="TableNumber2"/>
    <w:rsid w:val="00D224F0"/>
    <w:rPr>
      <w:sz w:val="16"/>
    </w:rPr>
  </w:style>
  <w:style w:type="paragraph" w:customStyle="1" w:styleId="TableTextCentreSmall">
    <w:name w:val="Table Text Centre Small"/>
    <w:basedOn w:val="TableTextCentre"/>
    <w:rsid w:val="00D224F0"/>
    <w:rPr>
      <w:sz w:val="16"/>
    </w:rPr>
  </w:style>
  <w:style w:type="paragraph" w:customStyle="1" w:styleId="TableTextAlignedSmall">
    <w:name w:val="Table Text Aligned Small"/>
    <w:basedOn w:val="TableTextAligned"/>
    <w:rsid w:val="00D224F0"/>
    <w:rPr>
      <w:sz w:val="16"/>
    </w:rPr>
  </w:style>
  <w:style w:type="paragraph" w:customStyle="1" w:styleId="TableBullet1Small">
    <w:name w:val="Table Bullet 1 Small"/>
    <w:basedOn w:val="TableBullet1"/>
    <w:rsid w:val="00D224F0"/>
    <w:rPr>
      <w:sz w:val="16"/>
    </w:rPr>
  </w:style>
  <w:style w:type="paragraph" w:customStyle="1" w:styleId="TableBullet2Small">
    <w:name w:val="Table Bullet 2 Small"/>
    <w:basedOn w:val="TableBullet2"/>
    <w:rsid w:val="00D224F0"/>
    <w:rPr>
      <w:sz w:val="16"/>
    </w:rPr>
  </w:style>
  <w:style w:type="paragraph" w:customStyle="1" w:styleId="BoxHeading1">
    <w:name w:val="Box Heading 1"/>
    <w:basedOn w:val="Normal"/>
    <w:rsid w:val="00F725CA"/>
    <w:pPr>
      <w:keepNext/>
      <w:keepLines/>
      <w:shd w:val="pct5" w:color="auto" w:fill="auto"/>
      <w:spacing w:before="0" w:after="240" w:line="240" w:lineRule="auto"/>
      <w:jc w:val="left"/>
    </w:pPr>
    <w:rPr>
      <w:rFonts w:cs="Arial"/>
      <w:color w:val="ED0C64"/>
      <w:kern w:val="32"/>
      <w:sz w:val="32"/>
      <w:szCs w:val="32"/>
    </w:rPr>
  </w:style>
  <w:style w:type="paragraph" w:customStyle="1" w:styleId="BoxText">
    <w:name w:val="Box Text"/>
    <w:basedOn w:val="Normal"/>
    <w:rsid w:val="00F725CA"/>
    <w:pPr>
      <w:shd w:val="pct5" w:color="auto" w:fill="auto"/>
      <w:jc w:val="left"/>
    </w:pPr>
    <w:rPr>
      <w:rFonts w:eastAsia="Times New Roman"/>
      <w:lang w:bidi="en-US"/>
    </w:rPr>
  </w:style>
  <w:style w:type="paragraph" w:customStyle="1" w:styleId="BoxBulletList">
    <w:name w:val="Box Bullet List"/>
    <w:basedOn w:val="BoxText"/>
    <w:rsid w:val="009C67DB"/>
    <w:pPr>
      <w:numPr>
        <w:numId w:val="12"/>
      </w:numPr>
    </w:pPr>
  </w:style>
  <w:style w:type="paragraph" w:customStyle="1" w:styleId="BoxHeading2">
    <w:name w:val="Box Heading 2"/>
    <w:basedOn w:val="Normal"/>
    <w:rsid w:val="00F725CA"/>
    <w:pPr>
      <w:keepNext/>
      <w:keepLines/>
      <w:shd w:val="pct5" w:color="auto" w:fill="auto"/>
      <w:spacing w:before="240" w:after="120" w:line="240" w:lineRule="auto"/>
      <w:jc w:val="left"/>
    </w:pPr>
    <w:rPr>
      <w:rFonts w:cs="Arial"/>
      <w:color w:val="62136D"/>
      <w:kern w:val="32"/>
      <w:sz w:val="26"/>
      <w:szCs w:val="26"/>
    </w:rPr>
  </w:style>
  <w:style w:type="paragraph" w:customStyle="1" w:styleId="BoxNumberedList">
    <w:name w:val="Box Numbered List"/>
    <w:basedOn w:val="Normal"/>
    <w:rsid w:val="00F725CA"/>
    <w:pPr>
      <w:numPr>
        <w:numId w:val="13"/>
      </w:numPr>
      <w:shd w:val="pct5" w:color="auto" w:fill="auto"/>
      <w:jc w:val="left"/>
    </w:pPr>
    <w:rPr>
      <w:rFonts w:eastAsia="Times New Roman"/>
      <w:lang w:bidi="en-US"/>
    </w:rPr>
  </w:style>
  <w:style w:type="paragraph" w:customStyle="1" w:styleId="BoxNotesandSource">
    <w:name w:val="Box Notes and Source"/>
    <w:basedOn w:val="Normal"/>
    <w:rsid w:val="00F725CA"/>
    <w:pPr>
      <w:shd w:val="pct5" w:color="auto" w:fill="auto"/>
      <w:ind w:left="709" w:hanging="709"/>
      <w:jc w:val="left"/>
    </w:pPr>
    <w:rPr>
      <w:rFonts w:eastAsia="Times New Roman"/>
      <w:sz w:val="16"/>
      <w:szCs w:val="16"/>
      <w:lang w:bidi="en-US"/>
    </w:rPr>
  </w:style>
  <w:style w:type="character" w:customStyle="1" w:styleId="charItalic">
    <w:name w:val="char Italic"/>
    <w:basedOn w:val="DefaultParagraphFont"/>
    <w:uiPriority w:val="1"/>
    <w:rsid w:val="00594628"/>
    <w:rPr>
      <w:i/>
    </w:rPr>
  </w:style>
  <w:style w:type="character" w:customStyle="1" w:styleId="charBold">
    <w:name w:val="char Bold"/>
    <w:basedOn w:val="DefaultParagraphFont"/>
    <w:uiPriority w:val="1"/>
    <w:rsid w:val="00594628"/>
    <w:rPr>
      <w:b/>
    </w:rPr>
  </w:style>
  <w:style w:type="character" w:customStyle="1" w:styleId="BodyTextChar">
    <w:name w:val="Body Text Char"/>
    <w:basedOn w:val="DefaultParagraphFont"/>
    <w:link w:val="BodyText"/>
    <w:rsid w:val="000055E1"/>
    <w:rPr>
      <w:rFonts w:ascii="Arial" w:eastAsia="Times New Roman" w:hAnsi="Arial"/>
      <w:color w:val="2C2624"/>
      <w:sz w:val="20"/>
      <w:lang w:val="en-AU" w:eastAsia="en-US" w:bidi="en-US"/>
    </w:rPr>
  </w:style>
  <w:style w:type="paragraph" w:styleId="NormalWeb">
    <w:name w:val="Normal (Web)"/>
    <w:basedOn w:val="Normal"/>
    <w:uiPriority w:val="99"/>
    <w:unhideWhenUsed/>
    <w:rsid w:val="005B1B1E"/>
    <w:pPr>
      <w:suppressAutoHyphens w:val="0"/>
      <w:spacing w:before="100" w:beforeAutospacing="1" w:after="100" w:afterAutospacing="1" w:line="240" w:lineRule="auto"/>
      <w:jc w:val="left"/>
    </w:pPr>
    <w:rPr>
      <w:rFonts w:ascii="Times New Roman" w:eastAsia="Times New Roman" w:hAnsi="Times New Roman"/>
      <w:color w:val="auto"/>
      <w:sz w:val="24"/>
      <w:lang w:eastAsia="en-AU"/>
    </w:rPr>
  </w:style>
  <w:style w:type="character" w:styleId="Hyperlink">
    <w:name w:val="Hyperlink"/>
    <w:basedOn w:val="DefaultParagraphFont"/>
    <w:uiPriority w:val="99"/>
    <w:unhideWhenUsed/>
    <w:rsid w:val="00B7364E"/>
    <w:rPr>
      <w:color w:val="0000FF" w:themeColor="hyperlink"/>
      <w:u w:val="single"/>
    </w:rPr>
  </w:style>
  <w:style w:type="character" w:customStyle="1" w:styleId="UnresolvedMention1">
    <w:name w:val="Unresolved Mention1"/>
    <w:basedOn w:val="DefaultParagraphFont"/>
    <w:uiPriority w:val="99"/>
    <w:rsid w:val="00B7364E"/>
    <w:rPr>
      <w:color w:val="605E5C"/>
      <w:shd w:val="clear" w:color="auto" w:fill="E1DFDD"/>
    </w:rPr>
  </w:style>
  <w:style w:type="paragraph" w:customStyle="1" w:styleId="EndNoteBibliographyTitle">
    <w:name w:val="EndNote Bibliography Title"/>
    <w:basedOn w:val="Normal"/>
    <w:link w:val="EndNoteBibliographyTitleChar"/>
    <w:rsid w:val="002D6E3C"/>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2D6E3C"/>
    <w:rPr>
      <w:rFonts w:ascii="Arial" w:hAnsi="Arial" w:cs="Arial"/>
      <w:noProof/>
      <w:color w:val="2C2624"/>
      <w:sz w:val="20"/>
      <w:lang w:eastAsia="en-US"/>
    </w:rPr>
  </w:style>
  <w:style w:type="paragraph" w:customStyle="1" w:styleId="EndNoteBibliography">
    <w:name w:val="EndNote Bibliography"/>
    <w:basedOn w:val="Normal"/>
    <w:link w:val="EndNoteBibliographyChar"/>
    <w:rsid w:val="002D6E3C"/>
    <w:pPr>
      <w:spacing w:line="240" w:lineRule="atLeast"/>
      <w:jc w:val="left"/>
    </w:pPr>
    <w:rPr>
      <w:rFonts w:cs="Arial"/>
      <w:noProof/>
      <w:lang w:val="en-US"/>
    </w:rPr>
  </w:style>
  <w:style w:type="character" w:customStyle="1" w:styleId="EndNoteBibliographyChar">
    <w:name w:val="EndNote Bibliography Char"/>
    <w:basedOn w:val="DefaultParagraphFont"/>
    <w:link w:val="EndNoteBibliography"/>
    <w:rsid w:val="002D6E3C"/>
    <w:rPr>
      <w:rFonts w:ascii="Arial" w:hAnsi="Arial" w:cs="Arial"/>
      <w:noProof/>
      <w:color w:val="2C2624"/>
      <w:sz w:val="20"/>
      <w:lang w:eastAsia="en-US"/>
    </w:rPr>
  </w:style>
  <w:style w:type="paragraph" w:customStyle="1" w:styleId="footnote">
    <w:name w:val="footnote"/>
    <w:basedOn w:val="Normal"/>
    <w:qFormat/>
    <w:rsid w:val="00CF5C21"/>
    <w:pPr>
      <w:suppressAutoHyphens w:val="0"/>
      <w:spacing w:before="0" w:after="40" w:line="240" w:lineRule="auto"/>
      <w:ind w:left="567" w:hanging="567"/>
      <w:jc w:val="left"/>
    </w:pPr>
    <w:rPr>
      <w:rFonts w:eastAsia="Arial" w:cs="Arial"/>
      <w:color w:val="auto"/>
      <w:sz w:val="18"/>
      <w:szCs w:val="18"/>
      <w:lang w:eastAsia="en-AU"/>
    </w:rPr>
  </w:style>
  <w:style w:type="character" w:customStyle="1" w:styleId="Mention1">
    <w:name w:val="Mention1"/>
    <w:basedOn w:val="DefaultParagraphFont"/>
    <w:uiPriority w:val="99"/>
    <w:unhideWhenUsed/>
    <w:rsid w:val="003967F0"/>
    <w:rPr>
      <w:color w:val="2B579A"/>
      <w:shd w:val="clear" w:color="auto" w:fill="E1DFDD"/>
    </w:rPr>
  </w:style>
  <w:style w:type="character" w:customStyle="1" w:styleId="Heading4Char">
    <w:name w:val="Heading 4 Char"/>
    <w:basedOn w:val="DefaultParagraphFont"/>
    <w:link w:val="Heading4"/>
    <w:rsid w:val="00F44466"/>
    <w:rPr>
      <w:rFonts w:ascii="Arial" w:hAnsi="Arial" w:cs="Arial"/>
      <w:color w:val="241C44"/>
      <w:kern w:val="32"/>
      <w:sz w:val="26"/>
      <w:szCs w:val="26"/>
      <w:lang w:val="en-AU" w:eastAsia="en-US"/>
    </w:rPr>
  </w:style>
  <w:style w:type="character" w:customStyle="1" w:styleId="Heading3Char">
    <w:name w:val="Heading 3 Char"/>
    <w:basedOn w:val="DefaultParagraphFont"/>
    <w:link w:val="Heading3"/>
    <w:rsid w:val="000C24E7"/>
    <w:rPr>
      <w:rFonts w:ascii="Arial" w:hAnsi="Arial" w:cs="Arial"/>
      <w:color w:val="241C44"/>
      <w:kern w:val="32"/>
      <w:sz w:val="32"/>
      <w:szCs w:val="32"/>
      <w:lang w:val="en-AU" w:eastAsia="en-US"/>
    </w:rPr>
  </w:style>
  <w:style w:type="paragraph" w:styleId="Caption">
    <w:name w:val="caption"/>
    <w:basedOn w:val="Normal"/>
    <w:next w:val="Normal"/>
    <w:uiPriority w:val="35"/>
    <w:unhideWhenUsed/>
    <w:qFormat/>
    <w:rsid w:val="008A4411"/>
    <w:pPr>
      <w:spacing w:before="0" w:after="200" w:line="240" w:lineRule="auto"/>
    </w:pPr>
    <w:rPr>
      <w:i/>
      <w:iCs/>
      <w:color w:val="1F497D" w:themeColor="text2"/>
      <w:sz w:val="18"/>
      <w:szCs w:val="18"/>
    </w:rPr>
  </w:style>
  <w:style w:type="character" w:customStyle="1" w:styleId="UnresolvedMention2">
    <w:name w:val="Unresolved Mention2"/>
    <w:basedOn w:val="DefaultParagraphFont"/>
    <w:uiPriority w:val="99"/>
    <w:unhideWhenUsed/>
    <w:rsid w:val="004908A4"/>
    <w:rPr>
      <w:color w:val="605E5C"/>
      <w:shd w:val="clear" w:color="auto" w:fill="E1DFDD"/>
    </w:rPr>
  </w:style>
  <w:style w:type="character" w:customStyle="1" w:styleId="Mention2">
    <w:name w:val="Mention2"/>
    <w:basedOn w:val="DefaultParagraphFont"/>
    <w:uiPriority w:val="99"/>
    <w:unhideWhenUsed/>
    <w:rsid w:val="004908A4"/>
    <w:rPr>
      <w:color w:val="2B579A"/>
      <w:shd w:val="clear" w:color="auto" w:fill="E1DFDD"/>
    </w:rPr>
  </w:style>
  <w:style w:type="character" w:customStyle="1" w:styleId="Heading2Char">
    <w:name w:val="Heading 2 Char"/>
    <w:basedOn w:val="DefaultParagraphFont"/>
    <w:link w:val="Heading2"/>
    <w:rsid w:val="006119C5"/>
    <w:rPr>
      <w:rFonts w:ascii="Arial" w:hAnsi="Arial" w:cs="Arial"/>
      <w:color w:val="62136D"/>
      <w:kern w:val="32"/>
      <w:sz w:val="38"/>
      <w:szCs w:val="38"/>
      <w:lang w:val="en-AU" w:eastAsia="en-US"/>
    </w:rPr>
  </w:style>
  <w:style w:type="character" w:styleId="FollowedHyperlink">
    <w:name w:val="FollowedHyperlink"/>
    <w:basedOn w:val="DefaultParagraphFont"/>
    <w:uiPriority w:val="99"/>
    <w:semiHidden/>
    <w:unhideWhenUsed/>
    <w:rsid w:val="00BE4E4E"/>
    <w:rPr>
      <w:color w:val="954F72"/>
      <w:u w:val="single"/>
    </w:rPr>
  </w:style>
  <w:style w:type="paragraph" w:customStyle="1" w:styleId="msonormal0">
    <w:name w:val="msonormal"/>
    <w:basedOn w:val="Normal"/>
    <w:rsid w:val="00BE4E4E"/>
    <w:pPr>
      <w:suppressAutoHyphens w:val="0"/>
      <w:spacing w:before="100" w:beforeAutospacing="1" w:after="100" w:afterAutospacing="1" w:line="240" w:lineRule="auto"/>
      <w:jc w:val="left"/>
    </w:pPr>
    <w:rPr>
      <w:rFonts w:ascii="Times New Roman" w:eastAsia="Times New Roman" w:hAnsi="Times New Roman"/>
      <w:color w:val="auto"/>
      <w:sz w:val="24"/>
      <w:lang w:eastAsia="en-AU"/>
    </w:rPr>
  </w:style>
  <w:style w:type="paragraph" w:customStyle="1" w:styleId="font5">
    <w:name w:val="font5"/>
    <w:basedOn w:val="Normal"/>
    <w:rsid w:val="00BE4E4E"/>
    <w:pPr>
      <w:suppressAutoHyphens w:val="0"/>
      <w:spacing w:before="100" w:beforeAutospacing="1" w:after="100" w:afterAutospacing="1" w:line="240" w:lineRule="auto"/>
      <w:jc w:val="left"/>
    </w:pPr>
    <w:rPr>
      <w:rFonts w:ascii="Calibri" w:eastAsia="Times New Roman" w:hAnsi="Calibri" w:cs="Calibri"/>
      <w:color w:val="auto"/>
      <w:sz w:val="22"/>
      <w:szCs w:val="22"/>
      <w:lang w:eastAsia="en-AU"/>
    </w:rPr>
  </w:style>
  <w:style w:type="paragraph" w:customStyle="1" w:styleId="font6">
    <w:name w:val="font6"/>
    <w:basedOn w:val="Normal"/>
    <w:rsid w:val="00BE4E4E"/>
    <w:pPr>
      <w:suppressAutoHyphens w:val="0"/>
      <w:spacing w:before="100" w:beforeAutospacing="1" w:after="100" w:afterAutospacing="1" w:line="240" w:lineRule="auto"/>
      <w:jc w:val="left"/>
    </w:pPr>
    <w:rPr>
      <w:rFonts w:ascii="Calibri" w:eastAsia="Times New Roman" w:hAnsi="Calibri" w:cs="Calibri"/>
      <w:b/>
      <w:bCs/>
      <w:color w:val="auto"/>
      <w:sz w:val="22"/>
      <w:szCs w:val="22"/>
      <w:lang w:eastAsia="en-AU"/>
    </w:rPr>
  </w:style>
  <w:style w:type="paragraph" w:customStyle="1" w:styleId="font7">
    <w:name w:val="font7"/>
    <w:basedOn w:val="Normal"/>
    <w:rsid w:val="00BE4E4E"/>
    <w:pPr>
      <w:suppressAutoHyphens w:val="0"/>
      <w:spacing w:before="100" w:beforeAutospacing="1" w:after="100" w:afterAutospacing="1" w:line="240" w:lineRule="auto"/>
      <w:jc w:val="left"/>
    </w:pPr>
    <w:rPr>
      <w:rFonts w:ascii="Calibri" w:eastAsia="Times New Roman" w:hAnsi="Calibri" w:cs="Calibri"/>
      <w:i/>
      <w:iCs/>
      <w:color w:val="auto"/>
      <w:sz w:val="22"/>
      <w:szCs w:val="22"/>
      <w:lang w:eastAsia="en-AU"/>
    </w:rPr>
  </w:style>
  <w:style w:type="paragraph" w:customStyle="1" w:styleId="xl63">
    <w:name w:val="xl63"/>
    <w:basedOn w:val="Normal"/>
    <w:rsid w:val="00BE4E4E"/>
    <w:pPr>
      <w:pBdr>
        <w:top w:val="single" w:sz="4" w:space="0" w:color="FFFFFF"/>
        <w:left w:val="single" w:sz="4" w:space="0" w:color="FFFFFF"/>
        <w:bottom w:val="single" w:sz="4" w:space="0" w:color="FFFFFF"/>
        <w:right w:val="single" w:sz="4" w:space="0" w:color="FFFFFF"/>
      </w:pBdr>
      <w:shd w:val="clear" w:color="000000" w:fill="000000"/>
      <w:suppressAutoHyphens w:val="0"/>
      <w:spacing w:before="100" w:beforeAutospacing="1" w:after="100" w:afterAutospacing="1" w:line="240" w:lineRule="auto"/>
      <w:jc w:val="left"/>
      <w:textAlignment w:val="center"/>
    </w:pPr>
    <w:rPr>
      <w:rFonts w:ascii="Times New Roman" w:eastAsia="Times New Roman" w:hAnsi="Times New Roman"/>
      <w:b/>
      <w:bCs/>
      <w:color w:val="FFFFFF"/>
      <w:sz w:val="24"/>
      <w:lang w:eastAsia="en-AU"/>
    </w:rPr>
  </w:style>
  <w:style w:type="paragraph" w:customStyle="1" w:styleId="xl64">
    <w:name w:val="xl64"/>
    <w:basedOn w:val="Normal"/>
    <w:rsid w:val="00BE4E4E"/>
    <w:pP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65">
    <w:name w:val="xl65"/>
    <w:basedOn w:val="Normal"/>
    <w:rsid w:val="00BE4E4E"/>
    <w:pP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66">
    <w:name w:val="xl66"/>
    <w:basedOn w:val="Normal"/>
    <w:rsid w:val="00BE4E4E"/>
    <w:pPr>
      <w:suppressAutoHyphens w:val="0"/>
      <w:spacing w:before="100" w:beforeAutospacing="1" w:after="100" w:afterAutospacing="1" w:line="240" w:lineRule="auto"/>
      <w:jc w:val="left"/>
      <w:textAlignment w:val="top"/>
    </w:pPr>
    <w:rPr>
      <w:rFonts w:ascii="Times New Roman" w:eastAsia="Times New Roman" w:hAnsi="Times New Roman"/>
      <w:b/>
      <w:bCs/>
      <w:color w:val="auto"/>
      <w:sz w:val="24"/>
      <w:lang w:eastAsia="en-AU"/>
    </w:rPr>
  </w:style>
  <w:style w:type="paragraph" w:customStyle="1" w:styleId="xl67">
    <w:name w:val="xl67"/>
    <w:basedOn w:val="Normal"/>
    <w:rsid w:val="00BE4E4E"/>
    <w:pP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68">
    <w:name w:val="xl68"/>
    <w:basedOn w:val="Normal"/>
    <w:rsid w:val="00BE4E4E"/>
    <w:pP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69">
    <w:name w:val="xl69"/>
    <w:basedOn w:val="Normal"/>
    <w:rsid w:val="00BE4E4E"/>
    <w:pPr>
      <w:suppressAutoHyphens w:val="0"/>
      <w:spacing w:before="100" w:beforeAutospacing="1" w:after="100" w:afterAutospacing="1" w:line="240" w:lineRule="auto"/>
      <w:jc w:val="left"/>
      <w:textAlignment w:val="top"/>
    </w:pPr>
    <w:rPr>
      <w:rFonts w:ascii="Times New Roman" w:eastAsia="Times New Roman" w:hAnsi="Times New Roman"/>
      <w:b/>
      <w:bCs/>
      <w:color w:val="auto"/>
      <w:sz w:val="24"/>
      <w:lang w:eastAsia="en-AU"/>
    </w:rPr>
  </w:style>
  <w:style w:type="paragraph" w:customStyle="1" w:styleId="xl70">
    <w:name w:val="xl70"/>
    <w:basedOn w:val="Normal"/>
    <w:rsid w:val="00BE4E4E"/>
    <w:pPr>
      <w:pBdr>
        <w:top w:val="single" w:sz="4" w:space="0" w:color="FFFFFF"/>
        <w:bottom w:val="single" w:sz="4" w:space="0" w:color="FFFFFF"/>
        <w:right w:val="single" w:sz="4" w:space="0" w:color="FFFFFF"/>
      </w:pBdr>
      <w:shd w:val="clear" w:color="000000" w:fill="000000"/>
      <w:suppressAutoHyphens w:val="0"/>
      <w:spacing w:before="100" w:beforeAutospacing="1" w:after="100" w:afterAutospacing="1" w:line="240" w:lineRule="auto"/>
      <w:jc w:val="left"/>
      <w:textAlignment w:val="center"/>
    </w:pPr>
    <w:rPr>
      <w:rFonts w:ascii="Times New Roman" w:eastAsia="Times New Roman" w:hAnsi="Times New Roman"/>
      <w:b/>
      <w:bCs/>
      <w:color w:val="FFFFFF"/>
      <w:sz w:val="24"/>
      <w:lang w:eastAsia="en-AU"/>
    </w:rPr>
  </w:style>
  <w:style w:type="paragraph" w:customStyle="1" w:styleId="xl71">
    <w:name w:val="xl71"/>
    <w:basedOn w:val="Normal"/>
    <w:rsid w:val="00BE4E4E"/>
    <w:pPr>
      <w:pBdr>
        <w:top w:val="single" w:sz="4" w:space="0" w:color="FFFFFF"/>
        <w:bottom w:val="single" w:sz="4" w:space="0" w:color="FFFFFF"/>
        <w:right w:val="single" w:sz="4" w:space="0" w:color="FFFFFF"/>
      </w:pBd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72">
    <w:name w:val="xl72"/>
    <w:basedOn w:val="Normal"/>
    <w:rsid w:val="00BE4E4E"/>
    <w:pPr>
      <w:pBdr>
        <w:top w:val="single" w:sz="4" w:space="0" w:color="FFFFFF"/>
        <w:bottom w:val="single" w:sz="4" w:space="0" w:color="FFFFFF"/>
        <w:right w:val="single" w:sz="4" w:space="0" w:color="FFFFFF"/>
      </w:pBd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73">
    <w:name w:val="xl73"/>
    <w:basedOn w:val="Normal"/>
    <w:rsid w:val="00BE4E4E"/>
    <w:pPr>
      <w:pBdr>
        <w:top w:val="single" w:sz="4" w:space="0" w:color="FFFFFF"/>
        <w:left w:val="single" w:sz="4" w:space="0" w:color="FFFFFF"/>
        <w:bottom w:val="single" w:sz="4" w:space="0" w:color="FFFFFF"/>
        <w:right w:val="single" w:sz="4" w:space="0" w:color="FFFFFF"/>
      </w:pBd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74">
    <w:name w:val="xl74"/>
    <w:basedOn w:val="Normal"/>
    <w:rsid w:val="00BE4E4E"/>
    <w:pPr>
      <w:pBdr>
        <w:top w:val="single" w:sz="4" w:space="0" w:color="FFFFFF"/>
        <w:left w:val="single" w:sz="4" w:space="0" w:color="FFFFFF"/>
        <w:bottom w:val="single" w:sz="4" w:space="0" w:color="FFFFFF"/>
        <w:right w:val="single" w:sz="4" w:space="0" w:color="FFFFFF"/>
      </w:pBd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75">
    <w:name w:val="xl75"/>
    <w:basedOn w:val="Normal"/>
    <w:rsid w:val="00BE4E4E"/>
    <w:pPr>
      <w:pBdr>
        <w:top w:val="single" w:sz="4" w:space="0" w:color="FFFFFF"/>
        <w:left w:val="single" w:sz="4" w:space="0" w:color="FFFFFF"/>
        <w:bottom w:val="single" w:sz="4" w:space="0" w:color="FFFFFF"/>
      </w:pBd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paragraph" w:customStyle="1" w:styleId="xl76">
    <w:name w:val="xl76"/>
    <w:basedOn w:val="Normal"/>
    <w:rsid w:val="00BE4E4E"/>
    <w:pPr>
      <w:pBdr>
        <w:top w:val="single" w:sz="4" w:space="0" w:color="FFFFFF"/>
        <w:left w:val="single" w:sz="4" w:space="0" w:color="FFFFFF"/>
        <w:bottom w:val="single" w:sz="4" w:space="0" w:color="FFFFFF"/>
      </w:pBdr>
      <w:suppressAutoHyphens w:val="0"/>
      <w:spacing w:before="100" w:beforeAutospacing="1" w:after="100" w:afterAutospacing="1" w:line="240" w:lineRule="auto"/>
      <w:jc w:val="left"/>
      <w:textAlignment w:val="top"/>
    </w:pPr>
    <w:rPr>
      <w:rFonts w:ascii="Times New Roman" w:eastAsia="Times New Roman" w:hAnsi="Times New Roman"/>
      <w:color w:val="auto"/>
      <w:sz w:val="24"/>
      <w:lang w:eastAsia="en-AU"/>
    </w:rPr>
  </w:style>
  <w:style w:type="character" w:customStyle="1" w:styleId="UnresolvedMention3">
    <w:name w:val="Unresolved Mention3"/>
    <w:basedOn w:val="DefaultParagraphFont"/>
    <w:uiPriority w:val="99"/>
    <w:unhideWhenUsed/>
    <w:rsid w:val="006C32FE"/>
    <w:rPr>
      <w:color w:val="605E5C"/>
      <w:shd w:val="clear" w:color="auto" w:fill="E1DFDD"/>
    </w:rPr>
  </w:style>
  <w:style w:type="character" w:customStyle="1" w:styleId="Mention3">
    <w:name w:val="Mention3"/>
    <w:basedOn w:val="DefaultParagraphFont"/>
    <w:uiPriority w:val="99"/>
    <w:unhideWhenUsed/>
    <w:rsid w:val="006C32FE"/>
    <w:rPr>
      <w:color w:val="2B579A"/>
      <w:shd w:val="clear" w:color="auto" w:fill="E1DFDD"/>
    </w:rPr>
  </w:style>
  <w:style w:type="character" w:styleId="UnresolvedMention">
    <w:name w:val="Unresolved Mention"/>
    <w:basedOn w:val="DefaultParagraphFont"/>
    <w:uiPriority w:val="99"/>
    <w:unhideWhenUsed/>
    <w:rsid w:val="005C14D5"/>
    <w:rPr>
      <w:color w:val="605E5C"/>
      <w:shd w:val="clear" w:color="auto" w:fill="E1DFDD"/>
    </w:rPr>
  </w:style>
  <w:style w:type="character" w:styleId="Mention">
    <w:name w:val="Mention"/>
    <w:basedOn w:val="DefaultParagraphFont"/>
    <w:uiPriority w:val="99"/>
    <w:unhideWhenUsed/>
    <w:rsid w:val="005C14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8456">
      <w:bodyDiv w:val="1"/>
      <w:marLeft w:val="0"/>
      <w:marRight w:val="0"/>
      <w:marTop w:val="0"/>
      <w:marBottom w:val="0"/>
      <w:divBdr>
        <w:top w:val="none" w:sz="0" w:space="0" w:color="auto"/>
        <w:left w:val="none" w:sz="0" w:space="0" w:color="auto"/>
        <w:bottom w:val="none" w:sz="0" w:space="0" w:color="auto"/>
        <w:right w:val="none" w:sz="0" w:space="0" w:color="auto"/>
      </w:divBdr>
    </w:div>
    <w:div w:id="581329214">
      <w:bodyDiv w:val="1"/>
      <w:marLeft w:val="0"/>
      <w:marRight w:val="0"/>
      <w:marTop w:val="0"/>
      <w:marBottom w:val="0"/>
      <w:divBdr>
        <w:top w:val="none" w:sz="0" w:space="0" w:color="auto"/>
        <w:left w:val="none" w:sz="0" w:space="0" w:color="auto"/>
        <w:bottom w:val="none" w:sz="0" w:space="0" w:color="auto"/>
        <w:right w:val="none" w:sz="0" w:space="0" w:color="auto"/>
      </w:divBdr>
    </w:div>
    <w:div w:id="870610789">
      <w:bodyDiv w:val="1"/>
      <w:marLeft w:val="0"/>
      <w:marRight w:val="0"/>
      <w:marTop w:val="0"/>
      <w:marBottom w:val="0"/>
      <w:divBdr>
        <w:top w:val="none" w:sz="0" w:space="0" w:color="auto"/>
        <w:left w:val="none" w:sz="0" w:space="0" w:color="auto"/>
        <w:bottom w:val="none" w:sz="0" w:space="0" w:color="auto"/>
        <w:right w:val="none" w:sz="0" w:space="0" w:color="auto"/>
      </w:divBdr>
    </w:div>
    <w:div w:id="2032222662">
      <w:bodyDiv w:val="1"/>
      <w:marLeft w:val="0"/>
      <w:marRight w:val="0"/>
      <w:marTop w:val="0"/>
      <w:marBottom w:val="0"/>
      <w:divBdr>
        <w:top w:val="none" w:sz="0" w:space="0" w:color="auto"/>
        <w:left w:val="none" w:sz="0" w:space="0" w:color="auto"/>
        <w:bottom w:val="none" w:sz="0" w:space="0" w:color="auto"/>
        <w:right w:val="none" w:sz="0" w:space="0" w:color="auto"/>
      </w:divBdr>
    </w:div>
    <w:div w:id="203399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469-021-00556-5" TargetMode="External"/><Relationship Id="rId21" Type="http://schemas.openxmlformats.org/officeDocument/2006/relationships/hyperlink" Target="https://doi.org/10.1177/1555412019895359" TargetMode="External"/><Relationship Id="rId42" Type="http://schemas.openxmlformats.org/officeDocument/2006/relationships/hyperlink" Target="file:///C:/Users/rebecca.jenkinson/AppData/Local/Microsoft/Windows/INetCache/Content.Outlook/J8551GFT/onlinelibrary.wiley.com/doi/abs/10.1111/add.14583" TargetMode="External"/><Relationship Id="rId47" Type="http://schemas.openxmlformats.org/officeDocument/2006/relationships/hyperlink" Target="https://doi.org/10.1016/j.addbeh.2015.12.007" TargetMode="External"/><Relationship Id="rId63" Type="http://schemas.openxmlformats.org/officeDocument/2006/relationships/hyperlink" Target="https://doi.org/10.1016/j.chb.2019.07.017" TargetMode="External"/><Relationship Id="rId68" Type="http://schemas.openxmlformats.org/officeDocument/2006/relationships/hyperlink" Target="https://doi.org/10.1111/ajad.13049" TargetMode="External"/><Relationship Id="rId84" Type="http://schemas.openxmlformats.org/officeDocument/2006/relationships/hyperlink" Target="https://doi.org/10.25946/5ef151ac1ce6f" TargetMode="External"/><Relationship Id="rId89" Type="http://schemas.openxmlformats.org/officeDocument/2006/relationships/hyperlink" Target="https://doi.org/10.4309/jgi.2021.46.2" TargetMode="Externa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doi.org/10.1007/s10899-012-9300-6" TargetMode="External"/><Relationship Id="rId37" Type="http://schemas.openxmlformats.org/officeDocument/2006/relationships/hyperlink" Target="https://www.classification.gov.au/sites/default/files/2019-10/computer-games-content-research-final-report-january2019.pdf" TargetMode="External"/><Relationship Id="rId53" Type="http://schemas.openxmlformats.org/officeDocument/2006/relationships/hyperlink" Target="https://doi.org/10.1016/j.chb.2021.107012" TargetMode="External"/><Relationship Id="rId58" Type="http://schemas.openxmlformats.org/officeDocument/2006/relationships/hyperlink" Target="https://doi.org/10.1007/s10899-014-9511-0" TargetMode="External"/><Relationship Id="rId74" Type="http://schemas.openxmlformats.org/officeDocument/2006/relationships/hyperlink" Target="file:///C:/Users/rebecca.jenkinson/AppData/Local/Microsoft/Windows/INetCache/Content.Outlook/J8551GFT/doi.org/10.1016/j.addbeh.2019.05.016" TargetMode="External"/><Relationship Id="rId79" Type="http://schemas.openxmlformats.org/officeDocument/2006/relationships/hyperlink" Target="https://doi.org/10.1007/s10551-021-04970-6" TargetMode="External"/><Relationship Id="rId102" Type="http://schemas.openxmlformats.org/officeDocument/2006/relationships/hyperlink" Target="https://doi.org/10.1016/j.chb.2019.07.003" TargetMode="External"/><Relationship Id="rId5" Type="http://schemas.openxmlformats.org/officeDocument/2006/relationships/numbering" Target="numbering.xml"/><Relationship Id="rId90" Type="http://schemas.openxmlformats.org/officeDocument/2006/relationships/hyperlink" Target="https://doi.org/10.1007/s10899-021-10042-1" TargetMode="External"/><Relationship Id="rId95" Type="http://schemas.openxmlformats.org/officeDocument/2006/relationships/hyperlink" Target="https://growingupinaustralia.gov.au/sites/default/files/publication-documents/lsac-asr-2018-chap7-gambling.pdf" TargetMode="External"/><Relationship Id="rId22" Type="http://schemas.openxmlformats.org/officeDocument/2006/relationships/hyperlink" Target="file:///C:/Users/rebecca.jenkinson/AppData/Local/Microsoft/Windows/INetCache/Content.Outlook/J8551GFT/Retrieved%20from%20igea.net/wp-content/uploads/2019/08/DA20-Report-FINAL-Aug19.pdf" TargetMode="External"/><Relationship Id="rId27" Type="http://schemas.openxmlformats.org/officeDocument/2006/relationships/hyperlink" Target="file:///C:/Users/rebecca.jenkinson/AppData/Local/Microsoft/Windows/INetCache/Content.Outlook/J8551GFT/www.raco.cat/index.php/Aloma/article/view/293258" TargetMode="External"/><Relationship Id="rId43" Type="http://schemas.openxmlformats.org/officeDocument/2006/relationships/hyperlink" Target="https://doi.org/10.1080/14459795.2017.1343366" TargetMode="External"/><Relationship Id="rId48" Type="http://schemas.openxmlformats.org/officeDocument/2006/relationships/hyperlink" Target="https://doi.org/10.1016/j.chb.2016.05.021" TargetMode="External"/><Relationship Id="rId64" Type="http://schemas.openxmlformats.org/officeDocument/2006/relationships/hyperlink" Target="https://doi.org/10.1016/j.chb.2013.10.048" TargetMode="External"/><Relationship Id="rId69" Type="http://schemas.openxmlformats.org/officeDocument/2006/relationships/hyperlink" Target="https://doi.org/10.1007/s11469-021-00498-y" TargetMode="External"/><Relationship Id="rId80" Type="http://schemas.openxmlformats.org/officeDocument/2006/relationships/hyperlink" Target="https://doi.org/10.1111/add.12457" TargetMode="External"/><Relationship Id="rId85" Type="http://schemas.openxmlformats.org/officeDocument/2006/relationships/hyperlink" Target="https://doi.org/10.1556/2006.2021.00007" TargetMode="External"/><Relationship Id="rId12" Type="http://schemas.openxmlformats.org/officeDocument/2006/relationships/header" Target="header1.xml"/><Relationship Id="rId17" Type="http://schemas.openxmlformats.org/officeDocument/2006/relationships/image" Target="media/image4.png"/><Relationship Id="rId33" Type="http://schemas.openxmlformats.org/officeDocument/2006/relationships/hyperlink" Target="https://doi.org/10.1080/14459795.2020.1768430" TargetMode="External"/><Relationship Id="rId38" Type="http://schemas.openxmlformats.org/officeDocument/2006/relationships/hyperlink" Target="https://doi.org/10.4309/jgi.2021.46.15" TargetMode="External"/><Relationship Id="rId59" Type="http://schemas.openxmlformats.org/officeDocument/2006/relationships/hyperlink" Target="https://doi.org/10.1080/01612840.2020.1803461" TargetMode="External"/><Relationship Id="rId103" Type="http://schemas.openxmlformats.org/officeDocument/2006/relationships/hyperlink" Target="https://doi.org/10.1098/rsos.190049" TargetMode="External"/><Relationship Id="rId20" Type="http://schemas.openxmlformats.org/officeDocument/2006/relationships/hyperlink" Target="https://www.aihw.gov.au/reports/australias-welfare/gambling" TargetMode="External"/><Relationship Id="rId41" Type="http://schemas.openxmlformats.org/officeDocument/2006/relationships/hyperlink" Target="https://doi.org/10.1371/journal.pone.0230378" TargetMode="External"/><Relationship Id="rId54" Type="http://schemas.openxmlformats.org/officeDocument/2006/relationships/hyperlink" Target="https://doi.org/10.7717/peerj.10705" TargetMode="External"/><Relationship Id="rId62" Type="http://schemas.openxmlformats.org/officeDocument/2006/relationships/hyperlink" Target="https://doi.org/10.1016/j.cobeha.2019.10.001" TargetMode="External"/><Relationship Id="rId70" Type="http://schemas.openxmlformats.org/officeDocument/2006/relationships/hyperlink" Target="https://doi.org/10.1080/14459795.2019.1697344" TargetMode="External"/><Relationship Id="rId75" Type="http://schemas.openxmlformats.org/officeDocument/2006/relationships/hyperlink" Target="https://doi.org/10.1177/1461444818786216" TargetMode="External"/><Relationship Id="rId83" Type="http://schemas.openxmlformats.org/officeDocument/2006/relationships/hyperlink" Target="https://doi.org/10.1007/s10899-019-09869-6" TargetMode="External"/><Relationship Id="rId88" Type="http://schemas.openxmlformats.org/officeDocument/2006/relationships/hyperlink" Target="https://doi.org/10.1177/14614448211027175" TargetMode="External"/><Relationship Id="rId91" Type="http://schemas.openxmlformats.org/officeDocument/2006/relationships/hyperlink" Target="https://doi.org/10.4309/jgi.2021.46.5" TargetMode="External"/><Relationship Id="rId96" Type="http://schemas.openxmlformats.org/officeDocument/2006/relationships/hyperlink" Target="https://doi.org/10.1017/bpp.2021.2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oi.org/10.1016/j.addbeh.2019.04.009" TargetMode="External"/><Relationship Id="rId28" Type="http://schemas.openxmlformats.org/officeDocument/2006/relationships/hyperlink" Target="https://doi.org/10.1556/2006.2021.00076" TargetMode="External"/><Relationship Id="rId36" Type="http://schemas.openxmlformats.org/officeDocument/2006/relationships/hyperlink" Target="https://doi.org/10.1089/glr2.2019.2397" TargetMode="External"/><Relationship Id="rId49" Type="http://schemas.openxmlformats.org/officeDocument/2006/relationships/hyperlink" Target="https://doi.org/10.1016/j.chb.2014.01.031" TargetMode="External"/><Relationship Id="rId57" Type="http://schemas.openxmlformats.org/officeDocument/2006/relationships/hyperlink" Target="https://doi.org/10.1186/s40405-017-0025-4"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doi.org/10.1016/j.addbeh.2021.106851" TargetMode="External"/><Relationship Id="rId44" Type="http://schemas.openxmlformats.org/officeDocument/2006/relationships/hyperlink" Target="https://doi.org/10.1089/glr2.2019.2323" TargetMode="External"/><Relationship Id="rId52" Type="http://schemas.openxmlformats.org/officeDocument/2006/relationships/hyperlink" Target="https://doi.org/10.1007/s11469-020-00370-5" TargetMode="External"/><Relationship Id="rId60" Type="http://schemas.openxmlformats.org/officeDocument/2006/relationships/hyperlink" Target="https://doi.org/10.1016/j.chb.2015.09.012" TargetMode="External"/><Relationship Id="rId65" Type="http://schemas.openxmlformats.org/officeDocument/2006/relationships/hyperlink" Target="https://doi.org/10.1016/j.addbeh.2020.106311" TargetMode="External"/><Relationship Id="rId73" Type="http://schemas.openxmlformats.org/officeDocument/2006/relationships/hyperlink" Target="https://doi.org/10.1037/pas0000062" TargetMode="External"/><Relationship Id="rId78" Type="http://schemas.openxmlformats.org/officeDocument/2006/relationships/hyperlink" Target="http://www.esafety.gov.au/sites/default/files/2019-07/Youth-and-online-gaming-report-2018.pdf" TargetMode="External"/><Relationship Id="rId81" Type="http://schemas.openxmlformats.org/officeDocument/2006/relationships/hyperlink" Target="https://doi.org/10.1016/j.chb.2014.12.006" TargetMode="External"/><Relationship Id="rId86" Type="http://schemas.openxmlformats.org/officeDocument/2006/relationships/hyperlink" Target="https://doi.org/10.3389/fpsyt.2020.601712" TargetMode="External"/><Relationship Id="rId94" Type="http://schemas.openxmlformats.org/officeDocument/2006/relationships/hyperlink" Target="https://doi.org/10.1089/cyber.2020.0299" TargetMode="External"/><Relationship Id="rId99" Type="http://schemas.openxmlformats.org/officeDocument/2006/relationships/hyperlink" Target="https://doi.org/10.7717/peerj.9466" TargetMode="External"/><Relationship Id="rId101" Type="http://schemas.openxmlformats.org/officeDocument/2006/relationships/hyperlink" Target="https://doi.org/10.1371/journal.pone.021319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39" Type="http://schemas.openxmlformats.org/officeDocument/2006/relationships/hyperlink" Target="file:///C:/Users/rebecca.jenkinson/AppData/Local/Microsoft/Windows/INetCache/Content.Outlook/J8551GFT/Retrieved%20from%20aifs.gov.au/agrc/sites/default/files/agrc-dp5-simulated-gambling-paper.pdf" TargetMode="External"/><Relationship Id="rId34" Type="http://schemas.openxmlformats.org/officeDocument/2006/relationships/hyperlink" Target="https://doi.org/10.3390/ijerph182111482" TargetMode="External"/><Relationship Id="rId50" Type="http://schemas.openxmlformats.org/officeDocument/2006/relationships/hyperlink" Target="http://www.gamblingresearch.org.au/resources/d06679ec-3577-4cb0-867c-594ce741dbf6/grasocialmediareport.pdf" TargetMode="External"/><Relationship Id="rId55" Type="http://schemas.openxmlformats.org/officeDocument/2006/relationships/hyperlink" Target="https://doi.org/10.2196/23886" TargetMode="External"/><Relationship Id="rId76" Type="http://schemas.openxmlformats.org/officeDocument/2006/relationships/hyperlink" Target="https://doi.org/10.1080/14459795.2020.1770834" TargetMode="External"/><Relationship Id="rId97" Type="http://schemas.openxmlformats.org/officeDocument/2006/relationships/hyperlink" Target="https://doi.org/10.1007/s40429-021-00386-4"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doi.org/10.1016/j.addbeh.2019.106254" TargetMode="External"/><Relationship Id="rId92" Type="http://schemas.openxmlformats.org/officeDocument/2006/relationships/hyperlink" Target="https://doi.org/10.1186/s12889-018-6069-2" TargetMode="External"/><Relationship Id="rId2" Type="http://schemas.openxmlformats.org/officeDocument/2006/relationships/customXml" Target="../customXml/item2.xml"/><Relationship Id="rId29" Type="http://schemas.openxmlformats.org/officeDocument/2006/relationships/hyperlink" Target="http://www.europarl.europa.eu/supporting-analyses" TargetMode="External"/><Relationship Id="rId24" Type="http://schemas.openxmlformats.org/officeDocument/2006/relationships/hyperlink" Target="https://doi.org/10.1080/14459795.2020.1799426" TargetMode="External"/><Relationship Id="rId40" Type="http://schemas.openxmlformats.org/officeDocument/2006/relationships/hyperlink" Target="https://doi.org/10.1038/s41562-018-0360-1" TargetMode="External"/><Relationship Id="rId45" Type="http://schemas.openxmlformats.org/officeDocument/2006/relationships/hyperlink" Target="file:///C:/Users/rebecca.jenkinson/AppData/Local/Microsoft/Windows/INetCache/Content.Outlook/J8551GFT/www.responsiblegambling.vic.gov.au/__data/assets/pdf_file/0003/25572/Gainsbury_convergence_of_gambling_and_gaming_2015.pdf" TargetMode="External"/><Relationship Id="rId66" Type="http://schemas.openxmlformats.org/officeDocument/2006/relationships/hyperlink" Target="https://doi.org/10.1556/2006.5.2016.067" TargetMode="External"/><Relationship Id="rId87" Type="http://schemas.openxmlformats.org/officeDocument/2006/relationships/hyperlink" Target="https://doi.org/10.3389/fpsyg.2021.708801" TargetMode="External"/><Relationship Id="rId61" Type="http://schemas.openxmlformats.org/officeDocument/2006/relationships/hyperlink" Target="https://doi.org/10.1007/s11469-018-0009-3" TargetMode="External"/><Relationship Id="rId82" Type="http://schemas.openxmlformats.org/officeDocument/2006/relationships/hyperlink" Target="https://doi.org/10.1176/appi.ajp.2016.16020224" TargetMode="External"/><Relationship Id="rId19" Type="http://schemas.openxmlformats.org/officeDocument/2006/relationships/hyperlink" Target="https://doi.org/10.1007/s10899-018-9742-6" TargetMode="External"/><Relationship Id="rId14" Type="http://schemas.openxmlformats.org/officeDocument/2006/relationships/header" Target="header2.xml"/><Relationship Id="rId30" Type="http://schemas.openxmlformats.org/officeDocument/2006/relationships/hyperlink" Target="file:///C:/Users/rebecca.jenkinson/AppData/Local/Microsoft/Windows/INetCache/Content.Outlook/J8551GFT/www.childrenscommissioner.gov.uk/wp-content/uploads/2019/10/CCO-Gaming-the-System-2019.pdf" TargetMode="External"/><Relationship Id="rId35" Type="http://schemas.openxmlformats.org/officeDocument/2006/relationships/hyperlink" Target="https://doi.org/10.1016/j.ijlp.2015.08.025" TargetMode="External"/><Relationship Id="rId56" Type="http://schemas.openxmlformats.org/officeDocument/2006/relationships/hyperlink" Target="https://doi.org/10.1007/s10899-016-9626-6" TargetMode="External"/><Relationship Id="rId77" Type="http://schemas.openxmlformats.org/officeDocument/2006/relationships/hyperlink" Target="https://doi.org/10.3390/jcm10102103" TargetMode="External"/><Relationship Id="rId100" Type="http://schemas.openxmlformats.org/officeDocument/2006/relationships/hyperlink" Target="https://doi.org/10.1371/journal.pone.0206767"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80/14459795.2021.1914705" TargetMode="External"/><Relationship Id="rId72" Type="http://schemas.openxmlformats.org/officeDocument/2006/relationships/hyperlink" Target="https://doi.org/10.1016/j.chb.2020.106592" TargetMode="External"/><Relationship Id="rId93" Type="http://schemas.openxmlformats.org/officeDocument/2006/relationships/hyperlink" Target="https://doi.org/10.1016/j.techsoc.2020.101395" TargetMode="External"/><Relationship Id="rId98" Type="http://schemas.openxmlformats.org/officeDocument/2006/relationships/hyperlink" Target="https://doi.org/10.7717/peerj.7700" TargetMode="External"/><Relationship Id="rId3" Type="http://schemas.openxmlformats.org/officeDocument/2006/relationships/customXml" Target="../customXml/item3.xml"/><Relationship Id="rId25" Type="http://schemas.openxmlformats.org/officeDocument/2006/relationships/hyperlink" Target="https://doi.org/10.1007/s10899-017-9698-y" TargetMode="External"/><Relationship Id="rId46" Type="http://schemas.openxmlformats.org/officeDocument/2006/relationships/hyperlink" Target="https://doi.org/10.1556/2006.5.2016.031" TargetMode="External"/><Relationship Id="rId67" Type="http://schemas.openxmlformats.org/officeDocument/2006/relationships/hyperlink" Target="https://doi.org/10.1007/s40429-020-0031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ACD852C3D3B46B0933616510EDC58" ma:contentTypeVersion="9" ma:contentTypeDescription="Create a new document." ma:contentTypeScope="" ma:versionID="1b89e24bc82b8cbccb5e9d774a8d148e">
  <xsd:schema xmlns:xsd="http://www.w3.org/2001/XMLSchema" xmlns:xs="http://www.w3.org/2001/XMLSchema" xmlns:p="http://schemas.microsoft.com/office/2006/metadata/properties" xmlns:ns2="a5608ed1-7229-4b63-81af-7f67a1aafe12" xmlns:ns3="6197ce7b-4c10-41af-a2dc-290af113ad83" targetNamespace="http://schemas.microsoft.com/office/2006/metadata/properties" ma:root="true" ma:fieldsID="5c6924e3efd6109f14d8537b2dc0b61a" ns2:_="" ns3:_="">
    <xsd:import namespace="a5608ed1-7229-4b63-81af-7f67a1aafe12"/>
    <xsd:import namespace="6197ce7b-4c10-41af-a2dc-290af113a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08ed1-7229-4b63-81af-7f67a1aaf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2311aa-cace-4046-836b-3f58f05232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7ce7b-4c10-41af-a2dc-290af113ad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87355-1db3-459b-9416-bb7ed71d0f7c}" ma:internalName="TaxCatchAll" ma:showField="CatchAllData" ma:web="6197ce7b-4c10-41af-a2dc-290af113a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197ce7b-4c10-41af-a2dc-290af113ad83" xsi:nil="true"/>
    <lcf76f155ced4ddcb4097134ff3c332f xmlns="a5608ed1-7229-4b63-81af-7f67a1aaf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97421-753E-42F2-A993-F15F10AF4BC2}">
  <ds:schemaRefs>
    <ds:schemaRef ds:uri="http://schemas.microsoft.com/sharepoint/v3/contenttype/forms"/>
  </ds:schemaRefs>
</ds:datastoreItem>
</file>

<file path=customXml/itemProps2.xml><?xml version="1.0" encoding="utf-8"?>
<ds:datastoreItem xmlns:ds="http://schemas.openxmlformats.org/officeDocument/2006/customXml" ds:itemID="{FFA7F138-FC04-4703-9E99-CC6E11B1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08ed1-7229-4b63-81af-7f67a1aafe12"/>
    <ds:schemaRef ds:uri="6197ce7b-4c10-41af-a2dc-290af113a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A5A85-C634-4FCB-B0F6-346DD0BB647E}">
  <ds:schemaRefs>
    <ds:schemaRef ds:uri="http://schemas.openxmlformats.org/officeDocument/2006/bibliography"/>
  </ds:schemaRefs>
</ds:datastoreItem>
</file>

<file path=customXml/itemProps4.xml><?xml version="1.0" encoding="utf-8"?>
<ds:datastoreItem xmlns:ds="http://schemas.openxmlformats.org/officeDocument/2006/customXml" ds:itemID="{5DEF52E4-D704-4F39-B26B-6259AF92CB10}">
  <ds:schemaRefs>
    <ds:schemaRef ds:uri="http://schemas.microsoft.com/office/2006/metadata/properties"/>
    <ds:schemaRef ds:uri="http://schemas.microsoft.com/office/infopath/2007/PartnerControls"/>
    <ds:schemaRef ds:uri="6197ce7b-4c10-41af-a2dc-290af113ad83"/>
    <ds:schemaRef ds:uri="a5608ed1-7229-4b63-81af-7f67a1aafe12"/>
  </ds:schemaRefs>
</ds:datastoreItem>
</file>

<file path=docMetadata/LabelInfo.xml><?xml version="1.0" encoding="utf-8"?>
<clbl:labelList xmlns:clbl="http://schemas.microsoft.com/office/2020/mipLabelMetadata">
  <clbl:label id="{02f5d965-790b-4b52-9f49-2cd447eb85e1}" enabled="0" method="" siteId="{02f5d965-790b-4b52-9f49-2cd447eb85e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25863</Words>
  <Characters>147421</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Harms associated with loot boxes, simulated gambling and other in-game purchases in video games: a review of the evidence</vt:lpstr>
    </vt:vector>
  </TitlesOfParts>
  <Company/>
  <LinksUpToDate>false</LinksUpToDate>
  <CharactersWithSpaces>172939</CharactersWithSpaces>
  <SharedDoc>false</SharedDoc>
  <HLinks>
    <vt:vector size="510" baseType="variant">
      <vt:variant>
        <vt:i4>3080296</vt:i4>
      </vt:variant>
      <vt:variant>
        <vt:i4>369</vt:i4>
      </vt:variant>
      <vt:variant>
        <vt:i4>0</vt:i4>
      </vt:variant>
      <vt:variant>
        <vt:i4>5</vt:i4>
      </vt:variant>
      <vt:variant>
        <vt:lpwstr>https://doi.org/10.1098/rsos.190049</vt:lpwstr>
      </vt:variant>
      <vt:variant>
        <vt:lpwstr/>
      </vt:variant>
      <vt:variant>
        <vt:i4>6094877</vt:i4>
      </vt:variant>
      <vt:variant>
        <vt:i4>366</vt:i4>
      </vt:variant>
      <vt:variant>
        <vt:i4>0</vt:i4>
      </vt:variant>
      <vt:variant>
        <vt:i4>5</vt:i4>
      </vt:variant>
      <vt:variant>
        <vt:lpwstr>https://doi.org/10.1016/j.chb.2019.07.003</vt:lpwstr>
      </vt:variant>
      <vt:variant>
        <vt:lpwstr/>
      </vt:variant>
      <vt:variant>
        <vt:i4>4718669</vt:i4>
      </vt:variant>
      <vt:variant>
        <vt:i4>363</vt:i4>
      </vt:variant>
      <vt:variant>
        <vt:i4>0</vt:i4>
      </vt:variant>
      <vt:variant>
        <vt:i4>5</vt:i4>
      </vt:variant>
      <vt:variant>
        <vt:lpwstr>https://doi.org/10.1371/journal.pone.0213194</vt:lpwstr>
      </vt:variant>
      <vt:variant>
        <vt:lpwstr/>
      </vt:variant>
      <vt:variant>
        <vt:i4>4980807</vt:i4>
      </vt:variant>
      <vt:variant>
        <vt:i4>360</vt:i4>
      </vt:variant>
      <vt:variant>
        <vt:i4>0</vt:i4>
      </vt:variant>
      <vt:variant>
        <vt:i4>5</vt:i4>
      </vt:variant>
      <vt:variant>
        <vt:lpwstr>https://doi.org/10.1371/journal.pone.0206767</vt:lpwstr>
      </vt:variant>
      <vt:variant>
        <vt:lpwstr/>
      </vt:variant>
      <vt:variant>
        <vt:i4>3080234</vt:i4>
      </vt:variant>
      <vt:variant>
        <vt:i4>357</vt:i4>
      </vt:variant>
      <vt:variant>
        <vt:i4>0</vt:i4>
      </vt:variant>
      <vt:variant>
        <vt:i4>5</vt:i4>
      </vt:variant>
      <vt:variant>
        <vt:lpwstr>https://doi.org/10.7717/peerj.9466</vt:lpwstr>
      </vt:variant>
      <vt:variant>
        <vt:lpwstr/>
      </vt:variant>
      <vt:variant>
        <vt:i4>2752546</vt:i4>
      </vt:variant>
      <vt:variant>
        <vt:i4>354</vt:i4>
      </vt:variant>
      <vt:variant>
        <vt:i4>0</vt:i4>
      </vt:variant>
      <vt:variant>
        <vt:i4>5</vt:i4>
      </vt:variant>
      <vt:variant>
        <vt:lpwstr>https://doi.org/10.7717/peerj.7700</vt:lpwstr>
      </vt:variant>
      <vt:variant>
        <vt:lpwstr/>
      </vt:variant>
      <vt:variant>
        <vt:i4>2752571</vt:i4>
      </vt:variant>
      <vt:variant>
        <vt:i4>351</vt:i4>
      </vt:variant>
      <vt:variant>
        <vt:i4>0</vt:i4>
      </vt:variant>
      <vt:variant>
        <vt:i4>5</vt:i4>
      </vt:variant>
      <vt:variant>
        <vt:lpwstr>https://doi.org/10.1007/s40429-021-00386-4</vt:lpwstr>
      </vt:variant>
      <vt:variant>
        <vt:lpwstr/>
      </vt:variant>
      <vt:variant>
        <vt:i4>8323169</vt:i4>
      </vt:variant>
      <vt:variant>
        <vt:i4>348</vt:i4>
      </vt:variant>
      <vt:variant>
        <vt:i4>0</vt:i4>
      </vt:variant>
      <vt:variant>
        <vt:i4>5</vt:i4>
      </vt:variant>
      <vt:variant>
        <vt:lpwstr>https://doi.org/10.1017/bpp.2021.23</vt:lpwstr>
      </vt:variant>
      <vt:variant>
        <vt:lpwstr/>
      </vt:variant>
      <vt:variant>
        <vt:i4>7864366</vt:i4>
      </vt:variant>
      <vt:variant>
        <vt:i4>345</vt:i4>
      </vt:variant>
      <vt:variant>
        <vt:i4>0</vt:i4>
      </vt:variant>
      <vt:variant>
        <vt:i4>5</vt:i4>
      </vt:variant>
      <vt:variant>
        <vt:lpwstr>https://growingupinaustralia.gov.au/sites/default/files/publication-documents/lsac-asr-2018-chap7-gambling.pdf</vt:lpwstr>
      </vt:variant>
      <vt:variant>
        <vt:lpwstr/>
      </vt:variant>
      <vt:variant>
        <vt:i4>2097212</vt:i4>
      </vt:variant>
      <vt:variant>
        <vt:i4>342</vt:i4>
      </vt:variant>
      <vt:variant>
        <vt:i4>0</vt:i4>
      </vt:variant>
      <vt:variant>
        <vt:i4>5</vt:i4>
      </vt:variant>
      <vt:variant>
        <vt:lpwstr>https://doi.org/10.1089/cyber.2020.0299</vt:lpwstr>
      </vt:variant>
      <vt:variant>
        <vt:lpwstr/>
      </vt:variant>
      <vt:variant>
        <vt:i4>4784156</vt:i4>
      </vt:variant>
      <vt:variant>
        <vt:i4>339</vt:i4>
      </vt:variant>
      <vt:variant>
        <vt:i4>0</vt:i4>
      </vt:variant>
      <vt:variant>
        <vt:i4>5</vt:i4>
      </vt:variant>
      <vt:variant>
        <vt:lpwstr>https://doi.org/10.1016/j.techsoc.2020.101395</vt:lpwstr>
      </vt:variant>
      <vt:variant>
        <vt:lpwstr/>
      </vt:variant>
      <vt:variant>
        <vt:i4>917532</vt:i4>
      </vt:variant>
      <vt:variant>
        <vt:i4>336</vt:i4>
      </vt:variant>
      <vt:variant>
        <vt:i4>0</vt:i4>
      </vt:variant>
      <vt:variant>
        <vt:i4>5</vt:i4>
      </vt:variant>
      <vt:variant>
        <vt:lpwstr>https://doi.org/10.1186/s12889-018-6069-2</vt:lpwstr>
      </vt:variant>
      <vt:variant>
        <vt:lpwstr/>
      </vt:variant>
      <vt:variant>
        <vt:i4>4456523</vt:i4>
      </vt:variant>
      <vt:variant>
        <vt:i4>333</vt:i4>
      </vt:variant>
      <vt:variant>
        <vt:i4>0</vt:i4>
      </vt:variant>
      <vt:variant>
        <vt:i4>5</vt:i4>
      </vt:variant>
      <vt:variant>
        <vt:lpwstr>https://doi.org/10.4309/jgi.2021.46.5</vt:lpwstr>
      </vt:variant>
      <vt:variant>
        <vt:lpwstr/>
      </vt:variant>
      <vt:variant>
        <vt:i4>2097212</vt:i4>
      </vt:variant>
      <vt:variant>
        <vt:i4>330</vt:i4>
      </vt:variant>
      <vt:variant>
        <vt:i4>0</vt:i4>
      </vt:variant>
      <vt:variant>
        <vt:i4>5</vt:i4>
      </vt:variant>
      <vt:variant>
        <vt:lpwstr>https://doi.org/10.1007/s10899-021-10042-1</vt:lpwstr>
      </vt:variant>
      <vt:variant>
        <vt:lpwstr/>
      </vt:variant>
      <vt:variant>
        <vt:i4>4456523</vt:i4>
      </vt:variant>
      <vt:variant>
        <vt:i4>327</vt:i4>
      </vt:variant>
      <vt:variant>
        <vt:i4>0</vt:i4>
      </vt:variant>
      <vt:variant>
        <vt:i4>5</vt:i4>
      </vt:variant>
      <vt:variant>
        <vt:lpwstr>https://doi.org/10.4309/jgi.2021.46.2</vt:lpwstr>
      </vt:variant>
      <vt:variant>
        <vt:lpwstr/>
      </vt:variant>
      <vt:variant>
        <vt:i4>1835099</vt:i4>
      </vt:variant>
      <vt:variant>
        <vt:i4>324</vt:i4>
      </vt:variant>
      <vt:variant>
        <vt:i4>0</vt:i4>
      </vt:variant>
      <vt:variant>
        <vt:i4>5</vt:i4>
      </vt:variant>
      <vt:variant>
        <vt:lpwstr>https://doi.org/10.1177/14614448211027175</vt:lpwstr>
      </vt:variant>
      <vt:variant>
        <vt:lpwstr/>
      </vt:variant>
      <vt:variant>
        <vt:i4>4</vt:i4>
      </vt:variant>
      <vt:variant>
        <vt:i4>321</vt:i4>
      </vt:variant>
      <vt:variant>
        <vt:i4>0</vt:i4>
      </vt:variant>
      <vt:variant>
        <vt:i4>5</vt:i4>
      </vt:variant>
      <vt:variant>
        <vt:lpwstr>https://doi.org/10.3389/fpsyg.2021.708801</vt:lpwstr>
      </vt:variant>
      <vt:variant>
        <vt:lpwstr/>
      </vt:variant>
      <vt:variant>
        <vt:i4>524312</vt:i4>
      </vt:variant>
      <vt:variant>
        <vt:i4>318</vt:i4>
      </vt:variant>
      <vt:variant>
        <vt:i4>0</vt:i4>
      </vt:variant>
      <vt:variant>
        <vt:i4>5</vt:i4>
      </vt:variant>
      <vt:variant>
        <vt:lpwstr>https://doi.org/10.3389/fpsyt.2020.601712</vt:lpwstr>
      </vt:variant>
      <vt:variant>
        <vt:lpwstr/>
      </vt:variant>
      <vt:variant>
        <vt:i4>4063348</vt:i4>
      </vt:variant>
      <vt:variant>
        <vt:i4>315</vt:i4>
      </vt:variant>
      <vt:variant>
        <vt:i4>0</vt:i4>
      </vt:variant>
      <vt:variant>
        <vt:i4>5</vt:i4>
      </vt:variant>
      <vt:variant>
        <vt:lpwstr>https://doi.org/10.1556/2006.2021.00007</vt:lpwstr>
      </vt:variant>
      <vt:variant>
        <vt:lpwstr/>
      </vt:variant>
      <vt:variant>
        <vt:i4>3473447</vt:i4>
      </vt:variant>
      <vt:variant>
        <vt:i4>312</vt:i4>
      </vt:variant>
      <vt:variant>
        <vt:i4>0</vt:i4>
      </vt:variant>
      <vt:variant>
        <vt:i4>5</vt:i4>
      </vt:variant>
      <vt:variant>
        <vt:lpwstr>https://doi.org/10.25946/5ef151ac1ce6f</vt:lpwstr>
      </vt:variant>
      <vt:variant>
        <vt:lpwstr/>
      </vt:variant>
      <vt:variant>
        <vt:i4>2949172</vt:i4>
      </vt:variant>
      <vt:variant>
        <vt:i4>309</vt:i4>
      </vt:variant>
      <vt:variant>
        <vt:i4>0</vt:i4>
      </vt:variant>
      <vt:variant>
        <vt:i4>5</vt:i4>
      </vt:variant>
      <vt:variant>
        <vt:lpwstr>https://doi.org/10.1007/s10899-019-09869-6</vt:lpwstr>
      </vt:variant>
      <vt:variant>
        <vt:lpwstr/>
      </vt:variant>
      <vt:variant>
        <vt:i4>3342371</vt:i4>
      </vt:variant>
      <vt:variant>
        <vt:i4>306</vt:i4>
      </vt:variant>
      <vt:variant>
        <vt:i4>0</vt:i4>
      </vt:variant>
      <vt:variant>
        <vt:i4>5</vt:i4>
      </vt:variant>
      <vt:variant>
        <vt:lpwstr>https://doi.org/10.1176/appi.ajp.2016.16020224</vt:lpwstr>
      </vt:variant>
      <vt:variant>
        <vt:lpwstr/>
      </vt:variant>
      <vt:variant>
        <vt:i4>5308440</vt:i4>
      </vt:variant>
      <vt:variant>
        <vt:i4>303</vt:i4>
      </vt:variant>
      <vt:variant>
        <vt:i4>0</vt:i4>
      </vt:variant>
      <vt:variant>
        <vt:i4>5</vt:i4>
      </vt:variant>
      <vt:variant>
        <vt:lpwstr>https://doi.org/10.1016/j.chb.2014.12.006</vt:lpwstr>
      </vt:variant>
      <vt:variant>
        <vt:lpwstr/>
      </vt:variant>
      <vt:variant>
        <vt:i4>6226010</vt:i4>
      </vt:variant>
      <vt:variant>
        <vt:i4>300</vt:i4>
      </vt:variant>
      <vt:variant>
        <vt:i4>0</vt:i4>
      </vt:variant>
      <vt:variant>
        <vt:i4>5</vt:i4>
      </vt:variant>
      <vt:variant>
        <vt:lpwstr>https://doi.org/10.1111/add.12457</vt:lpwstr>
      </vt:variant>
      <vt:variant>
        <vt:lpwstr/>
      </vt:variant>
      <vt:variant>
        <vt:i4>2621495</vt:i4>
      </vt:variant>
      <vt:variant>
        <vt:i4>297</vt:i4>
      </vt:variant>
      <vt:variant>
        <vt:i4>0</vt:i4>
      </vt:variant>
      <vt:variant>
        <vt:i4>5</vt:i4>
      </vt:variant>
      <vt:variant>
        <vt:lpwstr>https://doi.org/10.1007/s10551-021-04970-6</vt:lpwstr>
      </vt:variant>
      <vt:variant>
        <vt:lpwstr/>
      </vt:variant>
      <vt:variant>
        <vt:i4>5505111</vt:i4>
      </vt:variant>
      <vt:variant>
        <vt:i4>294</vt:i4>
      </vt:variant>
      <vt:variant>
        <vt:i4>0</vt:i4>
      </vt:variant>
      <vt:variant>
        <vt:i4>5</vt:i4>
      </vt:variant>
      <vt:variant>
        <vt:lpwstr>http://www.esafety.gov.au/sites/default/files/2019-07/Youth-and-online-gaming-report-2018.pdf</vt:lpwstr>
      </vt:variant>
      <vt:variant>
        <vt:lpwstr/>
      </vt:variant>
      <vt:variant>
        <vt:i4>7929967</vt:i4>
      </vt:variant>
      <vt:variant>
        <vt:i4>291</vt:i4>
      </vt:variant>
      <vt:variant>
        <vt:i4>0</vt:i4>
      </vt:variant>
      <vt:variant>
        <vt:i4>5</vt:i4>
      </vt:variant>
      <vt:variant>
        <vt:lpwstr>https://doi.org/10.3390/jcm10102103</vt:lpwstr>
      </vt:variant>
      <vt:variant>
        <vt:lpwstr/>
      </vt:variant>
      <vt:variant>
        <vt:i4>131151</vt:i4>
      </vt:variant>
      <vt:variant>
        <vt:i4>288</vt:i4>
      </vt:variant>
      <vt:variant>
        <vt:i4>0</vt:i4>
      </vt:variant>
      <vt:variant>
        <vt:i4>5</vt:i4>
      </vt:variant>
      <vt:variant>
        <vt:lpwstr>https://doi.org/10.1080/14459795.2020.1770834</vt:lpwstr>
      </vt:variant>
      <vt:variant>
        <vt:lpwstr/>
      </vt:variant>
      <vt:variant>
        <vt:i4>1638490</vt:i4>
      </vt:variant>
      <vt:variant>
        <vt:i4>285</vt:i4>
      </vt:variant>
      <vt:variant>
        <vt:i4>0</vt:i4>
      </vt:variant>
      <vt:variant>
        <vt:i4>5</vt:i4>
      </vt:variant>
      <vt:variant>
        <vt:lpwstr>https://doi.org/10.1177/1461444818786216</vt:lpwstr>
      </vt:variant>
      <vt:variant>
        <vt:lpwstr/>
      </vt:variant>
      <vt:variant>
        <vt:i4>5570648</vt:i4>
      </vt:variant>
      <vt:variant>
        <vt:i4>282</vt:i4>
      </vt:variant>
      <vt:variant>
        <vt:i4>0</vt:i4>
      </vt:variant>
      <vt:variant>
        <vt:i4>5</vt:i4>
      </vt:variant>
      <vt:variant>
        <vt:lpwstr>C:\Users\rebecca.jenkinson\AppData\Local\Microsoft\Windows\INetCache\Content.Outlook\J8551GFT\doi.org\10.1016\j.addbeh.2019.05.016</vt:lpwstr>
      </vt:variant>
      <vt:variant>
        <vt:lpwstr/>
      </vt:variant>
      <vt:variant>
        <vt:i4>7536744</vt:i4>
      </vt:variant>
      <vt:variant>
        <vt:i4>279</vt:i4>
      </vt:variant>
      <vt:variant>
        <vt:i4>0</vt:i4>
      </vt:variant>
      <vt:variant>
        <vt:i4>5</vt:i4>
      </vt:variant>
      <vt:variant>
        <vt:lpwstr>https://doi.org/10.1037/pas0000062</vt:lpwstr>
      </vt:variant>
      <vt:variant>
        <vt:lpwstr/>
      </vt:variant>
      <vt:variant>
        <vt:i4>4456476</vt:i4>
      </vt:variant>
      <vt:variant>
        <vt:i4>276</vt:i4>
      </vt:variant>
      <vt:variant>
        <vt:i4>0</vt:i4>
      </vt:variant>
      <vt:variant>
        <vt:i4>5</vt:i4>
      </vt:variant>
      <vt:variant>
        <vt:lpwstr>https://doi.org/10.1016/j.chb.2020.106592</vt:lpwstr>
      </vt:variant>
      <vt:variant>
        <vt:lpwstr/>
      </vt:variant>
      <vt:variant>
        <vt:i4>4784195</vt:i4>
      </vt:variant>
      <vt:variant>
        <vt:i4>273</vt:i4>
      </vt:variant>
      <vt:variant>
        <vt:i4>0</vt:i4>
      </vt:variant>
      <vt:variant>
        <vt:i4>5</vt:i4>
      </vt:variant>
      <vt:variant>
        <vt:lpwstr>https://doi.org/10.1016/j.addbeh.2019.106254</vt:lpwstr>
      </vt:variant>
      <vt:variant>
        <vt:lpwstr/>
      </vt:variant>
      <vt:variant>
        <vt:i4>67</vt:i4>
      </vt:variant>
      <vt:variant>
        <vt:i4>270</vt:i4>
      </vt:variant>
      <vt:variant>
        <vt:i4>0</vt:i4>
      </vt:variant>
      <vt:variant>
        <vt:i4>5</vt:i4>
      </vt:variant>
      <vt:variant>
        <vt:lpwstr>https://doi.org/10.1080/14459795.2019.1697344</vt:lpwstr>
      </vt:variant>
      <vt:variant>
        <vt:lpwstr/>
      </vt:variant>
      <vt:variant>
        <vt:i4>7012415</vt:i4>
      </vt:variant>
      <vt:variant>
        <vt:i4>267</vt:i4>
      </vt:variant>
      <vt:variant>
        <vt:i4>0</vt:i4>
      </vt:variant>
      <vt:variant>
        <vt:i4>5</vt:i4>
      </vt:variant>
      <vt:variant>
        <vt:lpwstr>https://doi.org/10.1007/s11469-021-00498-y</vt:lpwstr>
      </vt:variant>
      <vt:variant>
        <vt:lpwstr/>
      </vt:variant>
      <vt:variant>
        <vt:i4>2359411</vt:i4>
      </vt:variant>
      <vt:variant>
        <vt:i4>264</vt:i4>
      </vt:variant>
      <vt:variant>
        <vt:i4>0</vt:i4>
      </vt:variant>
      <vt:variant>
        <vt:i4>5</vt:i4>
      </vt:variant>
      <vt:variant>
        <vt:lpwstr>https://doi.org/10.1111/ajad.13049</vt:lpwstr>
      </vt:variant>
      <vt:variant>
        <vt:lpwstr/>
      </vt:variant>
      <vt:variant>
        <vt:i4>2687026</vt:i4>
      </vt:variant>
      <vt:variant>
        <vt:i4>261</vt:i4>
      </vt:variant>
      <vt:variant>
        <vt:i4>0</vt:i4>
      </vt:variant>
      <vt:variant>
        <vt:i4>5</vt:i4>
      </vt:variant>
      <vt:variant>
        <vt:lpwstr>https://doi.org/10.1007/s40429-020-00311-1</vt:lpwstr>
      </vt:variant>
      <vt:variant>
        <vt:lpwstr/>
      </vt:variant>
      <vt:variant>
        <vt:i4>4063341</vt:i4>
      </vt:variant>
      <vt:variant>
        <vt:i4>258</vt:i4>
      </vt:variant>
      <vt:variant>
        <vt:i4>0</vt:i4>
      </vt:variant>
      <vt:variant>
        <vt:i4>5</vt:i4>
      </vt:variant>
      <vt:variant>
        <vt:lpwstr>https://doi.org/10.1556/2006.5.2016.067</vt:lpwstr>
      </vt:variant>
      <vt:variant>
        <vt:lpwstr/>
      </vt:variant>
      <vt:variant>
        <vt:i4>5111886</vt:i4>
      </vt:variant>
      <vt:variant>
        <vt:i4>255</vt:i4>
      </vt:variant>
      <vt:variant>
        <vt:i4>0</vt:i4>
      </vt:variant>
      <vt:variant>
        <vt:i4>5</vt:i4>
      </vt:variant>
      <vt:variant>
        <vt:lpwstr>https://doi.org/10.1016/j.addbeh.2020.106311</vt:lpwstr>
      </vt:variant>
      <vt:variant>
        <vt:lpwstr/>
      </vt:variant>
      <vt:variant>
        <vt:i4>5373978</vt:i4>
      </vt:variant>
      <vt:variant>
        <vt:i4>252</vt:i4>
      </vt:variant>
      <vt:variant>
        <vt:i4>0</vt:i4>
      </vt:variant>
      <vt:variant>
        <vt:i4>5</vt:i4>
      </vt:variant>
      <vt:variant>
        <vt:lpwstr>https://doi.org/10.1016/j.chb.2013.10.048</vt:lpwstr>
      </vt:variant>
      <vt:variant>
        <vt:lpwstr/>
      </vt:variant>
      <vt:variant>
        <vt:i4>6029341</vt:i4>
      </vt:variant>
      <vt:variant>
        <vt:i4>249</vt:i4>
      </vt:variant>
      <vt:variant>
        <vt:i4>0</vt:i4>
      </vt:variant>
      <vt:variant>
        <vt:i4>5</vt:i4>
      </vt:variant>
      <vt:variant>
        <vt:lpwstr>https://doi.org/10.1016/j.chb.2019.07.017</vt:lpwstr>
      </vt:variant>
      <vt:variant>
        <vt:lpwstr/>
      </vt:variant>
      <vt:variant>
        <vt:i4>4915287</vt:i4>
      </vt:variant>
      <vt:variant>
        <vt:i4>246</vt:i4>
      </vt:variant>
      <vt:variant>
        <vt:i4>0</vt:i4>
      </vt:variant>
      <vt:variant>
        <vt:i4>5</vt:i4>
      </vt:variant>
      <vt:variant>
        <vt:lpwstr>https://doi.org/10.1016/j.cobeha.2019.10.001</vt:lpwstr>
      </vt:variant>
      <vt:variant>
        <vt:lpwstr/>
      </vt:variant>
      <vt:variant>
        <vt:i4>655377</vt:i4>
      </vt:variant>
      <vt:variant>
        <vt:i4>243</vt:i4>
      </vt:variant>
      <vt:variant>
        <vt:i4>0</vt:i4>
      </vt:variant>
      <vt:variant>
        <vt:i4>5</vt:i4>
      </vt:variant>
      <vt:variant>
        <vt:lpwstr>https://doi.org/10.1007/s11469-018-0009-3</vt:lpwstr>
      </vt:variant>
      <vt:variant>
        <vt:lpwstr/>
      </vt:variant>
      <vt:variant>
        <vt:i4>5242899</vt:i4>
      </vt:variant>
      <vt:variant>
        <vt:i4>240</vt:i4>
      </vt:variant>
      <vt:variant>
        <vt:i4>0</vt:i4>
      </vt:variant>
      <vt:variant>
        <vt:i4>5</vt:i4>
      </vt:variant>
      <vt:variant>
        <vt:lpwstr>https://doi.org/10.1016/j.chb.2015.09.012</vt:lpwstr>
      </vt:variant>
      <vt:variant>
        <vt:lpwstr/>
      </vt:variant>
      <vt:variant>
        <vt:i4>65</vt:i4>
      </vt:variant>
      <vt:variant>
        <vt:i4>237</vt:i4>
      </vt:variant>
      <vt:variant>
        <vt:i4>0</vt:i4>
      </vt:variant>
      <vt:variant>
        <vt:i4>5</vt:i4>
      </vt:variant>
      <vt:variant>
        <vt:lpwstr>https://doi.org/10.1080/01612840.2020.1803461</vt:lpwstr>
      </vt:variant>
      <vt:variant>
        <vt:lpwstr/>
      </vt:variant>
      <vt:variant>
        <vt:i4>131090</vt:i4>
      </vt:variant>
      <vt:variant>
        <vt:i4>234</vt:i4>
      </vt:variant>
      <vt:variant>
        <vt:i4>0</vt:i4>
      </vt:variant>
      <vt:variant>
        <vt:i4>5</vt:i4>
      </vt:variant>
      <vt:variant>
        <vt:lpwstr>https://doi.org/10.1007/s10899-014-9511-0</vt:lpwstr>
      </vt:variant>
      <vt:variant>
        <vt:lpwstr/>
      </vt:variant>
      <vt:variant>
        <vt:i4>393242</vt:i4>
      </vt:variant>
      <vt:variant>
        <vt:i4>231</vt:i4>
      </vt:variant>
      <vt:variant>
        <vt:i4>0</vt:i4>
      </vt:variant>
      <vt:variant>
        <vt:i4>5</vt:i4>
      </vt:variant>
      <vt:variant>
        <vt:lpwstr>https://doi.org/10.1186/s40405-017-0025-4</vt:lpwstr>
      </vt:variant>
      <vt:variant>
        <vt:lpwstr/>
      </vt:variant>
      <vt:variant>
        <vt:i4>196630</vt:i4>
      </vt:variant>
      <vt:variant>
        <vt:i4>228</vt:i4>
      </vt:variant>
      <vt:variant>
        <vt:i4>0</vt:i4>
      </vt:variant>
      <vt:variant>
        <vt:i4>5</vt:i4>
      </vt:variant>
      <vt:variant>
        <vt:lpwstr>https://doi.org/10.1007/s10899-016-9626-6</vt:lpwstr>
      </vt:variant>
      <vt:variant>
        <vt:lpwstr/>
      </vt:variant>
      <vt:variant>
        <vt:i4>1179735</vt:i4>
      </vt:variant>
      <vt:variant>
        <vt:i4>225</vt:i4>
      </vt:variant>
      <vt:variant>
        <vt:i4>0</vt:i4>
      </vt:variant>
      <vt:variant>
        <vt:i4>5</vt:i4>
      </vt:variant>
      <vt:variant>
        <vt:lpwstr>https://doi.org/10.2196/23886</vt:lpwstr>
      </vt:variant>
      <vt:variant>
        <vt:lpwstr/>
      </vt:variant>
      <vt:variant>
        <vt:i4>2949155</vt:i4>
      </vt:variant>
      <vt:variant>
        <vt:i4>222</vt:i4>
      </vt:variant>
      <vt:variant>
        <vt:i4>0</vt:i4>
      </vt:variant>
      <vt:variant>
        <vt:i4>5</vt:i4>
      </vt:variant>
      <vt:variant>
        <vt:lpwstr>https://doi.org/10.7717/peerj.10705</vt:lpwstr>
      </vt:variant>
      <vt:variant>
        <vt:lpwstr/>
      </vt:variant>
      <vt:variant>
        <vt:i4>4980761</vt:i4>
      </vt:variant>
      <vt:variant>
        <vt:i4>219</vt:i4>
      </vt:variant>
      <vt:variant>
        <vt:i4>0</vt:i4>
      </vt:variant>
      <vt:variant>
        <vt:i4>5</vt:i4>
      </vt:variant>
      <vt:variant>
        <vt:lpwstr>https://doi.org/10.1016/j.chb.2021.107012</vt:lpwstr>
      </vt:variant>
      <vt:variant>
        <vt:lpwstr/>
      </vt:variant>
      <vt:variant>
        <vt:i4>2687025</vt:i4>
      </vt:variant>
      <vt:variant>
        <vt:i4>216</vt:i4>
      </vt:variant>
      <vt:variant>
        <vt:i4>0</vt:i4>
      </vt:variant>
      <vt:variant>
        <vt:i4>5</vt:i4>
      </vt:variant>
      <vt:variant>
        <vt:lpwstr>https://doi.org/10.1007/s11469-020-00370-5</vt:lpwstr>
      </vt:variant>
      <vt:variant>
        <vt:lpwstr/>
      </vt:variant>
      <vt:variant>
        <vt:i4>720967</vt:i4>
      </vt:variant>
      <vt:variant>
        <vt:i4>213</vt:i4>
      </vt:variant>
      <vt:variant>
        <vt:i4>0</vt:i4>
      </vt:variant>
      <vt:variant>
        <vt:i4>5</vt:i4>
      </vt:variant>
      <vt:variant>
        <vt:lpwstr>https://doi.org/10.1080/14459795.2021.1914705</vt:lpwstr>
      </vt:variant>
      <vt:variant>
        <vt:lpwstr/>
      </vt:variant>
      <vt:variant>
        <vt:i4>3932261</vt:i4>
      </vt:variant>
      <vt:variant>
        <vt:i4>210</vt:i4>
      </vt:variant>
      <vt:variant>
        <vt:i4>0</vt:i4>
      </vt:variant>
      <vt:variant>
        <vt:i4>5</vt:i4>
      </vt:variant>
      <vt:variant>
        <vt:lpwstr>http://www.gamblingresearch.org.au/resources/d06679ec-3577-4cb0-867c-594ce741dbf6/grasocialmediareport.pdf</vt:lpwstr>
      </vt:variant>
      <vt:variant>
        <vt:lpwstr/>
      </vt:variant>
      <vt:variant>
        <vt:i4>5439515</vt:i4>
      </vt:variant>
      <vt:variant>
        <vt:i4>207</vt:i4>
      </vt:variant>
      <vt:variant>
        <vt:i4>0</vt:i4>
      </vt:variant>
      <vt:variant>
        <vt:i4>5</vt:i4>
      </vt:variant>
      <vt:variant>
        <vt:lpwstr>https://doi.org/10.1016/j.chb.2014.01.031</vt:lpwstr>
      </vt:variant>
      <vt:variant>
        <vt:lpwstr/>
      </vt:variant>
      <vt:variant>
        <vt:i4>5242911</vt:i4>
      </vt:variant>
      <vt:variant>
        <vt:i4>204</vt:i4>
      </vt:variant>
      <vt:variant>
        <vt:i4>0</vt:i4>
      </vt:variant>
      <vt:variant>
        <vt:i4>5</vt:i4>
      </vt:variant>
      <vt:variant>
        <vt:lpwstr>https://doi.org/10.1016/j.chb.2016.05.021</vt:lpwstr>
      </vt:variant>
      <vt:variant>
        <vt:lpwstr/>
      </vt:variant>
      <vt:variant>
        <vt:i4>4849746</vt:i4>
      </vt:variant>
      <vt:variant>
        <vt:i4>201</vt:i4>
      </vt:variant>
      <vt:variant>
        <vt:i4>0</vt:i4>
      </vt:variant>
      <vt:variant>
        <vt:i4>5</vt:i4>
      </vt:variant>
      <vt:variant>
        <vt:lpwstr>https://doi.org/10.1016/j.addbeh.2015.12.007</vt:lpwstr>
      </vt:variant>
      <vt:variant>
        <vt:lpwstr/>
      </vt:variant>
      <vt:variant>
        <vt:i4>3866733</vt:i4>
      </vt:variant>
      <vt:variant>
        <vt:i4>198</vt:i4>
      </vt:variant>
      <vt:variant>
        <vt:i4>0</vt:i4>
      </vt:variant>
      <vt:variant>
        <vt:i4>5</vt:i4>
      </vt:variant>
      <vt:variant>
        <vt:lpwstr>https://doi.org/10.1556/2006.5.2016.031</vt:lpwstr>
      </vt:variant>
      <vt:variant>
        <vt:lpwstr/>
      </vt:variant>
      <vt:variant>
        <vt:i4>2031724</vt:i4>
      </vt:variant>
      <vt:variant>
        <vt:i4>195</vt:i4>
      </vt:variant>
      <vt:variant>
        <vt:i4>0</vt:i4>
      </vt:variant>
      <vt:variant>
        <vt:i4>5</vt:i4>
      </vt:variant>
      <vt:variant>
        <vt:lpwstr>C:\Users\rebecca.jenkinson\AppData\Local\Microsoft\Windows\INetCache\Content.Outlook\J8551GFT\www.responsiblegambling.vic.gov.au\__data\assets\pdf_file\0003\25572\Gainsbury_convergence_of_gambling_and_gaming_2015.pdf</vt:lpwstr>
      </vt:variant>
      <vt:variant>
        <vt:lpwstr/>
      </vt:variant>
      <vt:variant>
        <vt:i4>6815841</vt:i4>
      </vt:variant>
      <vt:variant>
        <vt:i4>192</vt:i4>
      </vt:variant>
      <vt:variant>
        <vt:i4>0</vt:i4>
      </vt:variant>
      <vt:variant>
        <vt:i4>5</vt:i4>
      </vt:variant>
      <vt:variant>
        <vt:lpwstr>https://doi.org/10.1089/glr2.2019.2323</vt:lpwstr>
      </vt:variant>
      <vt:variant>
        <vt:lpwstr/>
      </vt:variant>
      <vt:variant>
        <vt:i4>196672</vt:i4>
      </vt:variant>
      <vt:variant>
        <vt:i4>189</vt:i4>
      </vt:variant>
      <vt:variant>
        <vt:i4>0</vt:i4>
      </vt:variant>
      <vt:variant>
        <vt:i4>5</vt:i4>
      </vt:variant>
      <vt:variant>
        <vt:lpwstr>https://doi.org/10.1080/14459795.2017.1343366</vt:lpwstr>
      </vt:variant>
      <vt:variant>
        <vt:lpwstr/>
      </vt:variant>
      <vt:variant>
        <vt:i4>1769552</vt:i4>
      </vt:variant>
      <vt:variant>
        <vt:i4>186</vt:i4>
      </vt:variant>
      <vt:variant>
        <vt:i4>0</vt:i4>
      </vt:variant>
      <vt:variant>
        <vt:i4>5</vt:i4>
      </vt:variant>
      <vt:variant>
        <vt:lpwstr>C:\Users\rebecca.jenkinson\AppData\Local\Microsoft\Windows\INetCache\Content.Outlook\J8551GFT\onlinelibrary.wiley.com\doi\abs\10.1111\add.14583</vt:lpwstr>
      </vt:variant>
      <vt:variant>
        <vt:lpwstr/>
      </vt:variant>
      <vt:variant>
        <vt:i4>4456512</vt:i4>
      </vt:variant>
      <vt:variant>
        <vt:i4>183</vt:i4>
      </vt:variant>
      <vt:variant>
        <vt:i4>0</vt:i4>
      </vt:variant>
      <vt:variant>
        <vt:i4>5</vt:i4>
      </vt:variant>
      <vt:variant>
        <vt:lpwstr>https://doi.org/10.1371/journal.pone.0230378</vt:lpwstr>
      </vt:variant>
      <vt:variant>
        <vt:lpwstr/>
      </vt:variant>
      <vt:variant>
        <vt:i4>20</vt:i4>
      </vt:variant>
      <vt:variant>
        <vt:i4>180</vt:i4>
      </vt:variant>
      <vt:variant>
        <vt:i4>0</vt:i4>
      </vt:variant>
      <vt:variant>
        <vt:i4>5</vt:i4>
      </vt:variant>
      <vt:variant>
        <vt:lpwstr>https://doi.org/10.1038/s41562-018-0360-1</vt:lpwstr>
      </vt:variant>
      <vt:variant>
        <vt:lpwstr/>
      </vt:variant>
      <vt:variant>
        <vt:i4>1704055</vt:i4>
      </vt:variant>
      <vt:variant>
        <vt:i4>177</vt:i4>
      </vt:variant>
      <vt:variant>
        <vt:i4>0</vt:i4>
      </vt:variant>
      <vt:variant>
        <vt:i4>5</vt:i4>
      </vt:variant>
      <vt:variant>
        <vt:lpwstr>C:\Users\rebecca.jenkinson\AppData\Local\Microsoft\Windows\INetCache\Content.Outlook\J8551GFT\Retrieved from aifs.gov.au\agrc\sites\default\files\agrc-dp5-simulated-gambling-paper.pdf</vt:lpwstr>
      </vt:variant>
      <vt:variant>
        <vt:lpwstr/>
      </vt:variant>
      <vt:variant>
        <vt:i4>7405690</vt:i4>
      </vt:variant>
      <vt:variant>
        <vt:i4>174</vt:i4>
      </vt:variant>
      <vt:variant>
        <vt:i4>0</vt:i4>
      </vt:variant>
      <vt:variant>
        <vt:i4>5</vt:i4>
      </vt:variant>
      <vt:variant>
        <vt:lpwstr>https://doi.org/10.4309/jgi.2021.46.15</vt:lpwstr>
      </vt:variant>
      <vt:variant>
        <vt:lpwstr/>
      </vt:variant>
      <vt:variant>
        <vt:i4>3407979</vt:i4>
      </vt:variant>
      <vt:variant>
        <vt:i4>171</vt:i4>
      </vt:variant>
      <vt:variant>
        <vt:i4>0</vt:i4>
      </vt:variant>
      <vt:variant>
        <vt:i4>5</vt:i4>
      </vt:variant>
      <vt:variant>
        <vt:lpwstr>https://www.classification.gov.au/sites/default/files/2019-10/computer-games-content-research-final-report-january2019.pdf</vt:lpwstr>
      </vt:variant>
      <vt:variant>
        <vt:lpwstr/>
      </vt:variant>
      <vt:variant>
        <vt:i4>7077994</vt:i4>
      </vt:variant>
      <vt:variant>
        <vt:i4>168</vt:i4>
      </vt:variant>
      <vt:variant>
        <vt:i4>0</vt:i4>
      </vt:variant>
      <vt:variant>
        <vt:i4>5</vt:i4>
      </vt:variant>
      <vt:variant>
        <vt:lpwstr>https://doi.org/10.1089/glr2.2019.2397</vt:lpwstr>
      </vt:variant>
      <vt:variant>
        <vt:lpwstr/>
      </vt:variant>
      <vt:variant>
        <vt:i4>3538996</vt:i4>
      </vt:variant>
      <vt:variant>
        <vt:i4>165</vt:i4>
      </vt:variant>
      <vt:variant>
        <vt:i4>0</vt:i4>
      </vt:variant>
      <vt:variant>
        <vt:i4>5</vt:i4>
      </vt:variant>
      <vt:variant>
        <vt:lpwstr>https://doi.org/10.1016/j.ijlp.2015.08.025</vt:lpwstr>
      </vt:variant>
      <vt:variant>
        <vt:lpwstr/>
      </vt:variant>
      <vt:variant>
        <vt:i4>6815779</vt:i4>
      </vt:variant>
      <vt:variant>
        <vt:i4>162</vt:i4>
      </vt:variant>
      <vt:variant>
        <vt:i4>0</vt:i4>
      </vt:variant>
      <vt:variant>
        <vt:i4>5</vt:i4>
      </vt:variant>
      <vt:variant>
        <vt:lpwstr>https://doi.org/10.3390/ijerph182111482</vt:lpwstr>
      </vt:variant>
      <vt:variant>
        <vt:lpwstr/>
      </vt:variant>
      <vt:variant>
        <vt:i4>655426</vt:i4>
      </vt:variant>
      <vt:variant>
        <vt:i4>159</vt:i4>
      </vt:variant>
      <vt:variant>
        <vt:i4>0</vt:i4>
      </vt:variant>
      <vt:variant>
        <vt:i4>5</vt:i4>
      </vt:variant>
      <vt:variant>
        <vt:lpwstr>https://doi.org/10.1080/14459795.2020.1768430</vt:lpwstr>
      </vt:variant>
      <vt:variant>
        <vt:lpwstr/>
      </vt:variant>
      <vt:variant>
        <vt:i4>327701</vt:i4>
      </vt:variant>
      <vt:variant>
        <vt:i4>156</vt:i4>
      </vt:variant>
      <vt:variant>
        <vt:i4>0</vt:i4>
      </vt:variant>
      <vt:variant>
        <vt:i4>5</vt:i4>
      </vt:variant>
      <vt:variant>
        <vt:lpwstr>https://doi.org/10.1007/s10899-012-9300-6</vt:lpwstr>
      </vt:variant>
      <vt:variant>
        <vt:lpwstr/>
      </vt:variant>
      <vt:variant>
        <vt:i4>4522059</vt:i4>
      </vt:variant>
      <vt:variant>
        <vt:i4>153</vt:i4>
      </vt:variant>
      <vt:variant>
        <vt:i4>0</vt:i4>
      </vt:variant>
      <vt:variant>
        <vt:i4>5</vt:i4>
      </vt:variant>
      <vt:variant>
        <vt:lpwstr>https://doi.org/10.1016/j.addbeh.2021.106851</vt:lpwstr>
      </vt:variant>
      <vt:variant>
        <vt:lpwstr/>
      </vt:variant>
      <vt:variant>
        <vt:i4>262179</vt:i4>
      </vt:variant>
      <vt:variant>
        <vt:i4>150</vt:i4>
      </vt:variant>
      <vt:variant>
        <vt:i4>0</vt:i4>
      </vt:variant>
      <vt:variant>
        <vt:i4>5</vt:i4>
      </vt:variant>
      <vt:variant>
        <vt:lpwstr>C:\Users\rebecca.jenkinson\AppData\Local\Microsoft\Windows\INetCache\Content.Outlook\J8551GFT\www.childrenscommissioner.gov.uk\wp-content\uploads\2019\10\CCO-Gaming-the-System-2019.pdf</vt:lpwstr>
      </vt:variant>
      <vt:variant>
        <vt:lpwstr/>
      </vt:variant>
      <vt:variant>
        <vt:i4>4456529</vt:i4>
      </vt:variant>
      <vt:variant>
        <vt:i4>147</vt:i4>
      </vt:variant>
      <vt:variant>
        <vt:i4>0</vt:i4>
      </vt:variant>
      <vt:variant>
        <vt:i4>5</vt:i4>
      </vt:variant>
      <vt:variant>
        <vt:lpwstr>http://www.europarl.europa.eu/supporting-analyses</vt:lpwstr>
      </vt:variant>
      <vt:variant>
        <vt:lpwstr/>
      </vt:variant>
      <vt:variant>
        <vt:i4>3735668</vt:i4>
      </vt:variant>
      <vt:variant>
        <vt:i4>144</vt:i4>
      </vt:variant>
      <vt:variant>
        <vt:i4>0</vt:i4>
      </vt:variant>
      <vt:variant>
        <vt:i4>5</vt:i4>
      </vt:variant>
      <vt:variant>
        <vt:lpwstr>https://doi.org/10.1556/2006.2021.00076</vt:lpwstr>
      </vt:variant>
      <vt:variant>
        <vt:lpwstr/>
      </vt:variant>
      <vt:variant>
        <vt:i4>3997705</vt:i4>
      </vt:variant>
      <vt:variant>
        <vt:i4>141</vt:i4>
      </vt:variant>
      <vt:variant>
        <vt:i4>0</vt:i4>
      </vt:variant>
      <vt:variant>
        <vt:i4>5</vt:i4>
      </vt:variant>
      <vt:variant>
        <vt:lpwstr>C:\Users\rebecca.jenkinson\AppData\Local\Microsoft\Windows\INetCache\Content.Outlook\J8551GFT\www.raco.cat\index.php\Aloma\article\view\293258</vt:lpwstr>
      </vt:variant>
      <vt:variant>
        <vt:lpwstr/>
      </vt:variant>
      <vt:variant>
        <vt:i4>2621491</vt:i4>
      </vt:variant>
      <vt:variant>
        <vt:i4>138</vt:i4>
      </vt:variant>
      <vt:variant>
        <vt:i4>0</vt:i4>
      </vt:variant>
      <vt:variant>
        <vt:i4>5</vt:i4>
      </vt:variant>
      <vt:variant>
        <vt:lpwstr>https://doi.org/10.1007/s11469-021-00556-5</vt:lpwstr>
      </vt:variant>
      <vt:variant>
        <vt:lpwstr/>
      </vt:variant>
      <vt:variant>
        <vt:i4>589848</vt:i4>
      </vt:variant>
      <vt:variant>
        <vt:i4>135</vt:i4>
      </vt:variant>
      <vt:variant>
        <vt:i4>0</vt:i4>
      </vt:variant>
      <vt:variant>
        <vt:i4>5</vt:i4>
      </vt:variant>
      <vt:variant>
        <vt:lpwstr>https://doi.org/10.1007/s10899-017-9698-y</vt:lpwstr>
      </vt:variant>
      <vt:variant>
        <vt:lpwstr/>
      </vt:variant>
      <vt:variant>
        <vt:i4>655437</vt:i4>
      </vt:variant>
      <vt:variant>
        <vt:i4>132</vt:i4>
      </vt:variant>
      <vt:variant>
        <vt:i4>0</vt:i4>
      </vt:variant>
      <vt:variant>
        <vt:i4>5</vt:i4>
      </vt:variant>
      <vt:variant>
        <vt:lpwstr>https://doi.org/10.1080/14459795.2020.1799426</vt:lpwstr>
      </vt:variant>
      <vt:variant>
        <vt:lpwstr/>
      </vt:variant>
      <vt:variant>
        <vt:i4>4325471</vt:i4>
      </vt:variant>
      <vt:variant>
        <vt:i4>129</vt:i4>
      </vt:variant>
      <vt:variant>
        <vt:i4>0</vt:i4>
      </vt:variant>
      <vt:variant>
        <vt:i4>5</vt:i4>
      </vt:variant>
      <vt:variant>
        <vt:lpwstr>https://doi.org/10.1016/j.addbeh.2019.04.009</vt:lpwstr>
      </vt:variant>
      <vt:variant>
        <vt:lpwstr/>
      </vt:variant>
      <vt:variant>
        <vt:i4>7536664</vt:i4>
      </vt:variant>
      <vt:variant>
        <vt:i4>126</vt:i4>
      </vt:variant>
      <vt:variant>
        <vt:i4>0</vt:i4>
      </vt:variant>
      <vt:variant>
        <vt:i4>5</vt:i4>
      </vt:variant>
      <vt:variant>
        <vt:lpwstr>C:\Users\rebecca.jenkinson\AppData\Local\Microsoft\Windows\INetCache\Content.Outlook\J8551GFT\Retrieved from igea.net\wp-content\uploads\2019\08\DA20-Report-FINAL-Aug19.pdf</vt:lpwstr>
      </vt:variant>
      <vt:variant>
        <vt:lpwstr/>
      </vt:variant>
      <vt:variant>
        <vt:i4>2031703</vt:i4>
      </vt:variant>
      <vt:variant>
        <vt:i4>123</vt:i4>
      </vt:variant>
      <vt:variant>
        <vt:i4>0</vt:i4>
      </vt:variant>
      <vt:variant>
        <vt:i4>5</vt:i4>
      </vt:variant>
      <vt:variant>
        <vt:lpwstr>https://doi.org/10.1177/1555412019895359</vt:lpwstr>
      </vt:variant>
      <vt:variant>
        <vt:lpwstr/>
      </vt:variant>
      <vt:variant>
        <vt:i4>3473444</vt:i4>
      </vt:variant>
      <vt:variant>
        <vt:i4>120</vt:i4>
      </vt:variant>
      <vt:variant>
        <vt:i4>0</vt:i4>
      </vt:variant>
      <vt:variant>
        <vt:i4>5</vt:i4>
      </vt:variant>
      <vt:variant>
        <vt:lpwstr>https://www.aihw.gov.au/reports/australias-welfare/gambling</vt:lpwstr>
      </vt:variant>
      <vt:variant>
        <vt:lpwstr/>
      </vt:variant>
      <vt:variant>
        <vt:i4>720915</vt:i4>
      </vt:variant>
      <vt:variant>
        <vt:i4>117</vt:i4>
      </vt:variant>
      <vt:variant>
        <vt:i4>0</vt:i4>
      </vt:variant>
      <vt:variant>
        <vt:i4>5</vt:i4>
      </vt:variant>
      <vt:variant>
        <vt:lpwstr>https://doi.org/10.1007/s10899-018-9742-6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Harms associated with loot boxes, simulated gambling and other in-game purchases in video games: a review of the evidence</dc:title>
  <dc:subject/>
  <dc:creator/>
  <cp:keywords>Gambling; loot box; video game</cp:keywords>
  <dc:description/>
  <cp:lastModifiedBy/>
  <cp:revision>1</cp:revision>
  <dcterms:created xsi:type="dcterms:W3CDTF">2022-11-10T04:17:00Z</dcterms:created>
  <dcterms:modified xsi:type="dcterms:W3CDTF">2022-11-10T22:04:00Z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0x010100838ACD852C3D3B46B0933616510EDC58</vt:lpwstr>
  </property>
  <property fmtid="{D5CDD505-2E9C-101B-9397-08002B2CF9AE}" pid="4" name="TrimRevisionNumber">
    <vt:i4>11</vt:i4>
  </property>
  <property fmtid="{D5CDD505-2E9C-101B-9397-08002B2CF9AE}" pid="5" name="_dlc_DocIdItemGuid">
    <vt:lpwstr>56c1b6e9-f617-4f13-92a4-c7316f469e85</vt:lpwstr>
  </property>
</Properties>
</file>