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DD8E0" w14:textId="27ED58E8" w:rsidR="00981457" w:rsidRDefault="00981457" w:rsidP="00981457">
      <w:pPr>
        <w:ind w:left="-1418"/>
      </w:pPr>
      <w:bookmarkStart w:id="0" w:name="_Hlk178602204"/>
      <w:bookmarkStart w:id="1" w:name="_Hlk178587381"/>
      <w:bookmarkStart w:id="2" w:name="_GoBack"/>
      <w:bookmarkEnd w:id="2"/>
      <w:r>
        <w:rPr>
          <w:noProof/>
        </w:rPr>
        <w:drawing>
          <wp:inline distT="0" distB="0" distL="0" distR="0" wp14:anchorId="4AD5317C" wp14:editId="181B0EDA">
            <wp:extent cx="7543800" cy="1837690"/>
            <wp:effectExtent l="0" t="0" r="0" b="0"/>
            <wp:docPr id="18" name="Picture 18" descr="Australian Government, Department of Infrastructure, Transport, Regional Development, Communications and the Arts, Australian Class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 class header.PNG"/>
                    <pic:cNvPicPr/>
                  </pic:nvPicPr>
                  <pic:blipFill rotWithShape="1">
                    <a:blip r:embed="rId8">
                      <a:extLst>
                        <a:ext uri="{28A0092B-C50C-407E-A947-70E740481C1C}">
                          <a14:useLocalDpi xmlns:a14="http://schemas.microsoft.com/office/drawing/2010/main" val="0"/>
                        </a:ext>
                      </a:extLst>
                    </a:blip>
                    <a:srcRect l="886"/>
                    <a:stretch/>
                  </pic:blipFill>
                  <pic:spPr bwMode="auto">
                    <a:xfrm>
                      <a:off x="0" y="0"/>
                      <a:ext cx="7543800" cy="1837690"/>
                    </a:xfrm>
                    <a:prstGeom prst="rect">
                      <a:avLst/>
                    </a:prstGeom>
                    <a:ln>
                      <a:noFill/>
                    </a:ln>
                    <a:extLst>
                      <a:ext uri="{53640926-AAD7-44D8-BBD7-CCE9431645EC}">
                        <a14:shadowObscured xmlns:a14="http://schemas.microsoft.com/office/drawing/2010/main"/>
                      </a:ext>
                    </a:extLst>
                  </pic:spPr>
                </pic:pic>
              </a:graphicData>
            </a:graphic>
          </wp:inline>
        </w:drawing>
      </w:r>
    </w:p>
    <w:p w14:paraId="3F56FD5B" w14:textId="1CCA4536" w:rsidR="00981457" w:rsidRDefault="00981457" w:rsidP="00981457">
      <w:pPr>
        <w:ind w:left="-1418"/>
        <w:sectPr w:rsidR="00981457" w:rsidSect="00AB0EBF">
          <w:footerReference w:type="default" r:id="rId9"/>
          <w:pgSz w:w="11906" w:h="16838"/>
          <w:pgMar w:top="0" w:right="1440" w:bottom="1440" w:left="1440" w:header="708" w:footer="0" w:gutter="0"/>
          <w:cols w:space="708"/>
          <w:docGrid w:linePitch="360"/>
        </w:sectPr>
      </w:pPr>
    </w:p>
    <w:p w14:paraId="68997DCE" w14:textId="332E6911" w:rsidR="00283F6A" w:rsidRPr="002E6DA0" w:rsidRDefault="008E0CD0" w:rsidP="00804E61">
      <w:pPr>
        <w:pStyle w:val="Heading1"/>
      </w:pPr>
      <w:r w:rsidRPr="002E6DA0">
        <w:t>Publications</w:t>
      </w:r>
      <w:r w:rsidR="00981457">
        <w:t>—</w:t>
      </w:r>
      <w:r w:rsidR="00804E61">
        <w:t>Overview</w:t>
      </w:r>
    </w:p>
    <w:tbl>
      <w:tblPr>
        <w:tblStyle w:val="DefaultTable11"/>
        <w:tblW w:w="5890" w:type="pct"/>
        <w:tblInd w:w="-709" w:type="dxa"/>
        <w:tblLook w:val="04A0" w:firstRow="1" w:lastRow="0" w:firstColumn="1" w:lastColumn="0" w:noHBand="0" w:noVBand="1"/>
        <w:tblDescription w:val="Publications overview"/>
      </w:tblPr>
      <w:tblGrid>
        <w:gridCol w:w="2838"/>
        <w:gridCol w:w="3259"/>
        <w:gridCol w:w="4536"/>
      </w:tblGrid>
      <w:tr w:rsidR="00D94DC1" w:rsidRPr="00654F9E" w14:paraId="44054BDC" w14:textId="77777777" w:rsidTr="00D94DC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4" w:type="pct"/>
          </w:tcPr>
          <w:bookmarkEnd w:id="0"/>
          <w:p w14:paraId="47F8D0B7" w14:textId="79EEDAD6" w:rsidR="00804E61" w:rsidRPr="00804E61" w:rsidRDefault="00804E61" w:rsidP="00804E61">
            <w:pPr>
              <w:pStyle w:val="Tablerowcolumnheading"/>
              <w:rPr>
                <w:b/>
                <w:sz w:val="22"/>
                <w:szCs w:val="22"/>
              </w:rPr>
            </w:pPr>
            <w:r w:rsidRPr="00804E61">
              <w:rPr>
                <w:b/>
                <w:lang w:val="en-US"/>
              </w:rPr>
              <w:t>Classifications</w:t>
            </w:r>
          </w:p>
        </w:tc>
        <w:tc>
          <w:tcPr>
            <w:tcW w:w="1532" w:type="pct"/>
          </w:tcPr>
          <w:p w14:paraId="5D924936" w14:textId="2D436E65" w:rsidR="00804E61" w:rsidRPr="006B4AFF" w:rsidRDefault="00804E61" w:rsidP="00804E61">
            <w:pPr>
              <w:pStyle w:val="Tablerowcolumnheading"/>
              <w:cnfStyle w:val="100000000000" w:firstRow="1" w:lastRow="0" w:firstColumn="0" w:lastColumn="0" w:oddVBand="0" w:evenVBand="0" w:oddHBand="0" w:evenHBand="0" w:firstRowFirstColumn="0" w:firstRowLastColumn="0" w:lastRowFirstColumn="0" w:lastRowLastColumn="0"/>
              <w:rPr>
                <w:b/>
                <w:szCs w:val="22"/>
              </w:rPr>
            </w:pPr>
            <w:r>
              <w:rPr>
                <w:b/>
              </w:rPr>
              <w:t>National Classification Code</w:t>
            </w:r>
            <w:r w:rsidRPr="00FB063A">
              <w:rPr>
                <w:b/>
              </w:rPr>
              <w:t xml:space="preserve"> </w:t>
            </w:r>
            <w:r w:rsidRPr="00FB063A">
              <w:rPr>
                <w:rStyle w:val="FootnoteReference"/>
                <w:rFonts w:asciiTheme="majorHAnsi" w:hAnsiTheme="majorHAnsi" w:cstheme="majorHAnsi"/>
                <w:b/>
              </w:rPr>
              <w:footnoteReference w:id="2"/>
            </w:r>
          </w:p>
        </w:tc>
        <w:tc>
          <w:tcPr>
            <w:tcW w:w="2133" w:type="pct"/>
          </w:tcPr>
          <w:p w14:paraId="2F6BC576" w14:textId="124EB7CF" w:rsidR="00804E61" w:rsidRPr="006B4AFF" w:rsidRDefault="00804E61" w:rsidP="00804E61">
            <w:pPr>
              <w:pStyle w:val="Tablerowcolumnheadingcentred"/>
              <w:cnfStyle w:val="100000000000" w:firstRow="1" w:lastRow="0" w:firstColumn="0" w:lastColumn="0" w:oddVBand="0" w:evenVBand="0" w:oddHBand="0" w:evenHBand="0" w:firstRowFirstColumn="0" w:firstRowLastColumn="0" w:lastRowFirstColumn="0" w:lastRowLastColumn="0"/>
              <w:rPr>
                <w:b/>
                <w:sz w:val="22"/>
                <w:szCs w:val="22"/>
              </w:rPr>
            </w:pPr>
            <w:r w:rsidRPr="00FB063A">
              <w:rPr>
                <w:b/>
              </w:rPr>
              <w:t>Examples</w:t>
            </w:r>
          </w:p>
        </w:tc>
      </w:tr>
      <w:tr w:rsidR="00804E61" w:rsidRPr="00654F9E" w14:paraId="228D9B6A" w14:textId="77777777" w:rsidTr="00D94DC1">
        <w:trPr>
          <w:cantSplit/>
        </w:trPr>
        <w:tc>
          <w:tcPr>
            <w:cnfStyle w:val="001000000000" w:firstRow="0" w:lastRow="0" w:firstColumn="1" w:lastColumn="0" w:oddVBand="0" w:evenVBand="0" w:oddHBand="0" w:evenHBand="0" w:firstRowFirstColumn="0" w:firstRowLastColumn="0" w:lastRowFirstColumn="0" w:lastRowLastColumn="0"/>
            <w:tcW w:w="1334" w:type="pct"/>
          </w:tcPr>
          <w:p w14:paraId="4EC20575" w14:textId="77777777" w:rsidR="00804E61" w:rsidRPr="00FB063A" w:rsidRDefault="00804E61" w:rsidP="00D94DC1">
            <w:pPr>
              <w:keepLines/>
              <w:spacing w:before="20" w:after="20" w:line="276" w:lineRule="auto"/>
              <w:rPr>
                <w:rFonts w:asciiTheme="majorHAnsi" w:hAnsiTheme="majorHAnsi" w:cstheme="majorHAnsi"/>
                <w:i/>
                <w:lang w:val="en-US"/>
              </w:rPr>
            </w:pPr>
            <w:r w:rsidRPr="00FB063A">
              <w:rPr>
                <w:rFonts w:asciiTheme="majorHAnsi" w:hAnsiTheme="majorHAnsi" w:cstheme="majorHAnsi"/>
                <w:i/>
                <w:lang w:val="en-US"/>
              </w:rPr>
              <w:t xml:space="preserve">Category 1 – restricted </w:t>
            </w:r>
          </w:p>
          <w:p w14:paraId="47E17B31" w14:textId="77777777" w:rsidR="00804E61" w:rsidRPr="00FB063A" w:rsidRDefault="00804E61" w:rsidP="00D94DC1">
            <w:pPr>
              <w:keepLines/>
              <w:spacing w:before="20" w:after="20" w:line="276" w:lineRule="auto"/>
              <w:rPr>
                <w:rFonts w:asciiTheme="majorHAnsi" w:hAnsiTheme="majorHAnsi" w:cstheme="majorHAnsi"/>
              </w:rPr>
            </w:pPr>
            <w:r w:rsidRPr="00FB063A">
              <w:rPr>
                <w:rFonts w:asciiTheme="majorHAnsi" w:hAnsiTheme="majorHAnsi" w:cstheme="majorHAnsi"/>
              </w:rPr>
              <w:t xml:space="preserve">Legally restricted to people 18 and over. </w:t>
            </w:r>
          </w:p>
          <w:p w14:paraId="1C8B9169" w14:textId="77777777" w:rsidR="00804E61" w:rsidRPr="00FB063A" w:rsidRDefault="00804E61" w:rsidP="00D94DC1">
            <w:pPr>
              <w:keepLines/>
              <w:spacing w:before="20" w:after="20" w:line="276" w:lineRule="auto"/>
              <w:rPr>
                <w:rFonts w:asciiTheme="majorHAnsi" w:hAnsiTheme="majorHAnsi" w:cstheme="majorHAnsi"/>
              </w:rPr>
            </w:pPr>
            <w:r w:rsidRPr="00FB063A">
              <w:rPr>
                <w:rFonts w:asciiTheme="majorHAnsi" w:hAnsiTheme="majorHAnsi" w:cstheme="majorHAnsi"/>
              </w:rPr>
              <w:t>Cannot be sold in QLD or in certain areas of NT.</w:t>
            </w:r>
          </w:p>
          <w:p w14:paraId="0F4D9BE8" w14:textId="4BD75DBA" w:rsidR="00804E61" w:rsidRPr="00FB063A" w:rsidRDefault="00804E61" w:rsidP="00D94DC1">
            <w:pPr>
              <w:keepLines/>
              <w:spacing w:before="20" w:after="20" w:line="276" w:lineRule="auto"/>
              <w:rPr>
                <w:rFonts w:asciiTheme="majorHAnsi" w:hAnsiTheme="majorHAnsi" w:cstheme="majorHAnsi"/>
              </w:rPr>
            </w:pPr>
            <w:r w:rsidRPr="00FB063A">
              <w:rPr>
                <w:rFonts w:asciiTheme="majorHAnsi" w:hAnsiTheme="majorHAnsi" w:cstheme="majorHAnsi"/>
              </w:rPr>
              <w:t>Material classified ‘Category 1 - Restricted’ must be distributed in a sealed wrapper.</w:t>
            </w:r>
          </w:p>
          <w:p w14:paraId="2F62CBA1" w14:textId="77777777" w:rsidR="00804E61" w:rsidRPr="00FB063A" w:rsidRDefault="00804E61" w:rsidP="00D94DC1">
            <w:pPr>
              <w:keepLines/>
              <w:spacing w:before="20" w:after="20" w:line="276" w:lineRule="auto"/>
              <w:rPr>
                <w:rFonts w:asciiTheme="majorHAnsi" w:hAnsiTheme="majorHAnsi" w:cstheme="majorHAnsi"/>
              </w:rPr>
            </w:pPr>
            <w:r w:rsidRPr="00FB063A">
              <w:rPr>
                <w:rFonts w:asciiTheme="majorHAnsi" w:hAnsiTheme="majorHAnsi" w:cstheme="majorHAnsi"/>
              </w:rPr>
              <w:t>Covers must be suitable for public display. Publications with covers which are considered not suitable for public display will not be permitted in this classification category unless sealed in plain opaque wrapping.</w:t>
            </w:r>
          </w:p>
          <w:p w14:paraId="7574F777" w14:textId="63985510" w:rsidR="00804E61" w:rsidRPr="006B4AFF" w:rsidRDefault="00804E61" w:rsidP="00D94DC1">
            <w:pPr>
              <w:keepLines/>
              <w:spacing w:before="20" w:after="20" w:line="276" w:lineRule="auto"/>
              <w:rPr>
                <w:rFonts w:cs="Calibri"/>
              </w:rPr>
            </w:pPr>
            <w:r w:rsidRPr="00FB063A">
              <w:rPr>
                <w:rFonts w:asciiTheme="majorHAnsi" w:hAnsiTheme="majorHAnsi" w:cstheme="majorHAnsi"/>
              </w:rPr>
              <w:t>The Board determines whether it needs to be sold or delivered in opaque packaging with the classification marking on both the publication and packaging.</w:t>
            </w:r>
          </w:p>
        </w:tc>
        <w:tc>
          <w:tcPr>
            <w:tcW w:w="1532" w:type="pct"/>
          </w:tcPr>
          <w:p w14:paraId="260D0FCF" w14:textId="77777777" w:rsidR="00804E61" w:rsidRPr="00FB063A" w:rsidRDefault="00804E61" w:rsidP="00D94DC1">
            <w:pPr>
              <w:keepLines/>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Publications (except RC publications and Category 2 restricted publications) that:</w:t>
            </w:r>
          </w:p>
          <w:p w14:paraId="5E243F4E" w14:textId="77777777" w:rsidR="00804E61" w:rsidRPr="00FB063A" w:rsidRDefault="00804E61" w:rsidP="00D94DC1">
            <w:pPr>
              <w:pStyle w:val="ListParagraph"/>
              <w:keepLines/>
              <w:numPr>
                <w:ilvl w:val="0"/>
                <w:numId w:val="18"/>
              </w:numPr>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explicitly depict nudity, or describe or impliedly depict sexual or sexually related activity between consenting adults, in a way that is likely to cause offence to a reasonable adult; or</w:t>
            </w:r>
          </w:p>
          <w:p w14:paraId="186D5FC4" w14:textId="77777777" w:rsidR="00804E61" w:rsidRDefault="00804E61" w:rsidP="00D94DC1">
            <w:pPr>
              <w:pStyle w:val="ListParagraph"/>
              <w:keepLines/>
              <w:numPr>
                <w:ilvl w:val="0"/>
                <w:numId w:val="18"/>
              </w:numPr>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describe or express in detail violence or sexual activity between consenting adults in a way that is likely to cause offence to a reasonable adult; or</w:t>
            </w:r>
          </w:p>
          <w:p w14:paraId="00AFA519" w14:textId="04B46AAF" w:rsidR="00804E61" w:rsidRPr="00804E61" w:rsidRDefault="00804E61" w:rsidP="00D94DC1">
            <w:pPr>
              <w:pStyle w:val="ListParagraph"/>
              <w:keepLines/>
              <w:numPr>
                <w:ilvl w:val="0"/>
                <w:numId w:val="18"/>
              </w:numPr>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04E61">
              <w:rPr>
                <w:rFonts w:asciiTheme="majorHAnsi" w:hAnsiTheme="majorHAnsi" w:cstheme="majorHAnsi"/>
              </w:rPr>
              <w:t xml:space="preserve">are unsuitable for a minor to see or read. </w:t>
            </w:r>
          </w:p>
        </w:tc>
        <w:tc>
          <w:tcPr>
            <w:tcW w:w="2133" w:type="pct"/>
          </w:tcPr>
          <w:p w14:paraId="6AB2531A" w14:textId="77777777" w:rsidR="00804E61" w:rsidRPr="00FB063A" w:rsidRDefault="00804E61" w:rsidP="00D94DC1">
            <w:pPr>
              <w:keepLines/>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 xml:space="preserve">Fictitious, stylised, and very detailed descriptions and/or depictions of non-sexual violence is allowed with almost no restriction within an artistic context. Comic books, manga and novels would very rarely exceed what is allowed at a Cat 1 level. </w:t>
            </w:r>
          </w:p>
          <w:p w14:paraId="4A29E9A7" w14:textId="77777777" w:rsidR="00804E61" w:rsidRPr="00FB063A" w:rsidRDefault="00804E61" w:rsidP="00D94DC1">
            <w:pPr>
              <w:keepLines/>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 xml:space="preserve">Detailed descriptions and/or stylised, artistic depictions of nudity, sexualised imagery, and violence. </w:t>
            </w:r>
          </w:p>
          <w:p w14:paraId="19ED1F74" w14:textId="77777777" w:rsidR="00804E61" w:rsidRPr="00FB063A" w:rsidRDefault="00804E61" w:rsidP="00D94DC1">
            <w:pPr>
              <w:keepLines/>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 xml:space="preserve">Real images of nude persons within the context of a magazine but with no depiction of genitals, and only implied sexual activity. </w:t>
            </w:r>
          </w:p>
          <w:p w14:paraId="79D8A4B4" w14:textId="265A85B9" w:rsidR="00804E61" w:rsidRPr="00FB063A" w:rsidRDefault="00804E61" w:rsidP="00D94DC1">
            <w:pPr>
              <w:keepLines/>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Comic book</w:t>
            </w:r>
            <w:r w:rsidR="0067164D">
              <w:rPr>
                <w:rFonts w:asciiTheme="majorHAnsi" w:hAnsiTheme="majorHAnsi" w:cstheme="majorHAnsi"/>
              </w:rPr>
              <w:t>s</w:t>
            </w:r>
            <w:r w:rsidRPr="00FB063A">
              <w:rPr>
                <w:rFonts w:asciiTheme="majorHAnsi" w:hAnsiTheme="majorHAnsi" w:cstheme="majorHAnsi"/>
              </w:rPr>
              <w:t xml:space="preserve"> with sexual content may contain sexual fetishes</w:t>
            </w:r>
            <w:r>
              <w:rPr>
                <w:rFonts w:asciiTheme="majorHAnsi" w:hAnsiTheme="majorHAnsi" w:cstheme="majorHAnsi"/>
              </w:rPr>
              <w:t>.</w:t>
            </w:r>
            <w:r w:rsidRPr="00FB063A">
              <w:rPr>
                <w:rFonts w:asciiTheme="majorHAnsi" w:hAnsiTheme="majorHAnsi" w:cstheme="majorHAnsi"/>
              </w:rPr>
              <w:t xml:space="preserve"> Depiction of genital contact is still not allowed.</w:t>
            </w:r>
          </w:p>
          <w:p w14:paraId="13DA8FF6" w14:textId="76D0A1B2" w:rsidR="00804E61" w:rsidRPr="00FB063A" w:rsidRDefault="00804E61" w:rsidP="00D94DC1">
            <w:pPr>
              <w:keepLines/>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Work</w:t>
            </w:r>
            <w:r w:rsidR="0067164D">
              <w:rPr>
                <w:rFonts w:asciiTheme="majorHAnsi" w:hAnsiTheme="majorHAnsi" w:cstheme="majorHAnsi"/>
              </w:rPr>
              <w:t>s</w:t>
            </w:r>
            <w:r w:rsidRPr="00FB063A">
              <w:rPr>
                <w:rFonts w:asciiTheme="majorHAnsi" w:hAnsiTheme="majorHAnsi" w:cstheme="majorHAnsi"/>
              </w:rPr>
              <w:t xml:space="preserve"> of art can be the exception to the rule in terms of nudity, sexuality and fetishism. Think world famous artists (e.g. Mapplethorpe). </w:t>
            </w:r>
          </w:p>
          <w:p w14:paraId="7F176151" w14:textId="77777777" w:rsidR="00804E61" w:rsidRDefault="00804E61" w:rsidP="00D94DC1">
            <w:pPr>
              <w:keepLines/>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Depictions of real violence is only allowed within the context of photojournalism / informative work or artistic renderings of real events.</w:t>
            </w:r>
          </w:p>
          <w:p w14:paraId="49AEF6D1" w14:textId="3EFD57A3" w:rsidR="00804E61" w:rsidRPr="00FB063A" w:rsidRDefault="00804E61" w:rsidP="00D94DC1">
            <w:pPr>
              <w:keepLines/>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Detailed descriptions of sexual violence in novels or stylised, implied depictions in comic books are allowed. Real depictions of sexual violence are not allowed.</w:t>
            </w:r>
          </w:p>
          <w:p w14:paraId="18A0755C" w14:textId="673C8546" w:rsidR="00804E61" w:rsidRPr="00FB063A" w:rsidRDefault="00804E61" w:rsidP="00D94DC1">
            <w:pPr>
              <w:keepLines/>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Rule of thumb: real depiction is unlikely to be allowed in this category, unless in non-fiction or novel, or work of art.</w:t>
            </w:r>
          </w:p>
          <w:p w14:paraId="5EC31353" w14:textId="77777777" w:rsidR="00804E61" w:rsidRDefault="00804E61" w:rsidP="00D94DC1">
            <w:pPr>
              <w:keepLines/>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04E61">
              <w:rPr>
                <w:rFonts w:asciiTheme="majorHAnsi" w:hAnsiTheme="majorHAnsi" w:cstheme="majorHAnsi"/>
                <w:b/>
              </w:rPr>
              <w:t>Mitigating factors</w:t>
            </w:r>
            <w:r w:rsidRPr="00FB063A">
              <w:rPr>
                <w:rFonts w:asciiTheme="majorHAnsi" w:hAnsiTheme="majorHAnsi" w:cstheme="majorHAnsi"/>
              </w:rPr>
              <w:t>: stylised depictions (drawings, comic book, manga illustrations, written words only etc.), tone (humour, satire, artistic merits), treatment (informative, artistic etc.). All will tend to keep to Cat 1 or unrestricted.</w:t>
            </w:r>
          </w:p>
          <w:p w14:paraId="7CC94D3C" w14:textId="77777777" w:rsidR="00804E61" w:rsidRPr="00FB063A" w:rsidRDefault="00804E61" w:rsidP="00D94DC1">
            <w:pPr>
              <w:keepLines/>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 xml:space="preserve">Exceptions always possible. </w:t>
            </w:r>
          </w:p>
          <w:p w14:paraId="23468951" w14:textId="65621760" w:rsidR="00804E61" w:rsidRPr="006B4AFF" w:rsidRDefault="00804E61" w:rsidP="00D94DC1">
            <w:pPr>
              <w:pStyle w:val="Tabletext"/>
              <w:keepLines/>
              <w:spacing w:before="20" w:after="20"/>
              <w:cnfStyle w:val="000000000000" w:firstRow="0" w:lastRow="0" w:firstColumn="0" w:lastColumn="0" w:oddVBand="0" w:evenVBand="0" w:oddHBand="0" w:evenHBand="0" w:firstRowFirstColumn="0" w:firstRowLastColumn="0" w:lastRowFirstColumn="0" w:lastRowLastColumn="0"/>
              <w:rPr>
                <w:rFonts w:cs="Calibri"/>
              </w:rPr>
            </w:pPr>
            <w:r w:rsidRPr="00804E61">
              <w:rPr>
                <w:rFonts w:asciiTheme="majorHAnsi" w:hAnsiTheme="majorHAnsi" w:cstheme="majorHAnsi"/>
                <w:b/>
              </w:rPr>
              <w:t>Contributing factors</w:t>
            </w:r>
            <w:r w:rsidRPr="00FB063A">
              <w:rPr>
                <w:rFonts w:asciiTheme="majorHAnsi" w:hAnsiTheme="majorHAnsi" w:cstheme="majorHAnsi"/>
              </w:rPr>
              <w:t>: real-life images; extremely detailed descriptions or real-life depictions; publications instructing or promoting criminal actions or activities.  All will tend to push to Cat 2 or RC</w:t>
            </w:r>
            <w:r w:rsidR="00D94DC1">
              <w:rPr>
                <w:rFonts w:asciiTheme="majorHAnsi" w:hAnsiTheme="majorHAnsi" w:cstheme="majorHAnsi"/>
              </w:rPr>
              <w:t>.</w:t>
            </w:r>
          </w:p>
        </w:tc>
      </w:tr>
      <w:tr w:rsidR="00804E61" w:rsidRPr="00654F9E" w14:paraId="44090469" w14:textId="77777777" w:rsidTr="00D94DC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4" w:type="pct"/>
          </w:tcPr>
          <w:p w14:paraId="19209CE1" w14:textId="77777777" w:rsidR="00804E61" w:rsidRPr="00FB063A" w:rsidRDefault="00804E61" w:rsidP="00804E61">
            <w:pPr>
              <w:spacing w:before="20" w:after="20" w:line="276" w:lineRule="auto"/>
              <w:rPr>
                <w:rFonts w:asciiTheme="majorHAnsi" w:hAnsiTheme="majorHAnsi" w:cstheme="majorHAnsi"/>
                <w:i/>
                <w:lang w:val="en-US"/>
              </w:rPr>
            </w:pPr>
            <w:r w:rsidRPr="00FB063A">
              <w:rPr>
                <w:rFonts w:asciiTheme="majorHAnsi" w:hAnsiTheme="majorHAnsi" w:cstheme="majorHAnsi"/>
                <w:i/>
                <w:lang w:val="en-US"/>
              </w:rPr>
              <w:lastRenderedPageBreak/>
              <w:t>Category 2 – restricted</w:t>
            </w:r>
          </w:p>
          <w:p w14:paraId="1021B016" w14:textId="77777777" w:rsidR="00804E61" w:rsidRPr="00FB063A" w:rsidRDefault="00804E61" w:rsidP="00804E61">
            <w:pPr>
              <w:spacing w:before="20" w:after="20" w:line="276" w:lineRule="auto"/>
              <w:rPr>
                <w:rFonts w:asciiTheme="majorHAnsi" w:hAnsiTheme="majorHAnsi" w:cstheme="majorHAnsi"/>
              </w:rPr>
            </w:pPr>
            <w:r w:rsidRPr="00FB063A">
              <w:rPr>
                <w:rFonts w:asciiTheme="majorHAnsi" w:hAnsiTheme="majorHAnsi" w:cstheme="majorHAnsi"/>
              </w:rPr>
              <w:t xml:space="preserve">Legally restricted to people 18 and over. Cannot be sold in QLD or in certain areas of NT. </w:t>
            </w:r>
          </w:p>
          <w:p w14:paraId="2C0B7F29" w14:textId="77777777" w:rsidR="00804E61" w:rsidRDefault="00804E61" w:rsidP="00804E61">
            <w:pPr>
              <w:spacing w:before="20" w:after="20" w:line="276" w:lineRule="auto"/>
              <w:rPr>
                <w:rFonts w:asciiTheme="majorHAnsi" w:hAnsiTheme="majorHAnsi" w:cstheme="majorHAnsi"/>
              </w:rPr>
            </w:pPr>
            <w:r w:rsidRPr="00FB063A">
              <w:rPr>
                <w:rFonts w:asciiTheme="majorHAnsi" w:hAnsiTheme="majorHAnsi" w:cstheme="majorHAnsi"/>
              </w:rPr>
              <w:t>Must be sold or delivered in packaging with the marking displayed prominently.</w:t>
            </w:r>
          </w:p>
          <w:p w14:paraId="12A19C99" w14:textId="7DC7DA11" w:rsidR="00804E61" w:rsidRDefault="00804E61" w:rsidP="00804E61">
            <w:pPr>
              <w:spacing w:before="20" w:after="20" w:line="276" w:lineRule="auto"/>
              <w:rPr>
                <w:rFonts w:asciiTheme="majorHAnsi" w:hAnsiTheme="majorHAnsi" w:cstheme="majorHAnsi"/>
              </w:rPr>
            </w:pPr>
            <w:r w:rsidRPr="00FB063A">
              <w:rPr>
                <w:rFonts w:asciiTheme="majorHAnsi" w:hAnsiTheme="majorHAnsi" w:cstheme="majorHAnsi"/>
              </w:rPr>
              <w:t xml:space="preserve">In TAS &amp; WA publications can be displayed for sale in general outlets </w:t>
            </w:r>
            <w:r w:rsidR="0067164D">
              <w:rPr>
                <w:rFonts w:asciiTheme="majorHAnsi" w:hAnsiTheme="majorHAnsi" w:cstheme="majorHAnsi"/>
              </w:rPr>
              <w:t>if</w:t>
            </w:r>
            <w:r w:rsidRPr="00FB063A">
              <w:rPr>
                <w:rFonts w:asciiTheme="majorHAnsi" w:hAnsiTheme="majorHAnsi" w:cstheme="majorHAnsi"/>
              </w:rPr>
              <w:t xml:space="preserve"> they are in sealed wrapping.</w:t>
            </w:r>
          </w:p>
          <w:p w14:paraId="2D900282" w14:textId="157D4F8E" w:rsidR="00804E61" w:rsidRPr="006B4AFF" w:rsidRDefault="00804E61" w:rsidP="00804E61">
            <w:pPr>
              <w:pStyle w:val="Tabletext"/>
              <w:spacing w:before="20" w:after="20"/>
              <w:rPr>
                <w:rFonts w:cs="Calibri"/>
              </w:rPr>
            </w:pPr>
            <w:r w:rsidRPr="00FB063A">
              <w:rPr>
                <w:rFonts w:asciiTheme="majorHAnsi" w:hAnsiTheme="majorHAnsi" w:cstheme="majorHAnsi"/>
              </w:rPr>
              <w:t>Material classified ‘Category 2 - Restricted’ may not be publicly displayed and may only be displayed in premises that are restricted to adults.</w:t>
            </w:r>
          </w:p>
        </w:tc>
        <w:tc>
          <w:tcPr>
            <w:tcW w:w="1532" w:type="pct"/>
          </w:tcPr>
          <w:p w14:paraId="0361C13F" w14:textId="77777777" w:rsidR="00804E61" w:rsidRPr="00FB063A" w:rsidRDefault="00804E61" w:rsidP="00804E61">
            <w:pPr>
              <w:spacing w:before="20" w:after="2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FB063A">
              <w:rPr>
                <w:rFonts w:asciiTheme="majorHAnsi" w:hAnsiTheme="majorHAnsi" w:cstheme="majorHAnsi"/>
              </w:rPr>
              <w:t>Publications (except RC publications) that:</w:t>
            </w:r>
          </w:p>
          <w:p w14:paraId="65306506" w14:textId="66709B4D" w:rsidR="0067164D" w:rsidRPr="00FB063A" w:rsidRDefault="00804E61" w:rsidP="00804E61">
            <w:pPr>
              <w:pStyle w:val="ListParagraph"/>
              <w:numPr>
                <w:ilvl w:val="0"/>
                <w:numId w:val="17"/>
              </w:numPr>
              <w:spacing w:before="20" w:after="2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FB063A">
              <w:rPr>
                <w:rFonts w:asciiTheme="majorHAnsi" w:hAnsiTheme="majorHAnsi" w:cstheme="majorHAnsi"/>
              </w:rPr>
              <w:t>explicitly depict sexual or sexually related activity between consenting adults in a way that is likely to cause offence to a reasonable adult; or</w:t>
            </w:r>
          </w:p>
          <w:p w14:paraId="3034B3FB" w14:textId="0F61EB73" w:rsidR="00804E61" w:rsidRPr="0067164D" w:rsidRDefault="00804E61" w:rsidP="00A73B42">
            <w:pPr>
              <w:pStyle w:val="ListParagraph"/>
              <w:numPr>
                <w:ilvl w:val="0"/>
                <w:numId w:val="17"/>
              </w:numPr>
              <w:spacing w:before="20" w:after="20" w:line="276" w:lineRule="auto"/>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A73B42">
              <w:rPr>
                <w:rFonts w:asciiTheme="majorHAnsi" w:hAnsiTheme="majorHAnsi" w:cstheme="majorHAnsi"/>
              </w:rPr>
              <w:t>depict, describe or express revolting or abhorrent phenomena in a way that is likely to cause offence to a reasonable adult and are unsuitable for a minor to see or read.</w:t>
            </w:r>
          </w:p>
        </w:tc>
        <w:tc>
          <w:tcPr>
            <w:tcW w:w="2133" w:type="pct"/>
          </w:tcPr>
          <w:p w14:paraId="1AF3383A" w14:textId="0902B669" w:rsidR="00804E61" w:rsidRPr="00FB063A" w:rsidRDefault="00804E61" w:rsidP="00804E61">
            <w:pPr>
              <w:spacing w:before="20" w:after="2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FB063A">
              <w:rPr>
                <w:rFonts w:asciiTheme="majorHAnsi" w:hAnsiTheme="majorHAnsi" w:cstheme="majorHAnsi"/>
              </w:rPr>
              <w:t xml:space="preserve">Any depictions that can potentially offend some large sections of the adult community and are unsuitable for a minor to see or read. </w:t>
            </w:r>
          </w:p>
          <w:p w14:paraId="20DA2F5A" w14:textId="481CA107" w:rsidR="00804E61" w:rsidRPr="002C1DE1" w:rsidRDefault="00804E61" w:rsidP="00804E61">
            <w:pPr>
              <w:spacing w:before="20" w:after="2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FB063A">
              <w:rPr>
                <w:rFonts w:asciiTheme="majorHAnsi" w:hAnsiTheme="majorHAnsi" w:cstheme="majorHAnsi"/>
              </w:rPr>
              <w:t xml:space="preserve">Detailed nudity and depictions of explicit sexual activity between consenting adults are allowed, </w:t>
            </w:r>
            <w:r w:rsidRPr="002C1DE1">
              <w:rPr>
                <w:rFonts w:asciiTheme="majorHAnsi" w:hAnsiTheme="majorHAnsi" w:cstheme="majorHAnsi"/>
              </w:rPr>
              <w:t>including genital detail.</w:t>
            </w:r>
          </w:p>
          <w:p w14:paraId="6D57511B" w14:textId="77777777" w:rsidR="00804E61" w:rsidRPr="002C1DE1" w:rsidRDefault="00804E61" w:rsidP="00804E61">
            <w:pPr>
              <w:spacing w:before="20" w:after="2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2C1DE1">
              <w:rPr>
                <w:rFonts w:asciiTheme="majorHAnsi" w:hAnsiTheme="majorHAnsi" w:cstheme="majorHAnsi"/>
              </w:rPr>
              <w:t>Depictions of sexual violence should not be detailed</w:t>
            </w:r>
            <w:r>
              <w:rPr>
                <w:rFonts w:asciiTheme="majorHAnsi" w:hAnsiTheme="majorHAnsi" w:cstheme="majorHAnsi"/>
              </w:rPr>
              <w:t xml:space="preserve">; stylised implied depictions of sexual violence are allowed e.g. sexual violence between one or more individuals. </w:t>
            </w:r>
          </w:p>
          <w:p w14:paraId="08BCF645" w14:textId="7DB44058" w:rsidR="00804E61" w:rsidRPr="006B4AFF" w:rsidRDefault="00804E61" w:rsidP="00804E61">
            <w:pPr>
              <w:pStyle w:val="Tabletext"/>
              <w:spacing w:before="20" w:after="20"/>
              <w:cnfStyle w:val="000000010000" w:firstRow="0" w:lastRow="0" w:firstColumn="0" w:lastColumn="0" w:oddVBand="0" w:evenVBand="0" w:oddHBand="0" w:evenHBand="1" w:firstRowFirstColumn="0" w:firstRowLastColumn="0" w:lastRowFirstColumn="0" w:lastRowLastColumn="0"/>
              <w:rPr>
                <w:rFonts w:cs="Calibri"/>
              </w:rPr>
            </w:pPr>
          </w:p>
        </w:tc>
      </w:tr>
      <w:tr w:rsidR="00804E61" w:rsidRPr="00654F9E" w14:paraId="5E87DDC7" w14:textId="77777777" w:rsidTr="00D94DC1">
        <w:trPr>
          <w:cantSplit/>
        </w:trPr>
        <w:tc>
          <w:tcPr>
            <w:cnfStyle w:val="001000000000" w:firstRow="0" w:lastRow="0" w:firstColumn="1" w:lastColumn="0" w:oddVBand="0" w:evenVBand="0" w:oddHBand="0" w:evenHBand="0" w:firstRowFirstColumn="0" w:firstRowLastColumn="0" w:lastRowFirstColumn="0" w:lastRowLastColumn="0"/>
            <w:tcW w:w="1334" w:type="pct"/>
          </w:tcPr>
          <w:p w14:paraId="34ECB616" w14:textId="77777777" w:rsidR="00804E61" w:rsidRPr="00FB063A" w:rsidRDefault="00804E61" w:rsidP="00D94DC1">
            <w:pPr>
              <w:spacing w:before="20" w:after="20" w:line="276" w:lineRule="auto"/>
              <w:rPr>
                <w:rFonts w:asciiTheme="majorHAnsi" w:hAnsiTheme="majorHAnsi" w:cstheme="majorHAnsi"/>
                <w:i/>
                <w:lang w:val="en-US"/>
              </w:rPr>
            </w:pPr>
            <w:r w:rsidRPr="00FB063A">
              <w:rPr>
                <w:rFonts w:asciiTheme="majorHAnsi" w:hAnsiTheme="majorHAnsi" w:cstheme="majorHAnsi"/>
                <w:i/>
                <w:lang w:val="en-US"/>
              </w:rPr>
              <w:t>Refused Classification (RC)</w:t>
            </w:r>
          </w:p>
          <w:p w14:paraId="6CF55440" w14:textId="77777777" w:rsidR="00804E61" w:rsidRPr="00FB063A" w:rsidRDefault="00804E61" w:rsidP="00D94DC1">
            <w:pPr>
              <w:spacing w:before="20" w:after="20" w:line="276" w:lineRule="auto"/>
              <w:rPr>
                <w:rFonts w:asciiTheme="majorHAnsi" w:hAnsiTheme="majorHAnsi" w:cstheme="majorHAnsi"/>
              </w:rPr>
            </w:pPr>
            <w:r w:rsidRPr="00FB063A">
              <w:rPr>
                <w:rFonts w:asciiTheme="majorHAnsi" w:hAnsiTheme="majorHAnsi" w:cstheme="majorHAnsi"/>
              </w:rPr>
              <w:t xml:space="preserve">Cannot be hired or sold in Australia. </w:t>
            </w:r>
          </w:p>
          <w:p w14:paraId="28FB1BD1" w14:textId="22DED438" w:rsidR="00804E61" w:rsidRPr="006B4AFF" w:rsidRDefault="00804E61" w:rsidP="00D94DC1">
            <w:pPr>
              <w:pStyle w:val="Tabletext"/>
              <w:spacing w:before="20" w:after="20"/>
              <w:rPr>
                <w:rFonts w:cs="Calibri"/>
              </w:rPr>
            </w:pPr>
            <w:r w:rsidRPr="00FB063A">
              <w:rPr>
                <w:rFonts w:asciiTheme="majorHAnsi" w:hAnsiTheme="majorHAnsi" w:cstheme="majorHAnsi"/>
              </w:rPr>
              <w:t>Material classified as RC contains content that is outside generally accepted community standards and exceeds what can be included in the 18+ categories.</w:t>
            </w:r>
          </w:p>
        </w:tc>
        <w:tc>
          <w:tcPr>
            <w:tcW w:w="1532" w:type="pct"/>
          </w:tcPr>
          <w:p w14:paraId="59803179" w14:textId="77777777" w:rsidR="00804E61" w:rsidRPr="00FB063A" w:rsidRDefault="00804E61" w:rsidP="00D94DC1">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Publications that:</w:t>
            </w:r>
          </w:p>
          <w:p w14:paraId="25F6D396" w14:textId="77777777" w:rsidR="00804E61" w:rsidRPr="00FB063A" w:rsidRDefault="00804E61" w:rsidP="00D94DC1">
            <w:pPr>
              <w:pStyle w:val="ListParagraph"/>
              <w:numPr>
                <w:ilvl w:val="0"/>
                <w:numId w:val="15"/>
              </w:numPr>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describe, depict, express or otherwise deal with matters of sex, drug misuse or addiction, crime, cruelty, violence or revolting or abhorrent phenomena in such a way that they offend against the standards of morality, decency and propriety generally accepted by reasonable adults to the extent that they should not be classified; or</w:t>
            </w:r>
          </w:p>
          <w:p w14:paraId="091FF929" w14:textId="77777777" w:rsidR="00804E61" w:rsidRPr="00FB063A" w:rsidRDefault="00804E61" w:rsidP="00D94DC1">
            <w:pPr>
              <w:pStyle w:val="ListParagraph"/>
              <w:numPr>
                <w:ilvl w:val="0"/>
                <w:numId w:val="15"/>
              </w:numPr>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describe or depict in a way that is likely to cause offence to a reasonable adult, a person who is, or appears to be, a child under 18 (whether the person is engaged in sexual activity or not); or</w:t>
            </w:r>
          </w:p>
          <w:p w14:paraId="46B75352" w14:textId="7CF97DBC" w:rsidR="00804E61" w:rsidRPr="006B4AFF" w:rsidRDefault="00804E61" w:rsidP="00D94DC1">
            <w:pPr>
              <w:pStyle w:val="ListParagraph"/>
              <w:numPr>
                <w:ilvl w:val="0"/>
                <w:numId w:val="15"/>
              </w:num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B063A">
              <w:rPr>
                <w:rFonts w:asciiTheme="majorHAnsi" w:hAnsiTheme="majorHAnsi" w:cstheme="majorHAnsi"/>
              </w:rPr>
              <w:t>promote, incite or instruct in matters of crime or violence.</w:t>
            </w:r>
          </w:p>
        </w:tc>
        <w:tc>
          <w:tcPr>
            <w:tcW w:w="2133" w:type="pct"/>
          </w:tcPr>
          <w:p w14:paraId="43917661" w14:textId="15F41E64" w:rsidR="00804E61" w:rsidRPr="00FB063A" w:rsidRDefault="00804E61" w:rsidP="00D94DC1">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Any material considered to be offensive (cause extreme disgust – likely to offend most people) and or exploitative (purposefully debase or abuse for the enjoyment of the readers, and lacking moral, artistic or other values.)</w:t>
            </w:r>
          </w:p>
          <w:p w14:paraId="01BA7A6A" w14:textId="16FC913D" w:rsidR="00804E61" w:rsidRPr="00FB063A" w:rsidRDefault="00804E61" w:rsidP="00D94DC1">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 xml:space="preserve">Manuals, magazines, novels, manga or comic books instructing and/or promoting terrorism, or depicting real violence, real sexual violence, or including sexualised depictions of a person under 18, or normalising abhorrent and illegal activities such as paedophilia, are </w:t>
            </w:r>
            <w:r>
              <w:rPr>
                <w:rFonts w:asciiTheme="majorHAnsi" w:hAnsiTheme="majorHAnsi" w:cstheme="majorHAnsi"/>
              </w:rPr>
              <w:t>RC.</w:t>
            </w:r>
          </w:p>
          <w:p w14:paraId="69F6DF11" w14:textId="77777777" w:rsidR="00804E61" w:rsidRPr="00FB063A" w:rsidRDefault="00804E61" w:rsidP="00D94DC1">
            <w:pPr>
              <w:spacing w:before="20" w:after="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FB063A">
              <w:rPr>
                <w:rFonts w:asciiTheme="majorHAnsi" w:hAnsiTheme="majorHAnsi" w:cstheme="majorHAnsi"/>
                <w:i/>
              </w:rPr>
              <w:t>Examples:</w:t>
            </w:r>
          </w:p>
          <w:p w14:paraId="103E9BC0" w14:textId="77777777" w:rsidR="00804E61" w:rsidRPr="00FB063A" w:rsidRDefault="00804E61" w:rsidP="00D94DC1">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B063A">
              <w:rPr>
                <w:rFonts w:asciiTheme="majorHAnsi" w:hAnsiTheme="majorHAnsi" w:cstheme="majorHAnsi"/>
              </w:rPr>
              <w:t xml:space="preserve">Descriptions of sexual activity involving minors, sexualised nudity involving minors and incest fantasies. </w:t>
            </w:r>
          </w:p>
          <w:p w14:paraId="1D0233FA" w14:textId="6197BCDD" w:rsidR="00804E61" w:rsidRPr="00D94DC1" w:rsidRDefault="00D94DC1" w:rsidP="00D94DC1">
            <w:pPr>
              <w:spacing w:before="20" w:after="20" w:line="276" w:lineRule="auto"/>
              <w:cnfStyle w:val="000000000000" w:firstRow="0" w:lastRow="0" w:firstColumn="0" w:lastColumn="0" w:oddVBand="0" w:evenVBand="0" w:oddHBand="0" w:evenHBand="0" w:firstRowFirstColumn="0" w:firstRowLastColumn="0" w:lastRowFirstColumn="0" w:lastRowLastColumn="0"/>
              <w:rPr>
                <w:rFonts w:cs="Calibri"/>
              </w:rPr>
            </w:pPr>
            <w:r>
              <w:rPr>
                <w:rFonts w:asciiTheme="majorHAnsi" w:hAnsiTheme="majorHAnsi" w:cstheme="majorHAnsi"/>
              </w:rPr>
              <w:t>D</w:t>
            </w:r>
            <w:r w:rsidR="00804E61" w:rsidRPr="00FB063A">
              <w:rPr>
                <w:rFonts w:asciiTheme="majorHAnsi" w:hAnsiTheme="majorHAnsi" w:cstheme="majorHAnsi"/>
              </w:rPr>
              <w:t>etailed depictions and instructions of drug use are not allowed.</w:t>
            </w:r>
          </w:p>
        </w:tc>
      </w:tr>
      <w:tr w:rsidR="00804E61" w:rsidRPr="00654F9E" w14:paraId="3ADAD5D2" w14:textId="77777777" w:rsidTr="00D94DC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4" w:type="pct"/>
          </w:tcPr>
          <w:p w14:paraId="3F90DDAF" w14:textId="77777777" w:rsidR="00804E61" w:rsidRPr="00FB063A" w:rsidRDefault="00804E61" w:rsidP="00804E61">
            <w:pPr>
              <w:spacing w:before="20" w:after="20" w:line="276" w:lineRule="auto"/>
              <w:rPr>
                <w:rFonts w:asciiTheme="majorHAnsi" w:hAnsiTheme="majorHAnsi" w:cstheme="majorHAnsi"/>
                <w:i/>
                <w:lang w:val="en-US"/>
              </w:rPr>
            </w:pPr>
            <w:r w:rsidRPr="00FB063A">
              <w:rPr>
                <w:rFonts w:asciiTheme="majorHAnsi" w:hAnsiTheme="majorHAnsi" w:cstheme="majorHAnsi"/>
                <w:i/>
                <w:lang w:val="en-US"/>
              </w:rPr>
              <w:lastRenderedPageBreak/>
              <w:t>Unrestricted</w:t>
            </w:r>
          </w:p>
          <w:p w14:paraId="0520D382" w14:textId="6606FCAF" w:rsidR="00804E61" w:rsidRPr="00FB063A" w:rsidRDefault="00804E61" w:rsidP="00804E61">
            <w:pPr>
              <w:spacing w:before="20" w:after="20" w:line="276" w:lineRule="auto"/>
              <w:rPr>
                <w:rFonts w:asciiTheme="majorHAnsi" w:hAnsiTheme="majorHAnsi" w:cstheme="majorHAnsi"/>
                <w:lang w:val="en-US"/>
              </w:rPr>
            </w:pPr>
            <w:r w:rsidRPr="00FB063A">
              <w:rPr>
                <w:rFonts w:asciiTheme="majorHAnsi" w:hAnsiTheme="majorHAnsi" w:cstheme="majorHAnsi"/>
                <w:lang w:val="en-US"/>
              </w:rPr>
              <w:t xml:space="preserve">The Board may determine that a publication does not warrant restriction to adults. Such publications are classified ‘Unrestricted’. </w:t>
            </w:r>
          </w:p>
          <w:p w14:paraId="6EDF8D8A" w14:textId="77777777" w:rsidR="00804E61" w:rsidRPr="00FB063A" w:rsidRDefault="00804E61" w:rsidP="00804E61">
            <w:pPr>
              <w:spacing w:before="20" w:after="20" w:line="276" w:lineRule="auto"/>
              <w:rPr>
                <w:rFonts w:asciiTheme="majorHAnsi" w:hAnsiTheme="majorHAnsi" w:cstheme="majorHAnsi"/>
                <w:lang w:val="en-US"/>
              </w:rPr>
            </w:pPr>
            <w:r w:rsidRPr="00FB063A">
              <w:rPr>
                <w:rFonts w:asciiTheme="majorHAnsi" w:hAnsiTheme="majorHAnsi" w:cstheme="majorHAnsi"/>
              </w:rPr>
              <w:t>The ‘Unrestricted’ classification encompasses a wide range of material. It is not likely to include material that offends a reasonable adult to the extent that it should be restricted.</w:t>
            </w:r>
          </w:p>
          <w:p w14:paraId="29859D9B" w14:textId="3518B97D" w:rsidR="00804E61" w:rsidRPr="00FB063A" w:rsidRDefault="00804E61" w:rsidP="00804E61">
            <w:pPr>
              <w:spacing w:before="20" w:after="20" w:line="276" w:lineRule="auto"/>
              <w:rPr>
                <w:rFonts w:asciiTheme="majorHAnsi" w:hAnsiTheme="majorHAnsi" w:cstheme="majorHAnsi"/>
                <w:lang w:val="en-US"/>
              </w:rPr>
            </w:pPr>
            <w:r w:rsidRPr="00FB063A">
              <w:rPr>
                <w:rFonts w:asciiTheme="majorHAnsi" w:hAnsiTheme="majorHAnsi" w:cstheme="majorHAnsi"/>
                <w:lang w:val="en-US"/>
              </w:rPr>
              <w:t>Some publications classified ‘Unrestricted’ may not be recommended for readers under 15 years of age.</w:t>
            </w:r>
          </w:p>
          <w:p w14:paraId="4A4AF4FD" w14:textId="1F2EEB56" w:rsidR="00804E61" w:rsidRPr="00D94DC1" w:rsidRDefault="00804E61" w:rsidP="00D94DC1">
            <w:pPr>
              <w:spacing w:before="20" w:after="20" w:line="276" w:lineRule="auto"/>
              <w:rPr>
                <w:rFonts w:asciiTheme="majorHAnsi" w:hAnsiTheme="majorHAnsi" w:cstheme="majorHAnsi"/>
                <w:lang w:val="en-US"/>
              </w:rPr>
            </w:pPr>
            <w:r w:rsidRPr="00FB063A">
              <w:rPr>
                <w:rFonts w:asciiTheme="majorHAnsi" w:hAnsiTheme="majorHAnsi" w:cstheme="majorHAnsi"/>
                <w:lang w:val="en-US"/>
              </w:rPr>
              <w:t>The Board can add a consumer advice of “M - not recommended for under 15.” If in the Board’s view the content warrants a mature perspective. Publications with this consumer advice are NOT legally restricted.</w:t>
            </w:r>
          </w:p>
        </w:tc>
        <w:tc>
          <w:tcPr>
            <w:tcW w:w="1532" w:type="pct"/>
          </w:tcPr>
          <w:p w14:paraId="39C0CDEB" w14:textId="1090CA2D" w:rsidR="00804E61" w:rsidRPr="00FB063A" w:rsidRDefault="00804E61" w:rsidP="00804E61">
            <w:pPr>
              <w:spacing w:before="20" w:after="2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FB063A">
              <w:rPr>
                <w:rFonts w:asciiTheme="majorHAnsi" w:hAnsiTheme="majorHAnsi" w:cstheme="majorHAnsi"/>
              </w:rPr>
              <w:t>All other publications.</w:t>
            </w:r>
          </w:p>
          <w:p w14:paraId="4077AF0A" w14:textId="744E2F3B" w:rsidR="00804E61" w:rsidRPr="00FB063A" w:rsidRDefault="00804E61" w:rsidP="00804E61">
            <w:pPr>
              <w:spacing w:before="20" w:after="2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FB063A">
              <w:rPr>
                <w:rFonts w:asciiTheme="majorHAnsi" w:hAnsiTheme="majorHAnsi" w:cstheme="majorHAnsi"/>
              </w:rPr>
              <w:t>Generally, descriptions and depictions of classifiable elements in publications classified ‘Unrestricted’ may contain some detail. However, the impact will not be so strong as to require legal restriction. The impact of covers of ‘Unrestricted’ publications will be low.</w:t>
            </w:r>
          </w:p>
          <w:p w14:paraId="1C4F08C7" w14:textId="494855A7" w:rsidR="00804E61" w:rsidRPr="00FB063A" w:rsidRDefault="00804E61" w:rsidP="00804E61">
            <w:pPr>
              <w:spacing w:before="20" w:after="2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FB063A">
              <w:rPr>
                <w:rFonts w:asciiTheme="majorHAnsi" w:hAnsiTheme="majorHAnsi" w:cstheme="majorHAnsi"/>
              </w:rPr>
              <w:t>Publications which emphasise both violence and sexual activity and/or nudity will not be permitted in this classification category. Publications which deal with sexual matters and/or nudity should not be exploitative.</w:t>
            </w:r>
          </w:p>
          <w:p w14:paraId="5601FCB6" w14:textId="770ACF4A" w:rsidR="00804E61" w:rsidRPr="00FB063A" w:rsidRDefault="00804E61" w:rsidP="00804E61">
            <w:pPr>
              <w:spacing w:before="20" w:after="2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FB063A">
              <w:rPr>
                <w:rFonts w:asciiTheme="majorHAnsi" w:hAnsiTheme="majorHAnsi" w:cstheme="majorHAnsi"/>
              </w:rPr>
              <w:t>Covers must be suitable for display in public. The impact of any descriptions, depictions and references on covers should be low. Publications with covers which are not suitable for public display will not be permitted in the ‘Unrestricted’ category.</w:t>
            </w:r>
          </w:p>
          <w:p w14:paraId="2548A30B" w14:textId="77777777" w:rsidR="00804E61" w:rsidRPr="00FB063A" w:rsidRDefault="00804E61" w:rsidP="00804E61">
            <w:pPr>
              <w:spacing w:before="20" w:after="2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FB063A">
              <w:rPr>
                <w:rFonts w:asciiTheme="majorHAnsi" w:hAnsiTheme="majorHAnsi" w:cstheme="majorHAnsi"/>
              </w:rPr>
              <w:t>Bona fide artworks which may offend some sections of the adult community may be classified ‘Unrestricted’ when authentically set in a particular historical or cultural context.</w:t>
            </w:r>
          </w:p>
          <w:p w14:paraId="78A7600E" w14:textId="77777777" w:rsidR="00804E61" w:rsidRPr="006B4AFF" w:rsidRDefault="00804E61" w:rsidP="00804E61">
            <w:pPr>
              <w:spacing w:before="20" w:after="2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2133" w:type="pct"/>
          </w:tcPr>
          <w:p w14:paraId="38A55C83" w14:textId="6EA39710" w:rsidR="00804E61" w:rsidRPr="006B4AFF" w:rsidRDefault="00804E61" w:rsidP="00804E61">
            <w:pPr>
              <w:spacing w:before="20" w:after="20"/>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FB063A">
              <w:rPr>
                <w:rFonts w:asciiTheme="majorHAnsi" w:hAnsiTheme="majorHAnsi" w:cstheme="majorHAnsi"/>
              </w:rPr>
              <w:t xml:space="preserve">The overwhelming majority of publications.  </w:t>
            </w:r>
          </w:p>
        </w:tc>
      </w:tr>
      <w:bookmarkEnd w:id="1"/>
    </w:tbl>
    <w:p w14:paraId="6BBD8EEA" w14:textId="77777777" w:rsidR="00804E61" w:rsidRPr="00E47A50" w:rsidRDefault="00804E61" w:rsidP="006B4AFF"/>
    <w:sectPr w:rsidR="00804E61" w:rsidRPr="00E47A50" w:rsidSect="00804E61">
      <w:type w:val="continuous"/>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EB0E8" w14:textId="77777777" w:rsidR="00CA5B3D" w:rsidRDefault="00CA5B3D" w:rsidP="008E0CD0">
      <w:pPr>
        <w:spacing w:after="0" w:line="240" w:lineRule="auto"/>
      </w:pPr>
      <w:r>
        <w:separator/>
      </w:r>
    </w:p>
  </w:endnote>
  <w:endnote w:type="continuationSeparator" w:id="0">
    <w:p w14:paraId="2A8E48E3" w14:textId="77777777" w:rsidR="00CA5B3D" w:rsidRDefault="00CA5B3D" w:rsidP="008E0CD0">
      <w:pPr>
        <w:spacing w:after="0" w:line="240" w:lineRule="auto"/>
      </w:pPr>
      <w:r>
        <w:continuationSeparator/>
      </w:r>
    </w:p>
  </w:endnote>
  <w:endnote w:type="continuationNotice" w:id="1">
    <w:p w14:paraId="1B736136" w14:textId="77777777" w:rsidR="00CA5B3D" w:rsidRDefault="00CA5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0E8C6" w14:textId="690C1C15" w:rsidR="00D94DC1" w:rsidRDefault="00D94DC1" w:rsidP="00D94DC1">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8A6AB0">
      <w:rPr>
        <w:rFonts w:cs="Segoe UI"/>
        <w:noProof/>
        <w:szCs w:val="18"/>
      </w:rPr>
      <w:t>Publications—Overview</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084FF996" w14:textId="1E1CB83E" w:rsidR="004254BF" w:rsidRDefault="004254BF" w:rsidP="00906905">
    <w:pPr>
      <w:pStyle w:val="Footer"/>
      <w:ind w:left="-1418"/>
    </w:pPr>
    <w:r>
      <w:rPr>
        <w:noProof/>
      </w:rPr>
      <w:drawing>
        <wp:inline distT="0" distB="0" distL="0" distR="0" wp14:anchorId="10F43523" wp14:editId="67E29440">
          <wp:extent cx="7611745" cy="376555"/>
          <wp:effectExtent l="0" t="0" r="8255" b="4445"/>
          <wp:docPr id="48" name="Picture 48" descr="Banner in footer with web address classification.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s class footern.PNG"/>
                  <pic:cNvPicPr/>
                </pic:nvPicPr>
                <pic:blipFill rotWithShape="1">
                  <a:blip r:embed="rId1">
                    <a:extLst>
                      <a:ext uri="{28A0092B-C50C-407E-A947-70E740481C1C}">
                        <a14:useLocalDpi xmlns:a14="http://schemas.microsoft.com/office/drawing/2010/main" val="0"/>
                      </a:ext>
                    </a:extLst>
                  </a:blip>
                  <a:srcRect l="2437" t="4494"/>
                  <a:stretch/>
                </pic:blipFill>
                <pic:spPr bwMode="auto">
                  <a:xfrm>
                    <a:off x="0" y="0"/>
                    <a:ext cx="7611745" cy="37655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0BFDD" w14:textId="77777777" w:rsidR="00CA5B3D" w:rsidRDefault="00CA5B3D" w:rsidP="008E0CD0">
      <w:pPr>
        <w:spacing w:after="0" w:line="240" w:lineRule="auto"/>
      </w:pPr>
      <w:r>
        <w:separator/>
      </w:r>
    </w:p>
  </w:footnote>
  <w:footnote w:type="continuationSeparator" w:id="0">
    <w:p w14:paraId="039428BC" w14:textId="77777777" w:rsidR="00CA5B3D" w:rsidRDefault="00CA5B3D" w:rsidP="008E0CD0">
      <w:pPr>
        <w:spacing w:after="0" w:line="240" w:lineRule="auto"/>
      </w:pPr>
      <w:r>
        <w:continuationSeparator/>
      </w:r>
    </w:p>
  </w:footnote>
  <w:footnote w:type="continuationNotice" w:id="1">
    <w:p w14:paraId="158B2AFD" w14:textId="77777777" w:rsidR="00CA5B3D" w:rsidRDefault="00CA5B3D">
      <w:pPr>
        <w:spacing w:after="0" w:line="240" w:lineRule="auto"/>
      </w:pPr>
    </w:p>
  </w:footnote>
  <w:footnote w:id="2">
    <w:p w14:paraId="0EEEE618" w14:textId="77777777" w:rsidR="00804E61" w:rsidRPr="0062688A" w:rsidRDefault="00804E61">
      <w:pPr>
        <w:pStyle w:val="FootnoteText"/>
        <w:rPr>
          <w:sz w:val="18"/>
          <w:szCs w:val="18"/>
          <w:lang w:val="en-US"/>
        </w:rPr>
      </w:pPr>
      <w:r w:rsidRPr="00932381">
        <w:rPr>
          <w:rStyle w:val="FootnoteReference"/>
          <w:rFonts w:asciiTheme="majorHAnsi" w:hAnsiTheme="majorHAnsi" w:cstheme="majorHAnsi"/>
          <w:sz w:val="18"/>
          <w:szCs w:val="18"/>
        </w:rPr>
        <w:footnoteRef/>
      </w:r>
      <w:r w:rsidRPr="00932381">
        <w:rPr>
          <w:rFonts w:asciiTheme="majorHAnsi" w:hAnsiTheme="majorHAnsi" w:cstheme="majorHAnsi"/>
          <w:sz w:val="18"/>
          <w:szCs w:val="18"/>
          <w:vertAlign w:val="superscript"/>
        </w:rPr>
        <w:t xml:space="preserve"> </w:t>
      </w:r>
      <w:hyperlink r:id="rId1" w:history="1">
        <w:r w:rsidRPr="009D6708">
          <w:rPr>
            <w:rStyle w:val="Hyperlink"/>
            <w:rFonts w:asciiTheme="majorHAnsi" w:hAnsiTheme="majorHAnsi" w:cstheme="majorHAnsi"/>
            <w:sz w:val="18"/>
            <w:szCs w:val="18"/>
          </w:rPr>
          <w:t>Federal Register of Legislation - National Classification Code (May 2005)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045"/>
    <w:multiLevelType w:val="hybridMultilevel"/>
    <w:tmpl w:val="91F84EA2"/>
    <w:lvl w:ilvl="0" w:tplc="90BAAB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0F4DAB"/>
    <w:multiLevelType w:val="hybridMultilevel"/>
    <w:tmpl w:val="BF744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EF7515"/>
    <w:multiLevelType w:val="hybridMultilevel"/>
    <w:tmpl w:val="10747E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01A32"/>
    <w:multiLevelType w:val="hybridMultilevel"/>
    <w:tmpl w:val="4F3AFE3C"/>
    <w:lvl w:ilvl="0" w:tplc="90BAAB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99237C"/>
    <w:multiLevelType w:val="hybridMultilevel"/>
    <w:tmpl w:val="4FA04340"/>
    <w:lvl w:ilvl="0" w:tplc="482403CE">
      <w:start w:val="1"/>
      <w:numFmt w:val="lowerLetter"/>
      <w:lvlText w:val="(%1)"/>
      <w:lvlJc w:val="left"/>
      <w:pPr>
        <w:ind w:left="410" w:hanging="36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5" w15:restartNumberingAfterBreak="0">
    <w:nsid w:val="100830DF"/>
    <w:multiLevelType w:val="hybridMultilevel"/>
    <w:tmpl w:val="150024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29688E"/>
    <w:multiLevelType w:val="hybridMultilevel"/>
    <w:tmpl w:val="35F68978"/>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7" w15:restartNumberingAfterBreak="0">
    <w:nsid w:val="19354607"/>
    <w:multiLevelType w:val="hybridMultilevel"/>
    <w:tmpl w:val="B6C06F38"/>
    <w:lvl w:ilvl="0" w:tplc="66F2EB6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E072F0E"/>
    <w:multiLevelType w:val="hybridMultilevel"/>
    <w:tmpl w:val="BB84542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237643"/>
    <w:multiLevelType w:val="hybridMultilevel"/>
    <w:tmpl w:val="57E43C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3A790F"/>
    <w:multiLevelType w:val="hybridMultilevel"/>
    <w:tmpl w:val="1A0A6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566CCA"/>
    <w:multiLevelType w:val="hybridMultilevel"/>
    <w:tmpl w:val="5F2EECE4"/>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F1D1D87"/>
    <w:multiLevelType w:val="hybridMultilevel"/>
    <w:tmpl w:val="987A20C4"/>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4" w15:restartNumberingAfterBreak="0">
    <w:nsid w:val="301A06D5"/>
    <w:multiLevelType w:val="hybridMultilevel"/>
    <w:tmpl w:val="A6626C4A"/>
    <w:lvl w:ilvl="0" w:tplc="F62828E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312A53DE"/>
    <w:multiLevelType w:val="hybridMultilevel"/>
    <w:tmpl w:val="44D0416A"/>
    <w:lvl w:ilvl="0" w:tplc="0C09000B">
      <w:start w:val="1"/>
      <w:numFmt w:val="bullet"/>
      <w:lvlText w:val=""/>
      <w:lvlJc w:val="left"/>
      <w:pPr>
        <w:ind w:left="1364" w:hanging="360"/>
      </w:pPr>
      <w:rPr>
        <w:rFonts w:ascii="Wingdings" w:hAnsi="Wingdings"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6" w15:restartNumberingAfterBreak="0">
    <w:nsid w:val="36C43325"/>
    <w:multiLevelType w:val="hybridMultilevel"/>
    <w:tmpl w:val="57A01870"/>
    <w:lvl w:ilvl="0" w:tplc="D594313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D419A5"/>
    <w:multiLevelType w:val="hybridMultilevel"/>
    <w:tmpl w:val="C5CCC66A"/>
    <w:lvl w:ilvl="0" w:tplc="08F884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802D0F"/>
    <w:multiLevelType w:val="hybridMultilevel"/>
    <w:tmpl w:val="D5605DEA"/>
    <w:lvl w:ilvl="0" w:tplc="90BAAB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ABA2C18"/>
    <w:multiLevelType w:val="hybridMultilevel"/>
    <w:tmpl w:val="DBFE2BF6"/>
    <w:lvl w:ilvl="0" w:tplc="21901158">
      <w:start w:val="1"/>
      <w:numFmt w:val="lowerLetter"/>
      <w:lvlText w:val="(%1)"/>
      <w:lvlJc w:val="left"/>
      <w:pPr>
        <w:ind w:left="1353"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0" w15:restartNumberingAfterBreak="0">
    <w:nsid w:val="3C4974AD"/>
    <w:multiLevelType w:val="hybridMultilevel"/>
    <w:tmpl w:val="A8D80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E751B8"/>
    <w:multiLevelType w:val="hybridMultilevel"/>
    <w:tmpl w:val="1024B1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3315FE8"/>
    <w:multiLevelType w:val="hybridMultilevel"/>
    <w:tmpl w:val="3CB8A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0F579F"/>
    <w:multiLevelType w:val="hybridMultilevel"/>
    <w:tmpl w:val="E90E69BE"/>
    <w:lvl w:ilvl="0" w:tplc="90BAAB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A53261C"/>
    <w:multiLevelType w:val="hybridMultilevel"/>
    <w:tmpl w:val="939C34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0FA3DA4"/>
    <w:multiLevelType w:val="multilevel"/>
    <w:tmpl w:val="E4AA0EC4"/>
    <w:lvl w:ilvl="0">
      <w:start w:val="1"/>
      <w:numFmt w:val="bullet"/>
      <w:pStyle w:val="Tabletextbullets"/>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3C6152E"/>
    <w:multiLevelType w:val="hybridMultilevel"/>
    <w:tmpl w:val="2D0A2E20"/>
    <w:lvl w:ilvl="0" w:tplc="90BAAB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4F052FB"/>
    <w:multiLevelType w:val="hybridMultilevel"/>
    <w:tmpl w:val="57A6F5A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8" w15:restartNumberingAfterBreak="0">
    <w:nsid w:val="55696001"/>
    <w:multiLevelType w:val="hybridMultilevel"/>
    <w:tmpl w:val="9400621E"/>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79A712D"/>
    <w:multiLevelType w:val="hybridMultilevel"/>
    <w:tmpl w:val="17E4FA7C"/>
    <w:lvl w:ilvl="0" w:tplc="F62828E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5669D7"/>
    <w:multiLevelType w:val="hybridMultilevel"/>
    <w:tmpl w:val="EE524738"/>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1" w15:restartNumberingAfterBreak="0">
    <w:nsid w:val="5C6F62BA"/>
    <w:multiLevelType w:val="hybridMultilevel"/>
    <w:tmpl w:val="6D388B5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7382663"/>
    <w:multiLevelType w:val="hybridMultilevel"/>
    <w:tmpl w:val="7FDA36DA"/>
    <w:lvl w:ilvl="0" w:tplc="F62828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8827E7D"/>
    <w:multiLevelType w:val="hybridMultilevel"/>
    <w:tmpl w:val="D24400CC"/>
    <w:lvl w:ilvl="0" w:tplc="E8B05444">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F91AD7"/>
    <w:multiLevelType w:val="hybridMultilevel"/>
    <w:tmpl w:val="CDCCC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F0243C"/>
    <w:multiLevelType w:val="hybridMultilevel"/>
    <w:tmpl w:val="7FDA36DA"/>
    <w:lvl w:ilvl="0" w:tplc="F62828E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F612075"/>
    <w:multiLevelType w:val="hybridMultilevel"/>
    <w:tmpl w:val="AD2E3FEA"/>
    <w:lvl w:ilvl="0" w:tplc="21901158">
      <w:start w:val="1"/>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B47360"/>
    <w:multiLevelType w:val="hybridMultilevel"/>
    <w:tmpl w:val="2E0E3E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EC34EC"/>
    <w:multiLevelType w:val="hybridMultilevel"/>
    <w:tmpl w:val="F9DC1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0037B3"/>
    <w:multiLevelType w:val="hybridMultilevel"/>
    <w:tmpl w:val="8B329A08"/>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0" w15:restartNumberingAfterBreak="0">
    <w:nsid w:val="7A19568D"/>
    <w:multiLevelType w:val="hybridMultilevel"/>
    <w:tmpl w:val="2F9E0F8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A6842E9"/>
    <w:multiLevelType w:val="hybridMultilevel"/>
    <w:tmpl w:val="19C2AADC"/>
    <w:lvl w:ilvl="0" w:tplc="E1F0771E">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255E07"/>
    <w:multiLevelType w:val="multilevel"/>
    <w:tmpl w:val="CFDCA25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9"/>
  </w:num>
  <w:num w:numId="2">
    <w:abstractNumId w:val="25"/>
  </w:num>
  <w:num w:numId="3">
    <w:abstractNumId w:val="39"/>
  </w:num>
  <w:num w:numId="4">
    <w:abstractNumId w:val="30"/>
  </w:num>
  <w:num w:numId="5">
    <w:abstractNumId w:val="22"/>
  </w:num>
  <w:num w:numId="6">
    <w:abstractNumId w:val="40"/>
  </w:num>
  <w:num w:numId="7">
    <w:abstractNumId w:val="24"/>
  </w:num>
  <w:num w:numId="8">
    <w:abstractNumId w:val="8"/>
  </w:num>
  <w:num w:numId="9">
    <w:abstractNumId w:val="28"/>
  </w:num>
  <w:num w:numId="10">
    <w:abstractNumId w:val="5"/>
  </w:num>
  <w:num w:numId="11">
    <w:abstractNumId w:val="21"/>
  </w:num>
  <w:num w:numId="12">
    <w:abstractNumId w:val="42"/>
  </w:num>
  <w:num w:numId="13">
    <w:abstractNumId w:val="19"/>
  </w:num>
  <w:num w:numId="14">
    <w:abstractNumId w:val="36"/>
  </w:num>
  <w:num w:numId="15">
    <w:abstractNumId w:val="32"/>
  </w:num>
  <w:num w:numId="16">
    <w:abstractNumId w:val="29"/>
  </w:num>
  <w:num w:numId="17">
    <w:abstractNumId w:val="26"/>
  </w:num>
  <w:num w:numId="18">
    <w:abstractNumId w:val="23"/>
  </w:num>
  <w:num w:numId="19">
    <w:abstractNumId w:val="3"/>
  </w:num>
  <w:num w:numId="20">
    <w:abstractNumId w:val="31"/>
  </w:num>
  <w:num w:numId="21">
    <w:abstractNumId w:val="7"/>
  </w:num>
  <w:num w:numId="22">
    <w:abstractNumId w:val="34"/>
  </w:num>
  <w:num w:numId="23">
    <w:abstractNumId w:val="37"/>
  </w:num>
  <w:num w:numId="24">
    <w:abstractNumId w:val="13"/>
  </w:num>
  <w:num w:numId="25">
    <w:abstractNumId w:val="38"/>
  </w:num>
  <w:num w:numId="26">
    <w:abstractNumId w:val="16"/>
  </w:num>
  <w:num w:numId="27">
    <w:abstractNumId w:val="2"/>
  </w:num>
  <w:num w:numId="28">
    <w:abstractNumId w:val="0"/>
  </w:num>
  <w:num w:numId="29">
    <w:abstractNumId w:val="18"/>
  </w:num>
  <w:num w:numId="30">
    <w:abstractNumId w:val="35"/>
  </w:num>
  <w:num w:numId="31">
    <w:abstractNumId w:val="17"/>
  </w:num>
  <w:num w:numId="32">
    <w:abstractNumId w:val="10"/>
  </w:num>
  <w:num w:numId="33">
    <w:abstractNumId w:val="12"/>
  </w:num>
  <w:num w:numId="34">
    <w:abstractNumId w:val="14"/>
  </w:num>
  <w:num w:numId="35">
    <w:abstractNumId w:val="4"/>
  </w:num>
  <w:num w:numId="36">
    <w:abstractNumId w:val="1"/>
  </w:num>
  <w:num w:numId="37">
    <w:abstractNumId w:val="20"/>
  </w:num>
  <w:num w:numId="38">
    <w:abstractNumId w:val="27"/>
  </w:num>
  <w:num w:numId="39">
    <w:abstractNumId w:val="15"/>
  </w:num>
  <w:num w:numId="40">
    <w:abstractNumId w:val="6"/>
  </w:num>
  <w:num w:numId="41">
    <w:abstractNumId w:val="41"/>
  </w:num>
  <w:num w:numId="42">
    <w:abstractNumId w:val="11"/>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D0"/>
    <w:rsid w:val="00000FC6"/>
    <w:rsid w:val="00002958"/>
    <w:rsid w:val="000050F5"/>
    <w:rsid w:val="0000655A"/>
    <w:rsid w:val="00006CB6"/>
    <w:rsid w:val="00010514"/>
    <w:rsid w:val="000119D8"/>
    <w:rsid w:val="000146AB"/>
    <w:rsid w:val="00015E28"/>
    <w:rsid w:val="00021C2E"/>
    <w:rsid w:val="00024128"/>
    <w:rsid w:val="000260E6"/>
    <w:rsid w:val="00031A3D"/>
    <w:rsid w:val="00040A65"/>
    <w:rsid w:val="00050137"/>
    <w:rsid w:val="00062D5D"/>
    <w:rsid w:val="0007060B"/>
    <w:rsid w:val="00072B31"/>
    <w:rsid w:val="000743D7"/>
    <w:rsid w:val="000764DC"/>
    <w:rsid w:val="000809FB"/>
    <w:rsid w:val="00085024"/>
    <w:rsid w:val="00085358"/>
    <w:rsid w:val="00087D65"/>
    <w:rsid w:val="00096C5D"/>
    <w:rsid w:val="000A5974"/>
    <w:rsid w:val="000B08B3"/>
    <w:rsid w:val="000B1C13"/>
    <w:rsid w:val="000B22F5"/>
    <w:rsid w:val="000B45FE"/>
    <w:rsid w:val="000C3E73"/>
    <w:rsid w:val="000D4B5D"/>
    <w:rsid w:val="000E27B4"/>
    <w:rsid w:val="000E4432"/>
    <w:rsid w:val="000F0A3C"/>
    <w:rsid w:val="000F1706"/>
    <w:rsid w:val="000F24CF"/>
    <w:rsid w:val="000F39BF"/>
    <w:rsid w:val="000F765D"/>
    <w:rsid w:val="00103F7E"/>
    <w:rsid w:val="0010597A"/>
    <w:rsid w:val="00106C1A"/>
    <w:rsid w:val="001074C7"/>
    <w:rsid w:val="00110903"/>
    <w:rsid w:val="00127F7A"/>
    <w:rsid w:val="001365FE"/>
    <w:rsid w:val="00140502"/>
    <w:rsid w:val="00140A2A"/>
    <w:rsid w:val="00144336"/>
    <w:rsid w:val="001470A1"/>
    <w:rsid w:val="00157BFA"/>
    <w:rsid w:val="00160134"/>
    <w:rsid w:val="0017595B"/>
    <w:rsid w:val="00182D21"/>
    <w:rsid w:val="00184BA6"/>
    <w:rsid w:val="00191FAF"/>
    <w:rsid w:val="001949C2"/>
    <w:rsid w:val="00196A87"/>
    <w:rsid w:val="001A3C5E"/>
    <w:rsid w:val="001A61DF"/>
    <w:rsid w:val="001A6E23"/>
    <w:rsid w:val="001A7C99"/>
    <w:rsid w:val="001B6E4B"/>
    <w:rsid w:val="001B7DA7"/>
    <w:rsid w:val="001C0931"/>
    <w:rsid w:val="001C30FB"/>
    <w:rsid w:val="001E7ACA"/>
    <w:rsid w:val="001F03CC"/>
    <w:rsid w:val="001F3A41"/>
    <w:rsid w:val="001F67B5"/>
    <w:rsid w:val="00200CA9"/>
    <w:rsid w:val="00203AF0"/>
    <w:rsid w:val="00203CC7"/>
    <w:rsid w:val="002109A7"/>
    <w:rsid w:val="00212C4C"/>
    <w:rsid w:val="00216227"/>
    <w:rsid w:val="00216B24"/>
    <w:rsid w:val="00222CA0"/>
    <w:rsid w:val="00223AE2"/>
    <w:rsid w:val="0022437D"/>
    <w:rsid w:val="00225170"/>
    <w:rsid w:val="00226542"/>
    <w:rsid w:val="002317C3"/>
    <w:rsid w:val="0023464C"/>
    <w:rsid w:val="00241B19"/>
    <w:rsid w:val="00242276"/>
    <w:rsid w:val="00245690"/>
    <w:rsid w:val="00247AAE"/>
    <w:rsid w:val="00251BFE"/>
    <w:rsid w:val="00254026"/>
    <w:rsid w:val="00266F59"/>
    <w:rsid w:val="00273071"/>
    <w:rsid w:val="00274EFF"/>
    <w:rsid w:val="00280284"/>
    <w:rsid w:val="00283F6A"/>
    <w:rsid w:val="00287980"/>
    <w:rsid w:val="0029405D"/>
    <w:rsid w:val="00296E6E"/>
    <w:rsid w:val="00297353"/>
    <w:rsid w:val="002A6CEE"/>
    <w:rsid w:val="002B5865"/>
    <w:rsid w:val="002B7EB9"/>
    <w:rsid w:val="002C29DE"/>
    <w:rsid w:val="002D35F7"/>
    <w:rsid w:val="002D68E5"/>
    <w:rsid w:val="002E3AAE"/>
    <w:rsid w:val="002E6DA0"/>
    <w:rsid w:val="002F15A8"/>
    <w:rsid w:val="002F33A8"/>
    <w:rsid w:val="002F3AD8"/>
    <w:rsid w:val="002F5A9A"/>
    <w:rsid w:val="002F662F"/>
    <w:rsid w:val="0030675F"/>
    <w:rsid w:val="003152F4"/>
    <w:rsid w:val="00321659"/>
    <w:rsid w:val="0033037E"/>
    <w:rsid w:val="00336892"/>
    <w:rsid w:val="00337513"/>
    <w:rsid w:val="00341BAD"/>
    <w:rsid w:val="003606FC"/>
    <w:rsid w:val="00365F78"/>
    <w:rsid w:val="00371027"/>
    <w:rsid w:val="003809FD"/>
    <w:rsid w:val="00382925"/>
    <w:rsid w:val="003873F3"/>
    <w:rsid w:val="00395DD4"/>
    <w:rsid w:val="00397371"/>
    <w:rsid w:val="003A086E"/>
    <w:rsid w:val="003B0EFE"/>
    <w:rsid w:val="003B4398"/>
    <w:rsid w:val="003B4911"/>
    <w:rsid w:val="003C5377"/>
    <w:rsid w:val="003D360F"/>
    <w:rsid w:val="003E42C7"/>
    <w:rsid w:val="003F2F72"/>
    <w:rsid w:val="003F4AB5"/>
    <w:rsid w:val="003F4DA2"/>
    <w:rsid w:val="004003AE"/>
    <w:rsid w:val="00400D0B"/>
    <w:rsid w:val="004012B5"/>
    <w:rsid w:val="00401DE8"/>
    <w:rsid w:val="00412710"/>
    <w:rsid w:val="004129DA"/>
    <w:rsid w:val="00414BD6"/>
    <w:rsid w:val="00415D33"/>
    <w:rsid w:val="004168B8"/>
    <w:rsid w:val="00420026"/>
    <w:rsid w:val="00423766"/>
    <w:rsid w:val="004254BF"/>
    <w:rsid w:val="00426A36"/>
    <w:rsid w:val="00427158"/>
    <w:rsid w:val="00447052"/>
    <w:rsid w:val="0045612C"/>
    <w:rsid w:val="00472E87"/>
    <w:rsid w:val="00475534"/>
    <w:rsid w:val="004776D2"/>
    <w:rsid w:val="004813F3"/>
    <w:rsid w:val="00485B6E"/>
    <w:rsid w:val="00486443"/>
    <w:rsid w:val="004871D2"/>
    <w:rsid w:val="00492147"/>
    <w:rsid w:val="00495FEA"/>
    <w:rsid w:val="004A3B21"/>
    <w:rsid w:val="004B1B11"/>
    <w:rsid w:val="004B5457"/>
    <w:rsid w:val="004D025D"/>
    <w:rsid w:val="004D181B"/>
    <w:rsid w:val="004D3B9A"/>
    <w:rsid w:val="004E2E96"/>
    <w:rsid w:val="004F4377"/>
    <w:rsid w:val="004F7B84"/>
    <w:rsid w:val="00500665"/>
    <w:rsid w:val="00501C98"/>
    <w:rsid w:val="005059AB"/>
    <w:rsid w:val="005126B4"/>
    <w:rsid w:val="0051666D"/>
    <w:rsid w:val="00521CC4"/>
    <w:rsid w:val="00531CDA"/>
    <w:rsid w:val="00534525"/>
    <w:rsid w:val="005360B4"/>
    <w:rsid w:val="005409E2"/>
    <w:rsid w:val="0054295B"/>
    <w:rsid w:val="00551133"/>
    <w:rsid w:val="00552E93"/>
    <w:rsid w:val="00553B90"/>
    <w:rsid w:val="00581F9B"/>
    <w:rsid w:val="005840E6"/>
    <w:rsid w:val="005872C4"/>
    <w:rsid w:val="00596186"/>
    <w:rsid w:val="005972A2"/>
    <w:rsid w:val="005A150C"/>
    <w:rsid w:val="005B2B9F"/>
    <w:rsid w:val="005B6E02"/>
    <w:rsid w:val="005B7B96"/>
    <w:rsid w:val="005C1D5D"/>
    <w:rsid w:val="005C36FE"/>
    <w:rsid w:val="005C4347"/>
    <w:rsid w:val="005D14EF"/>
    <w:rsid w:val="005E084C"/>
    <w:rsid w:val="005F7866"/>
    <w:rsid w:val="00601094"/>
    <w:rsid w:val="0060454F"/>
    <w:rsid w:val="006055F3"/>
    <w:rsid w:val="00607C4C"/>
    <w:rsid w:val="006120F8"/>
    <w:rsid w:val="00620EA7"/>
    <w:rsid w:val="00621860"/>
    <w:rsid w:val="006225CA"/>
    <w:rsid w:val="0062406B"/>
    <w:rsid w:val="00626F90"/>
    <w:rsid w:val="006374DD"/>
    <w:rsid w:val="0064538C"/>
    <w:rsid w:val="00651508"/>
    <w:rsid w:val="006530C8"/>
    <w:rsid w:val="006662F5"/>
    <w:rsid w:val="0067164D"/>
    <w:rsid w:val="00675079"/>
    <w:rsid w:val="006941A5"/>
    <w:rsid w:val="006A6F34"/>
    <w:rsid w:val="006B2475"/>
    <w:rsid w:val="006B2F9F"/>
    <w:rsid w:val="006B3DEE"/>
    <w:rsid w:val="006B4AFF"/>
    <w:rsid w:val="006B510D"/>
    <w:rsid w:val="006B7158"/>
    <w:rsid w:val="006C0E77"/>
    <w:rsid w:val="006C40CF"/>
    <w:rsid w:val="006C4657"/>
    <w:rsid w:val="006D2103"/>
    <w:rsid w:val="006D73C8"/>
    <w:rsid w:val="006E249D"/>
    <w:rsid w:val="006F3C76"/>
    <w:rsid w:val="006F55CC"/>
    <w:rsid w:val="006F5B5A"/>
    <w:rsid w:val="006F70CA"/>
    <w:rsid w:val="00706C58"/>
    <w:rsid w:val="007100A9"/>
    <w:rsid w:val="00713CE8"/>
    <w:rsid w:val="007158F1"/>
    <w:rsid w:val="00717514"/>
    <w:rsid w:val="00717DC4"/>
    <w:rsid w:val="00727185"/>
    <w:rsid w:val="007308AC"/>
    <w:rsid w:val="00733598"/>
    <w:rsid w:val="0073505B"/>
    <w:rsid w:val="007369AE"/>
    <w:rsid w:val="0074095D"/>
    <w:rsid w:val="00743E27"/>
    <w:rsid w:val="00761B31"/>
    <w:rsid w:val="00770BB8"/>
    <w:rsid w:val="00771EE0"/>
    <w:rsid w:val="007A2088"/>
    <w:rsid w:val="007A3C41"/>
    <w:rsid w:val="007A4FC1"/>
    <w:rsid w:val="007A6390"/>
    <w:rsid w:val="007C7D6F"/>
    <w:rsid w:val="007D0760"/>
    <w:rsid w:val="007D0D27"/>
    <w:rsid w:val="007D0E2E"/>
    <w:rsid w:val="007E1001"/>
    <w:rsid w:val="007E5F3D"/>
    <w:rsid w:val="007F0E06"/>
    <w:rsid w:val="00801FE7"/>
    <w:rsid w:val="00804E61"/>
    <w:rsid w:val="00805722"/>
    <w:rsid w:val="00806D6B"/>
    <w:rsid w:val="00810958"/>
    <w:rsid w:val="0081416D"/>
    <w:rsid w:val="008153C4"/>
    <w:rsid w:val="008352EA"/>
    <w:rsid w:val="0083776A"/>
    <w:rsid w:val="008524D3"/>
    <w:rsid w:val="00856F47"/>
    <w:rsid w:val="008628EA"/>
    <w:rsid w:val="008649D0"/>
    <w:rsid w:val="00867869"/>
    <w:rsid w:val="00872955"/>
    <w:rsid w:val="0087517E"/>
    <w:rsid w:val="00880B34"/>
    <w:rsid w:val="00885795"/>
    <w:rsid w:val="00893ABB"/>
    <w:rsid w:val="008A6AB0"/>
    <w:rsid w:val="008B442F"/>
    <w:rsid w:val="008C0EE9"/>
    <w:rsid w:val="008C7FF1"/>
    <w:rsid w:val="008D5F2C"/>
    <w:rsid w:val="008E0CD0"/>
    <w:rsid w:val="008E6BD5"/>
    <w:rsid w:val="00906905"/>
    <w:rsid w:val="00911BC6"/>
    <w:rsid w:val="00915845"/>
    <w:rsid w:val="00916F90"/>
    <w:rsid w:val="00917442"/>
    <w:rsid w:val="00923AD6"/>
    <w:rsid w:val="00923F92"/>
    <w:rsid w:val="0092427E"/>
    <w:rsid w:val="0094172F"/>
    <w:rsid w:val="00941AFE"/>
    <w:rsid w:val="0094337B"/>
    <w:rsid w:val="00943572"/>
    <w:rsid w:val="0095049F"/>
    <w:rsid w:val="009532D2"/>
    <w:rsid w:val="00953D1C"/>
    <w:rsid w:val="0095637A"/>
    <w:rsid w:val="00962401"/>
    <w:rsid w:val="00967CE6"/>
    <w:rsid w:val="0097036F"/>
    <w:rsid w:val="00972027"/>
    <w:rsid w:val="00972372"/>
    <w:rsid w:val="00980C26"/>
    <w:rsid w:val="00981457"/>
    <w:rsid w:val="009816F8"/>
    <w:rsid w:val="009837F3"/>
    <w:rsid w:val="00992F86"/>
    <w:rsid w:val="00993339"/>
    <w:rsid w:val="00995C80"/>
    <w:rsid w:val="009A3E39"/>
    <w:rsid w:val="009A6DA1"/>
    <w:rsid w:val="009B2B03"/>
    <w:rsid w:val="009B5340"/>
    <w:rsid w:val="009B5567"/>
    <w:rsid w:val="009B6BF8"/>
    <w:rsid w:val="009B7E94"/>
    <w:rsid w:val="009C0BF6"/>
    <w:rsid w:val="009C0E44"/>
    <w:rsid w:val="009C4A35"/>
    <w:rsid w:val="009E11A3"/>
    <w:rsid w:val="009E41DA"/>
    <w:rsid w:val="009E7EBC"/>
    <w:rsid w:val="009F2EA1"/>
    <w:rsid w:val="009F51BC"/>
    <w:rsid w:val="00A204A1"/>
    <w:rsid w:val="00A20556"/>
    <w:rsid w:val="00A2496B"/>
    <w:rsid w:val="00A55EB5"/>
    <w:rsid w:val="00A64599"/>
    <w:rsid w:val="00A71D33"/>
    <w:rsid w:val="00A71F2B"/>
    <w:rsid w:val="00A73B42"/>
    <w:rsid w:val="00A80F7C"/>
    <w:rsid w:val="00A9163C"/>
    <w:rsid w:val="00A94539"/>
    <w:rsid w:val="00AB0EBF"/>
    <w:rsid w:val="00AB2A37"/>
    <w:rsid w:val="00AB56D7"/>
    <w:rsid w:val="00AB5721"/>
    <w:rsid w:val="00AB6E0A"/>
    <w:rsid w:val="00AB7282"/>
    <w:rsid w:val="00AC0090"/>
    <w:rsid w:val="00AC3E94"/>
    <w:rsid w:val="00AD379C"/>
    <w:rsid w:val="00AD67D2"/>
    <w:rsid w:val="00AE3EA0"/>
    <w:rsid w:val="00AE4ECF"/>
    <w:rsid w:val="00AF01CA"/>
    <w:rsid w:val="00AF0C33"/>
    <w:rsid w:val="00AF1C2A"/>
    <w:rsid w:val="00AF2798"/>
    <w:rsid w:val="00AF3536"/>
    <w:rsid w:val="00AF3F06"/>
    <w:rsid w:val="00AF63B2"/>
    <w:rsid w:val="00AF67B7"/>
    <w:rsid w:val="00AF7C02"/>
    <w:rsid w:val="00B01D39"/>
    <w:rsid w:val="00B20328"/>
    <w:rsid w:val="00B21841"/>
    <w:rsid w:val="00B35DB4"/>
    <w:rsid w:val="00B43F80"/>
    <w:rsid w:val="00B45EB8"/>
    <w:rsid w:val="00B50602"/>
    <w:rsid w:val="00B513FD"/>
    <w:rsid w:val="00B5162C"/>
    <w:rsid w:val="00B5274C"/>
    <w:rsid w:val="00B52B83"/>
    <w:rsid w:val="00B52F35"/>
    <w:rsid w:val="00B6700D"/>
    <w:rsid w:val="00B71CFA"/>
    <w:rsid w:val="00B8182D"/>
    <w:rsid w:val="00B94639"/>
    <w:rsid w:val="00B97E2C"/>
    <w:rsid w:val="00BA0064"/>
    <w:rsid w:val="00BB6D77"/>
    <w:rsid w:val="00BC0BEB"/>
    <w:rsid w:val="00BC0CBA"/>
    <w:rsid w:val="00BC5625"/>
    <w:rsid w:val="00BC7E52"/>
    <w:rsid w:val="00BD1244"/>
    <w:rsid w:val="00BD5B46"/>
    <w:rsid w:val="00C03297"/>
    <w:rsid w:val="00C13EE0"/>
    <w:rsid w:val="00C14707"/>
    <w:rsid w:val="00C61FF7"/>
    <w:rsid w:val="00C621EB"/>
    <w:rsid w:val="00C62695"/>
    <w:rsid w:val="00C64C04"/>
    <w:rsid w:val="00C827A4"/>
    <w:rsid w:val="00C92B5F"/>
    <w:rsid w:val="00CA2C90"/>
    <w:rsid w:val="00CA5B3D"/>
    <w:rsid w:val="00CB2B58"/>
    <w:rsid w:val="00CB3259"/>
    <w:rsid w:val="00CB353D"/>
    <w:rsid w:val="00CC5452"/>
    <w:rsid w:val="00CD0635"/>
    <w:rsid w:val="00CD3EF2"/>
    <w:rsid w:val="00CE0044"/>
    <w:rsid w:val="00CE3D61"/>
    <w:rsid w:val="00CF0F5B"/>
    <w:rsid w:val="00CF138F"/>
    <w:rsid w:val="00CF2E5F"/>
    <w:rsid w:val="00D02D0B"/>
    <w:rsid w:val="00D1240F"/>
    <w:rsid w:val="00D24C98"/>
    <w:rsid w:val="00D31C6B"/>
    <w:rsid w:val="00D44457"/>
    <w:rsid w:val="00D536E5"/>
    <w:rsid w:val="00D61364"/>
    <w:rsid w:val="00D62D61"/>
    <w:rsid w:val="00D64A42"/>
    <w:rsid w:val="00D65EBE"/>
    <w:rsid w:val="00D66C8C"/>
    <w:rsid w:val="00D7690D"/>
    <w:rsid w:val="00D8538F"/>
    <w:rsid w:val="00D94DC1"/>
    <w:rsid w:val="00D961AE"/>
    <w:rsid w:val="00D9774E"/>
    <w:rsid w:val="00DA18A2"/>
    <w:rsid w:val="00DA2AF9"/>
    <w:rsid w:val="00DA331A"/>
    <w:rsid w:val="00DB0835"/>
    <w:rsid w:val="00DB09E0"/>
    <w:rsid w:val="00DB42F8"/>
    <w:rsid w:val="00DB468A"/>
    <w:rsid w:val="00DC2FF4"/>
    <w:rsid w:val="00DC5DC7"/>
    <w:rsid w:val="00DD04D7"/>
    <w:rsid w:val="00DD391D"/>
    <w:rsid w:val="00DD5241"/>
    <w:rsid w:val="00DD53F3"/>
    <w:rsid w:val="00DE1A54"/>
    <w:rsid w:val="00DE6E79"/>
    <w:rsid w:val="00DF4FBA"/>
    <w:rsid w:val="00DF6F1D"/>
    <w:rsid w:val="00E01BB9"/>
    <w:rsid w:val="00E11335"/>
    <w:rsid w:val="00E118FD"/>
    <w:rsid w:val="00E129DA"/>
    <w:rsid w:val="00E233A8"/>
    <w:rsid w:val="00E25766"/>
    <w:rsid w:val="00E2696C"/>
    <w:rsid w:val="00E41763"/>
    <w:rsid w:val="00E4320A"/>
    <w:rsid w:val="00E45605"/>
    <w:rsid w:val="00E47A50"/>
    <w:rsid w:val="00E5087C"/>
    <w:rsid w:val="00E61A84"/>
    <w:rsid w:val="00E66635"/>
    <w:rsid w:val="00E66D70"/>
    <w:rsid w:val="00E77180"/>
    <w:rsid w:val="00E86082"/>
    <w:rsid w:val="00E93CAB"/>
    <w:rsid w:val="00EA15BF"/>
    <w:rsid w:val="00EC2072"/>
    <w:rsid w:val="00EC3F7F"/>
    <w:rsid w:val="00EC5D93"/>
    <w:rsid w:val="00ED03A2"/>
    <w:rsid w:val="00ED58FD"/>
    <w:rsid w:val="00ED769F"/>
    <w:rsid w:val="00ED7BB2"/>
    <w:rsid w:val="00EE00C9"/>
    <w:rsid w:val="00EE78B7"/>
    <w:rsid w:val="00EE7D43"/>
    <w:rsid w:val="00EF33E8"/>
    <w:rsid w:val="00EF5EE4"/>
    <w:rsid w:val="00F03209"/>
    <w:rsid w:val="00F12A61"/>
    <w:rsid w:val="00F30B15"/>
    <w:rsid w:val="00F31373"/>
    <w:rsid w:val="00F41580"/>
    <w:rsid w:val="00F428A9"/>
    <w:rsid w:val="00F45B40"/>
    <w:rsid w:val="00F51B85"/>
    <w:rsid w:val="00F54B4D"/>
    <w:rsid w:val="00F63471"/>
    <w:rsid w:val="00F64397"/>
    <w:rsid w:val="00F6715E"/>
    <w:rsid w:val="00F71011"/>
    <w:rsid w:val="00F757B5"/>
    <w:rsid w:val="00F77EEA"/>
    <w:rsid w:val="00F80C37"/>
    <w:rsid w:val="00F9104B"/>
    <w:rsid w:val="00F95B46"/>
    <w:rsid w:val="00FD5279"/>
    <w:rsid w:val="00FE56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A03944"/>
  <w15:chartTrackingRefBased/>
  <w15:docId w15:val="{3F83730A-9369-4B2E-BFC7-10666161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B58"/>
  </w:style>
  <w:style w:type="paragraph" w:styleId="Heading1">
    <w:name w:val="heading 1"/>
    <w:basedOn w:val="Title"/>
    <w:next w:val="Normal"/>
    <w:link w:val="Heading1Char"/>
    <w:uiPriority w:val="9"/>
    <w:qFormat/>
    <w:rsid w:val="00D94DC1"/>
    <w:pPr>
      <w:keepNext/>
      <w:spacing w:after="240"/>
      <w:outlineLvl w:val="0"/>
    </w:pPr>
    <w:rPr>
      <w:b/>
      <w:lang w:val="en-US"/>
    </w:rPr>
  </w:style>
  <w:style w:type="paragraph" w:styleId="Heading2">
    <w:name w:val="heading 2"/>
    <w:basedOn w:val="Normal"/>
    <w:next w:val="Normal"/>
    <w:link w:val="Heading2Char"/>
    <w:uiPriority w:val="9"/>
    <w:unhideWhenUsed/>
    <w:qFormat/>
    <w:rsid w:val="006B4AFF"/>
    <w:pPr>
      <w:keepNext/>
      <w:keepLines/>
      <w:suppressAutoHyphens/>
      <w:spacing w:before="240" w:line="240" w:lineRule="auto"/>
      <w:outlineLvl w:val="1"/>
    </w:pPr>
    <w:rPr>
      <w:rFonts w:ascii="Calibri" w:eastAsia="SimSun" w:hAnsi="Calibri" w:cs="Times New Roman"/>
      <w:b/>
      <w:color w:val="2F5496"/>
      <w:kern w:val="12"/>
      <w:sz w:val="32"/>
      <w:szCs w:val="26"/>
    </w:rPr>
  </w:style>
  <w:style w:type="paragraph" w:styleId="Heading3">
    <w:name w:val="heading 3"/>
    <w:basedOn w:val="Normal"/>
    <w:next w:val="Normal"/>
    <w:link w:val="Heading3Char"/>
    <w:uiPriority w:val="9"/>
    <w:unhideWhenUsed/>
    <w:qFormat/>
    <w:rsid w:val="00427158"/>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A71D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CD0"/>
  </w:style>
  <w:style w:type="paragraph" w:styleId="Footer">
    <w:name w:val="footer"/>
    <w:basedOn w:val="Normal"/>
    <w:link w:val="FooterChar"/>
    <w:uiPriority w:val="99"/>
    <w:unhideWhenUsed/>
    <w:rsid w:val="008E0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CD0"/>
  </w:style>
  <w:style w:type="paragraph" w:styleId="Title">
    <w:name w:val="Title"/>
    <w:basedOn w:val="Normal"/>
    <w:next w:val="Normal"/>
    <w:link w:val="TitleChar"/>
    <w:uiPriority w:val="10"/>
    <w:qFormat/>
    <w:rsid w:val="008E0C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CD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8E0CD0"/>
    <w:rPr>
      <w:sz w:val="16"/>
      <w:szCs w:val="16"/>
    </w:rPr>
  </w:style>
  <w:style w:type="paragraph" w:styleId="CommentText">
    <w:name w:val="annotation text"/>
    <w:basedOn w:val="Normal"/>
    <w:link w:val="CommentTextChar"/>
    <w:uiPriority w:val="99"/>
    <w:unhideWhenUsed/>
    <w:rsid w:val="008E0CD0"/>
    <w:pPr>
      <w:spacing w:line="240" w:lineRule="auto"/>
    </w:pPr>
    <w:rPr>
      <w:sz w:val="20"/>
      <w:szCs w:val="20"/>
    </w:rPr>
  </w:style>
  <w:style w:type="character" w:customStyle="1" w:styleId="CommentTextChar">
    <w:name w:val="Comment Text Char"/>
    <w:basedOn w:val="DefaultParagraphFont"/>
    <w:link w:val="CommentText"/>
    <w:uiPriority w:val="99"/>
    <w:rsid w:val="008E0CD0"/>
    <w:rPr>
      <w:sz w:val="20"/>
      <w:szCs w:val="20"/>
    </w:rPr>
  </w:style>
  <w:style w:type="paragraph" w:styleId="CommentSubject">
    <w:name w:val="annotation subject"/>
    <w:basedOn w:val="CommentText"/>
    <w:next w:val="CommentText"/>
    <w:link w:val="CommentSubjectChar"/>
    <w:uiPriority w:val="99"/>
    <w:semiHidden/>
    <w:unhideWhenUsed/>
    <w:rsid w:val="008E0CD0"/>
    <w:rPr>
      <w:b/>
      <w:bCs/>
    </w:rPr>
  </w:style>
  <w:style w:type="character" w:customStyle="1" w:styleId="CommentSubjectChar">
    <w:name w:val="Comment Subject Char"/>
    <w:basedOn w:val="CommentTextChar"/>
    <w:link w:val="CommentSubject"/>
    <w:uiPriority w:val="99"/>
    <w:semiHidden/>
    <w:rsid w:val="008E0CD0"/>
    <w:rPr>
      <w:b/>
      <w:bCs/>
      <w:sz w:val="20"/>
      <w:szCs w:val="20"/>
    </w:rPr>
  </w:style>
  <w:style w:type="paragraph" w:styleId="BalloonText">
    <w:name w:val="Balloon Text"/>
    <w:basedOn w:val="Normal"/>
    <w:link w:val="BalloonTextChar"/>
    <w:uiPriority w:val="99"/>
    <w:semiHidden/>
    <w:unhideWhenUsed/>
    <w:rsid w:val="008E0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CD0"/>
    <w:rPr>
      <w:rFonts w:ascii="Segoe UI" w:hAnsi="Segoe UI" w:cs="Segoe UI"/>
      <w:sz w:val="18"/>
      <w:szCs w:val="18"/>
    </w:rPr>
  </w:style>
  <w:style w:type="paragraph" w:styleId="ListParagraph">
    <w:name w:val="List Paragraph"/>
    <w:basedOn w:val="Normal"/>
    <w:uiPriority w:val="34"/>
    <w:qFormat/>
    <w:rsid w:val="008E0CD0"/>
    <w:pPr>
      <w:ind w:left="720"/>
      <w:contextualSpacing/>
    </w:pPr>
  </w:style>
  <w:style w:type="character" w:customStyle="1" w:styleId="Heading1Char">
    <w:name w:val="Heading 1 Char"/>
    <w:basedOn w:val="DefaultParagraphFont"/>
    <w:link w:val="Heading1"/>
    <w:uiPriority w:val="9"/>
    <w:rsid w:val="00D94DC1"/>
    <w:rPr>
      <w:rFonts w:asciiTheme="majorHAnsi" w:eastAsiaTheme="majorEastAsia" w:hAnsiTheme="majorHAnsi" w:cstheme="majorBidi"/>
      <w:b/>
      <w:spacing w:val="-10"/>
      <w:kern w:val="28"/>
      <w:sz w:val="56"/>
      <w:szCs w:val="56"/>
      <w:lang w:val="en-US"/>
    </w:rPr>
  </w:style>
  <w:style w:type="character" w:styleId="Hyperlink">
    <w:name w:val="Hyperlink"/>
    <w:basedOn w:val="DefaultParagraphFont"/>
    <w:uiPriority w:val="99"/>
    <w:unhideWhenUsed/>
    <w:rsid w:val="00601094"/>
    <w:rPr>
      <w:color w:val="0563C1" w:themeColor="hyperlink"/>
      <w:u w:val="single"/>
    </w:rPr>
  </w:style>
  <w:style w:type="character" w:styleId="UnresolvedMention">
    <w:name w:val="Unresolved Mention"/>
    <w:basedOn w:val="DefaultParagraphFont"/>
    <w:uiPriority w:val="99"/>
    <w:semiHidden/>
    <w:unhideWhenUsed/>
    <w:rsid w:val="00601094"/>
    <w:rPr>
      <w:color w:val="605E5C"/>
      <w:shd w:val="clear" w:color="auto" w:fill="E1DFDD"/>
    </w:rPr>
  </w:style>
  <w:style w:type="table" w:styleId="TableGrid">
    <w:name w:val="Table Grid"/>
    <w:basedOn w:val="TableNormal"/>
    <w:uiPriority w:val="39"/>
    <w:rsid w:val="00601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4AFF"/>
    <w:rPr>
      <w:rFonts w:ascii="Calibri" w:eastAsia="SimSun" w:hAnsi="Calibri" w:cs="Times New Roman"/>
      <w:b/>
      <w:color w:val="2F5496"/>
      <w:kern w:val="12"/>
      <w:sz w:val="32"/>
      <w:szCs w:val="26"/>
    </w:rPr>
  </w:style>
  <w:style w:type="character" w:customStyle="1" w:styleId="Heading3Char">
    <w:name w:val="Heading 3 Char"/>
    <w:basedOn w:val="DefaultParagraphFont"/>
    <w:link w:val="Heading3"/>
    <w:uiPriority w:val="9"/>
    <w:rsid w:val="00427158"/>
    <w:rPr>
      <w:rFonts w:asciiTheme="majorHAnsi" w:eastAsiaTheme="majorEastAsia" w:hAnsiTheme="majorHAnsi" w:cstheme="majorBidi"/>
      <w:b/>
      <w:color w:val="1F3763" w:themeColor="accent1" w:themeShade="7F"/>
      <w:sz w:val="24"/>
      <w:szCs w:val="24"/>
    </w:rPr>
  </w:style>
  <w:style w:type="paragraph" w:styleId="Revision">
    <w:name w:val="Revision"/>
    <w:hidden/>
    <w:uiPriority w:val="99"/>
    <w:semiHidden/>
    <w:rsid w:val="003B4398"/>
    <w:pPr>
      <w:spacing w:after="0" w:line="240" w:lineRule="auto"/>
    </w:pPr>
  </w:style>
  <w:style w:type="paragraph" w:styleId="FootnoteText">
    <w:name w:val="footnote text"/>
    <w:basedOn w:val="Normal"/>
    <w:link w:val="FootnoteTextChar"/>
    <w:uiPriority w:val="99"/>
    <w:semiHidden/>
    <w:unhideWhenUsed/>
    <w:rsid w:val="007A3C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3C41"/>
    <w:rPr>
      <w:sz w:val="20"/>
      <w:szCs w:val="20"/>
    </w:rPr>
  </w:style>
  <w:style w:type="character" w:styleId="FootnoteReference">
    <w:name w:val="footnote reference"/>
    <w:basedOn w:val="DefaultParagraphFont"/>
    <w:uiPriority w:val="99"/>
    <w:semiHidden/>
    <w:unhideWhenUsed/>
    <w:rsid w:val="007A3C41"/>
    <w:rPr>
      <w:vertAlign w:val="superscript"/>
    </w:rPr>
  </w:style>
  <w:style w:type="character" w:styleId="FollowedHyperlink">
    <w:name w:val="FollowedHyperlink"/>
    <w:basedOn w:val="DefaultParagraphFont"/>
    <w:uiPriority w:val="99"/>
    <w:semiHidden/>
    <w:unhideWhenUsed/>
    <w:rsid w:val="007369AE"/>
    <w:rPr>
      <w:color w:val="954F72" w:themeColor="followedHyperlink"/>
      <w:u w:val="single"/>
    </w:rPr>
  </w:style>
  <w:style w:type="character" w:customStyle="1" w:styleId="Heading4Char">
    <w:name w:val="Heading 4 Char"/>
    <w:basedOn w:val="DefaultParagraphFont"/>
    <w:link w:val="Heading4"/>
    <w:uiPriority w:val="9"/>
    <w:rsid w:val="00A71D33"/>
    <w:rPr>
      <w:rFonts w:asciiTheme="majorHAnsi" w:eastAsiaTheme="majorEastAsia" w:hAnsiTheme="majorHAnsi" w:cstheme="majorBidi"/>
      <w:i/>
      <w:iCs/>
      <w:color w:val="2F5496" w:themeColor="accent1" w:themeShade="BF"/>
    </w:rPr>
  </w:style>
  <w:style w:type="table" w:styleId="TableGridLight">
    <w:name w:val="Grid Table Light"/>
    <w:basedOn w:val="TableNormal"/>
    <w:uiPriority w:val="40"/>
    <w:rsid w:val="00127F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bullets">
    <w:name w:val="List paragraph—bullets"/>
    <w:basedOn w:val="ListParagraph"/>
    <w:qFormat/>
    <w:rsid w:val="00CB2B58"/>
    <w:pPr>
      <w:numPr>
        <w:numId w:val="42"/>
      </w:numPr>
      <w:spacing w:line="240" w:lineRule="auto"/>
      <w:ind w:left="567" w:hanging="567"/>
    </w:pPr>
    <w:rPr>
      <w:rFonts w:ascii="Calibri" w:hAnsi="Calibri"/>
      <w:lang w:eastAsia="zh-TW"/>
    </w:rPr>
  </w:style>
  <w:style w:type="paragraph" w:customStyle="1" w:styleId="Listparagraphbulletssecondlevel">
    <w:name w:val="List paragraph—bullets—second level"/>
    <w:basedOn w:val="Listparagraphbullets"/>
    <w:autoRedefine/>
    <w:qFormat/>
    <w:rsid w:val="00CB2B58"/>
    <w:pPr>
      <w:numPr>
        <w:numId w:val="43"/>
      </w:numPr>
      <w:spacing w:after="0"/>
      <w:ind w:left="1134" w:hanging="567"/>
    </w:pPr>
    <w:rPr>
      <w:color w:val="000000"/>
      <w:szCs w:val="20"/>
    </w:rPr>
  </w:style>
  <w:style w:type="paragraph" w:customStyle="1" w:styleId="Tabletext">
    <w:name w:val="Table text"/>
    <w:basedOn w:val="Normal"/>
    <w:qFormat/>
    <w:rsid w:val="006B4AFF"/>
    <w:pPr>
      <w:spacing w:before="40" w:after="40" w:line="240" w:lineRule="auto"/>
    </w:pPr>
    <w:rPr>
      <w:rFonts w:ascii="Calibri" w:eastAsia="Times New Roman" w:hAnsi="Calibri" w:cs="Times New Roman"/>
      <w:szCs w:val="20"/>
    </w:rPr>
  </w:style>
  <w:style w:type="paragraph" w:customStyle="1" w:styleId="Tablerowcolumnheading">
    <w:name w:val="Table row/column heading"/>
    <w:basedOn w:val="Normal"/>
    <w:next w:val="Normal"/>
    <w:rsid w:val="006B4AFF"/>
    <w:pPr>
      <w:shd w:val="clear" w:color="auto" w:fill="081E3E"/>
      <w:spacing w:before="60" w:after="60" w:line="240" w:lineRule="auto"/>
    </w:pPr>
    <w:rPr>
      <w:rFonts w:ascii="Calibri" w:hAnsi="Calibri"/>
      <w:b/>
      <w:color w:val="FFFFFF" w:themeColor="background1"/>
      <w:szCs w:val="20"/>
    </w:rPr>
  </w:style>
  <w:style w:type="paragraph" w:customStyle="1" w:styleId="Tabletextcentred">
    <w:name w:val="Table text—centred"/>
    <w:basedOn w:val="Tabletext"/>
    <w:next w:val="NoSpacing"/>
    <w:rsid w:val="006B4AFF"/>
    <w:pPr>
      <w:jc w:val="center"/>
    </w:pPr>
  </w:style>
  <w:style w:type="paragraph" w:customStyle="1" w:styleId="Tablerowcolumnheadingcentred">
    <w:name w:val="Table row/column heading—centred"/>
    <w:basedOn w:val="Tablerowcolumnheading"/>
    <w:next w:val="Normal"/>
    <w:rsid w:val="006B4AFF"/>
    <w:pPr>
      <w:jc w:val="center"/>
    </w:pPr>
  </w:style>
  <w:style w:type="paragraph" w:customStyle="1" w:styleId="Tabletextbullets">
    <w:name w:val="Table text—bullets"/>
    <w:basedOn w:val="Listparagraphbullets"/>
    <w:qFormat/>
    <w:rsid w:val="006B4AFF"/>
    <w:pPr>
      <w:numPr>
        <w:numId w:val="2"/>
      </w:numPr>
      <w:spacing w:before="60" w:after="60"/>
      <w:ind w:left="284" w:hanging="284"/>
    </w:pPr>
    <w:rPr>
      <w:color w:val="000000" w:themeColor="text1"/>
      <w:szCs w:val="20"/>
    </w:rPr>
  </w:style>
  <w:style w:type="table" w:customStyle="1" w:styleId="DefaultTable11">
    <w:name w:val="Default Table 11"/>
    <w:basedOn w:val="TableNormal"/>
    <w:uiPriority w:val="99"/>
    <w:rsid w:val="006B4AFF"/>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paragraph" w:styleId="NoSpacing">
    <w:name w:val="No Spacing"/>
    <w:uiPriority w:val="1"/>
    <w:qFormat/>
    <w:rsid w:val="006B4A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2347">
      <w:bodyDiv w:val="1"/>
      <w:marLeft w:val="0"/>
      <w:marRight w:val="0"/>
      <w:marTop w:val="0"/>
      <w:marBottom w:val="0"/>
      <w:divBdr>
        <w:top w:val="none" w:sz="0" w:space="0" w:color="auto"/>
        <w:left w:val="none" w:sz="0" w:space="0" w:color="auto"/>
        <w:bottom w:val="none" w:sz="0" w:space="0" w:color="auto"/>
        <w:right w:val="none" w:sz="0" w:space="0" w:color="auto"/>
      </w:divBdr>
    </w:div>
    <w:div w:id="817112316">
      <w:bodyDiv w:val="1"/>
      <w:marLeft w:val="0"/>
      <w:marRight w:val="0"/>
      <w:marTop w:val="0"/>
      <w:marBottom w:val="0"/>
      <w:divBdr>
        <w:top w:val="none" w:sz="0" w:space="0" w:color="auto"/>
        <w:left w:val="none" w:sz="0" w:space="0" w:color="auto"/>
        <w:bottom w:val="none" w:sz="0" w:space="0" w:color="auto"/>
        <w:right w:val="none" w:sz="0" w:space="0" w:color="auto"/>
      </w:divBdr>
    </w:div>
    <w:div w:id="1009795343">
      <w:bodyDiv w:val="1"/>
      <w:marLeft w:val="0"/>
      <w:marRight w:val="0"/>
      <w:marTop w:val="0"/>
      <w:marBottom w:val="0"/>
      <w:divBdr>
        <w:top w:val="none" w:sz="0" w:space="0" w:color="auto"/>
        <w:left w:val="none" w:sz="0" w:space="0" w:color="auto"/>
        <w:bottom w:val="none" w:sz="0" w:space="0" w:color="auto"/>
        <w:right w:val="none" w:sz="0" w:space="0" w:color="auto"/>
      </w:divBdr>
    </w:div>
    <w:div w:id="1115321283">
      <w:bodyDiv w:val="1"/>
      <w:marLeft w:val="0"/>
      <w:marRight w:val="0"/>
      <w:marTop w:val="0"/>
      <w:marBottom w:val="0"/>
      <w:divBdr>
        <w:top w:val="none" w:sz="0" w:space="0" w:color="auto"/>
        <w:left w:val="none" w:sz="0" w:space="0" w:color="auto"/>
        <w:bottom w:val="none" w:sz="0" w:space="0" w:color="auto"/>
        <w:right w:val="none" w:sz="0" w:space="0" w:color="auto"/>
      </w:divBdr>
    </w:div>
    <w:div w:id="1634092201">
      <w:bodyDiv w:val="1"/>
      <w:marLeft w:val="0"/>
      <w:marRight w:val="0"/>
      <w:marTop w:val="0"/>
      <w:marBottom w:val="0"/>
      <w:divBdr>
        <w:top w:val="none" w:sz="0" w:space="0" w:color="auto"/>
        <w:left w:val="none" w:sz="0" w:space="0" w:color="auto"/>
        <w:bottom w:val="none" w:sz="0" w:space="0" w:color="auto"/>
        <w:right w:val="none" w:sz="0" w:space="0" w:color="auto"/>
      </w:divBdr>
    </w:div>
    <w:div w:id="18932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F2005L01284/lates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EA5AA-7D7A-4017-96E1-DDB88776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1092</Words>
  <Characters>6042</Characters>
  <Application>Microsoft Office Word</Application>
  <DocSecurity>0</DocSecurity>
  <Lines>223</Lines>
  <Paragraphs>69</Paragraphs>
  <ScaleCrop>false</ScaleCrop>
  <HeadingPairs>
    <vt:vector size="2" baseType="variant">
      <vt:variant>
        <vt:lpstr>Title</vt:lpstr>
      </vt:variant>
      <vt:variant>
        <vt:i4>1</vt:i4>
      </vt:variant>
    </vt:vector>
  </HeadingPairs>
  <TitlesOfParts>
    <vt:vector size="1" baseType="lpstr">
      <vt:lpstr>Publications—Overview</vt:lpstr>
    </vt:vector>
  </TitlesOfParts>
  <Company>Australian Government, Department of Infrastructure, Transport, Regional Development, Communications and the Arts</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Classifiction—Publications—Overview</dc:title>
  <dc:subject/>
  <dc:creator>Australian Government, Department of Infrastructure, Transport, Regional Development, Communications and the Arts</dc:creator>
  <cp:keywords/>
  <dc:description/>
  <cp:lastModifiedBy>Hall, Theresa</cp:lastModifiedBy>
  <cp:revision>3</cp:revision>
  <cp:lastPrinted>2024-09-24T04:22:00Z</cp:lastPrinted>
  <dcterms:created xsi:type="dcterms:W3CDTF">2025-02-20T04:33:00Z</dcterms:created>
  <dcterms:modified xsi:type="dcterms:W3CDTF">2025-02-20T04:37:00Z</dcterms:modified>
</cp:coreProperties>
</file>