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5A4F2" w14:textId="77777777" w:rsidR="003C0356" w:rsidRDefault="00A816B8" w:rsidP="007F4D21">
      <w:pPr>
        <w:spacing w:after="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57AC96D" wp14:editId="528E0382">
            <wp:extent cx="2733675" cy="1762125"/>
            <wp:effectExtent l="0" t="0" r="9525" b="9525"/>
            <wp:docPr id="2" name="Picture 2" descr="Logo: Australian Government, Department of Communications and the Arts.&#10;&#10;www.classification.gov.a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: Australian Government, Department of Communications and the Art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962E" w14:textId="77777777" w:rsidR="00857C55" w:rsidRDefault="00857C55" w:rsidP="00BC0598">
      <w:pPr>
        <w:spacing w:after="0"/>
        <w:ind w:left="-1418"/>
      </w:pPr>
    </w:p>
    <w:p w14:paraId="080F3A61" w14:textId="77777777" w:rsidR="009066B2" w:rsidRDefault="009066B2" w:rsidP="00BC0598">
      <w:pPr>
        <w:spacing w:after="0"/>
        <w:ind w:left="-1418"/>
        <w:sectPr w:rsidR="009066B2" w:rsidSect="004018B3">
          <w:footerReference w:type="default" r:id="rId12"/>
          <w:pgSz w:w="11906" w:h="16838"/>
          <w:pgMar w:top="426" w:right="991" w:bottom="1440" w:left="1440" w:header="0" w:footer="397" w:gutter="0"/>
          <w:cols w:space="708"/>
          <w:docGrid w:linePitch="360"/>
        </w:sectPr>
      </w:pPr>
    </w:p>
    <w:p w14:paraId="4B3F62A5" w14:textId="08FB1E08" w:rsidR="004018B3" w:rsidRPr="002E3F1C" w:rsidRDefault="0018600C" w:rsidP="0018600C">
      <w:pPr>
        <w:ind w:left="2268" w:hanging="2268"/>
        <w:rPr>
          <w:sz w:val="22"/>
        </w:rPr>
      </w:pPr>
      <w:r w:rsidRPr="002E3F1C">
        <w:rPr>
          <w:b/>
          <w:sz w:val="22"/>
        </w:rPr>
        <w:t>Date</w:t>
      </w:r>
      <w:r w:rsidRPr="002E3F1C">
        <w:rPr>
          <w:sz w:val="22"/>
        </w:rPr>
        <w:t xml:space="preserve">: </w:t>
      </w:r>
      <w:r w:rsidRPr="002E3F1C">
        <w:rPr>
          <w:sz w:val="22"/>
        </w:rPr>
        <w:tab/>
      </w:r>
      <w:r w:rsidR="00F827E5">
        <w:rPr>
          <w:sz w:val="22"/>
        </w:rPr>
        <w:t>20 April</w:t>
      </w:r>
      <w:r w:rsidR="00E21177">
        <w:rPr>
          <w:sz w:val="22"/>
        </w:rPr>
        <w:t xml:space="preserve"> 202</w:t>
      </w:r>
      <w:r w:rsidR="00F827E5">
        <w:rPr>
          <w:sz w:val="22"/>
        </w:rPr>
        <w:t>2</w:t>
      </w:r>
    </w:p>
    <w:p w14:paraId="59B831C0" w14:textId="55DAD79C" w:rsidR="00DC4E40" w:rsidRPr="002E3F1C" w:rsidRDefault="00DC4E40" w:rsidP="00DC4E40">
      <w:pPr>
        <w:ind w:left="2268" w:hanging="2268"/>
        <w:rPr>
          <w:sz w:val="22"/>
        </w:rPr>
      </w:pPr>
      <w:r w:rsidRPr="002E3F1C">
        <w:rPr>
          <w:b/>
          <w:sz w:val="22"/>
        </w:rPr>
        <w:t>Members:</w:t>
      </w:r>
      <w:r w:rsidRPr="002E3F1C">
        <w:rPr>
          <w:sz w:val="22"/>
        </w:rPr>
        <w:tab/>
      </w:r>
      <w:r w:rsidR="009066B2" w:rsidRPr="002E3F1C">
        <w:rPr>
          <w:sz w:val="22"/>
        </w:rPr>
        <w:t>Sue Knowles</w:t>
      </w:r>
      <w:r w:rsidRPr="002E3F1C">
        <w:rPr>
          <w:sz w:val="22"/>
        </w:rPr>
        <w:t xml:space="preserve"> (Chair)</w:t>
      </w:r>
      <w:r w:rsidR="007B6337">
        <w:rPr>
          <w:sz w:val="22"/>
        </w:rPr>
        <w:t xml:space="preserve"> </w:t>
      </w:r>
      <w:r w:rsidRPr="002E3F1C">
        <w:rPr>
          <w:sz w:val="22"/>
        </w:rPr>
        <w:br/>
      </w:r>
      <w:r w:rsidR="00F827E5">
        <w:rPr>
          <w:sz w:val="22"/>
        </w:rPr>
        <w:t>Susan Bush</w:t>
      </w:r>
      <w:r w:rsidRPr="002E3F1C">
        <w:rPr>
          <w:sz w:val="22"/>
        </w:rPr>
        <w:br/>
      </w:r>
      <w:r w:rsidR="00EF2785">
        <w:rPr>
          <w:sz w:val="22"/>
        </w:rPr>
        <w:t>Adam Davy</w:t>
      </w:r>
      <w:r w:rsidR="00F827E5">
        <w:rPr>
          <w:sz w:val="22"/>
        </w:rPr>
        <w:br/>
        <w:t>David Toll</w:t>
      </w:r>
      <w:r w:rsidR="009066B2" w:rsidRPr="002E3F1C">
        <w:rPr>
          <w:sz w:val="22"/>
        </w:rPr>
        <w:t xml:space="preserve"> </w:t>
      </w:r>
    </w:p>
    <w:p w14:paraId="0A597C7A" w14:textId="57C38002" w:rsidR="00DC4E40" w:rsidRPr="002E3F1C" w:rsidRDefault="00DC4E40" w:rsidP="00DC4E40">
      <w:pPr>
        <w:ind w:left="2268" w:hanging="2268"/>
        <w:rPr>
          <w:sz w:val="22"/>
        </w:rPr>
      </w:pPr>
      <w:r w:rsidRPr="002E3F1C">
        <w:rPr>
          <w:b/>
          <w:sz w:val="22"/>
        </w:rPr>
        <w:t>Applicant:</w:t>
      </w:r>
      <w:r w:rsidRPr="002E3F1C">
        <w:rPr>
          <w:sz w:val="22"/>
        </w:rPr>
        <w:tab/>
      </w:r>
      <w:r w:rsidR="00F827E5">
        <w:rPr>
          <w:sz w:val="22"/>
        </w:rPr>
        <w:t>Double Eleven</w:t>
      </w:r>
    </w:p>
    <w:p w14:paraId="630405D9" w14:textId="54473031" w:rsidR="00903DE7" w:rsidRPr="002E3F1C" w:rsidRDefault="00DC4E40" w:rsidP="00903DE7">
      <w:pPr>
        <w:ind w:left="2268" w:hanging="2268"/>
        <w:rPr>
          <w:sz w:val="22"/>
        </w:rPr>
      </w:pPr>
      <w:r w:rsidRPr="002E3F1C">
        <w:rPr>
          <w:b/>
          <w:sz w:val="22"/>
        </w:rPr>
        <w:t>Interested parties</w:t>
      </w:r>
      <w:r w:rsidRPr="002E3F1C">
        <w:rPr>
          <w:sz w:val="22"/>
        </w:rPr>
        <w:t>:</w:t>
      </w:r>
      <w:r w:rsidRPr="002E3F1C">
        <w:rPr>
          <w:sz w:val="22"/>
        </w:rPr>
        <w:tab/>
      </w:r>
      <w:r w:rsidR="00903DE7" w:rsidRPr="00903DE7">
        <w:rPr>
          <w:sz w:val="22"/>
        </w:rPr>
        <w:t>Jacques Bezuidenhout</w:t>
      </w:r>
      <w:r w:rsidR="00903DE7">
        <w:rPr>
          <w:sz w:val="22"/>
        </w:rPr>
        <w:tab/>
        <w:t>Peter Skaltsounis</w:t>
      </w:r>
      <w:r w:rsidR="00903DE7">
        <w:rPr>
          <w:sz w:val="22"/>
        </w:rPr>
        <w:br/>
        <w:t>Finn McColl</w:t>
      </w:r>
      <w:r w:rsidR="00903DE7">
        <w:rPr>
          <w:sz w:val="22"/>
        </w:rPr>
        <w:tab/>
      </w:r>
      <w:r w:rsidR="00903DE7">
        <w:rPr>
          <w:sz w:val="22"/>
        </w:rPr>
        <w:tab/>
      </w:r>
      <w:r w:rsidR="00903DE7">
        <w:rPr>
          <w:sz w:val="22"/>
        </w:rPr>
        <w:tab/>
        <w:t>Simon Green</w:t>
      </w:r>
      <w:r w:rsidR="00903DE7">
        <w:rPr>
          <w:sz w:val="22"/>
        </w:rPr>
        <w:br/>
        <w:t>Ben</w:t>
      </w:r>
      <w:r w:rsidR="008254FD">
        <w:rPr>
          <w:sz w:val="22"/>
        </w:rPr>
        <w:t>jamin</w:t>
      </w:r>
      <w:r w:rsidR="00903DE7">
        <w:rPr>
          <w:sz w:val="22"/>
        </w:rPr>
        <w:t xml:space="preserve"> Loc</w:t>
      </w:r>
      <w:r w:rsidR="008254FD">
        <w:rPr>
          <w:sz w:val="22"/>
        </w:rPr>
        <w:t>ke</w:t>
      </w:r>
      <w:r w:rsidR="008254FD">
        <w:rPr>
          <w:sz w:val="22"/>
        </w:rPr>
        <w:tab/>
      </w:r>
      <w:r w:rsidR="008254FD">
        <w:rPr>
          <w:sz w:val="22"/>
        </w:rPr>
        <w:tab/>
      </w:r>
      <w:r w:rsidR="00903DE7">
        <w:rPr>
          <w:sz w:val="22"/>
        </w:rPr>
        <w:t>Brendan Sherrin</w:t>
      </w:r>
      <w:r w:rsidR="00903DE7">
        <w:rPr>
          <w:sz w:val="22"/>
        </w:rPr>
        <w:br/>
        <w:t>Shane Scriven</w:t>
      </w:r>
      <w:r w:rsidR="00903DE7">
        <w:rPr>
          <w:sz w:val="22"/>
        </w:rPr>
        <w:tab/>
      </w:r>
      <w:r w:rsidR="00903DE7">
        <w:rPr>
          <w:sz w:val="22"/>
        </w:rPr>
        <w:tab/>
        <w:t>Josh Walsh</w:t>
      </w:r>
      <w:r w:rsidR="00903DE7">
        <w:rPr>
          <w:sz w:val="22"/>
        </w:rPr>
        <w:tab/>
      </w:r>
      <w:r w:rsidR="00903DE7">
        <w:rPr>
          <w:sz w:val="22"/>
        </w:rPr>
        <w:br/>
        <w:t>James Massey</w:t>
      </w:r>
      <w:r w:rsidR="00903DE7">
        <w:rPr>
          <w:sz w:val="22"/>
        </w:rPr>
        <w:tab/>
      </w:r>
      <w:r w:rsidR="00903DE7">
        <w:rPr>
          <w:sz w:val="22"/>
        </w:rPr>
        <w:tab/>
        <w:t>Douglas Drake</w:t>
      </w:r>
      <w:r w:rsidR="00903DE7">
        <w:rPr>
          <w:sz w:val="22"/>
        </w:rPr>
        <w:br/>
        <w:t>Alexander Lambert</w:t>
      </w:r>
      <w:r w:rsidR="00903DE7">
        <w:rPr>
          <w:sz w:val="22"/>
        </w:rPr>
        <w:tab/>
      </w:r>
      <w:r w:rsidR="00903DE7">
        <w:rPr>
          <w:sz w:val="22"/>
        </w:rPr>
        <w:tab/>
        <w:t>Octavio Ferreira</w:t>
      </w:r>
      <w:r w:rsidR="00903DE7">
        <w:rPr>
          <w:sz w:val="22"/>
        </w:rPr>
        <w:br/>
        <w:t>Molly Pearce</w:t>
      </w:r>
      <w:r w:rsidR="00903DE7">
        <w:rPr>
          <w:sz w:val="22"/>
        </w:rPr>
        <w:tab/>
      </w:r>
      <w:r w:rsidR="00903DE7">
        <w:rPr>
          <w:sz w:val="22"/>
        </w:rPr>
        <w:tab/>
      </w:r>
      <w:r w:rsidR="00903DE7">
        <w:rPr>
          <w:sz w:val="22"/>
        </w:rPr>
        <w:tab/>
        <w:t>Michael Main</w:t>
      </w:r>
      <w:r w:rsidR="00903DE7">
        <w:rPr>
          <w:sz w:val="22"/>
        </w:rPr>
        <w:br/>
        <w:t>Chris</w:t>
      </w:r>
      <w:r w:rsidR="008254FD">
        <w:rPr>
          <w:sz w:val="22"/>
        </w:rPr>
        <w:t>topher Payton</w:t>
      </w:r>
      <w:r w:rsidR="008254FD">
        <w:rPr>
          <w:sz w:val="22"/>
        </w:rPr>
        <w:tab/>
      </w:r>
      <w:r w:rsidR="008254FD">
        <w:rPr>
          <w:sz w:val="22"/>
        </w:rPr>
        <w:tab/>
      </w:r>
      <w:r w:rsidR="00903DE7">
        <w:rPr>
          <w:sz w:val="22"/>
        </w:rPr>
        <w:t>Navrin Thomas</w:t>
      </w:r>
      <w:r w:rsidR="00903DE7">
        <w:rPr>
          <w:sz w:val="22"/>
        </w:rPr>
        <w:br/>
        <w:t>Mitz</w:t>
      </w:r>
      <w:r w:rsidR="00903DE7">
        <w:rPr>
          <w:sz w:val="22"/>
        </w:rPr>
        <w:tab/>
      </w:r>
      <w:r w:rsidR="00903DE7">
        <w:rPr>
          <w:sz w:val="22"/>
        </w:rPr>
        <w:tab/>
      </w:r>
      <w:r w:rsidR="00903DE7">
        <w:rPr>
          <w:sz w:val="22"/>
        </w:rPr>
        <w:tab/>
      </w:r>
      <w:r w:rsidR="00903DE7">
        <w:rPr>
          <w:sz w:val="22"/>
        </w:rPr>
        <w:tab/>
        <w:t>Kyle Brown</w:t>
      </w:r>
      <w:r w:rsidR="00903DE7">
        <w:rPr>
          <w:sz w:val="22"/>
        </w:rPr>
        <w:br/>
      </w:r>
      <w:r w:rsidR="00550CA0">
        <w:rPr>
          <w:sz w:val="22"/>
        </w:rPr>
        <w:t>EH</w:t>
      </w:r>
      <w:r w:rsidR="00550CA0">
        <w:rPr>
          <w:sz w:val="22"/>
        </w:rPr>
        <w:tab/>
      </w:r>
      <w:r w:rsidR="00903DE7">
        <w:rPr>
          <w:sz w:val="22"/>
        </w:rPr>
        <w:tab/>
      </w:r>
      <w:r w:rsidR="00903DE7">
        <w:rPr>
          <w:sz w:val="22"/>
        </w:rPr>
        <w:tab/>
      </w:r>
      <w:r w:rsidR="00903DE7">
        <w:rPr>
          <w:sz w:val="22"/>
        </w:rPr>
        <w:tab/>
        <w:t>James Sadler</w:t>
      </w:r>
      <w:r w:rsidR="00903DE7">
        <w:rPr>
          <w:sz w:val="22"/>
        </w:rPr>
        <w:br/>
        <w:t>Phill</w:t>
      </w:r>
      <w:r w:rsidR="00CC4FEB">
        <w:rPr>
          <w:sz w:val="22"/>
        </w:rPr>
        <w:t>ip Boyack</w:t>
      </w:r>
      <w:r w:rsidR="00CC4FEB">
        <w:rPr>
          <w:sz w:val="22"/>
        </w:rPr>
        <w:tab/>
      </w:r>
      <w:r w:rsidR="00CC4FEB">
        <w:rPr>
          <w:sz w:val="22"/>
        </w:rPr>
        <w:tab/>
        <w:t xml:space="preserve">Annamaria </w:t>
      </w:r>
      <w:r w:rsidR="00CC4FEB">
        <w:rPr>
          <w:sz w:val="22"/>
        </w:rPr>
        <w:lastRenderedPageBreak/>
        <w:t>Quaresima</w:t>
      </w:r>
      <w:r w:rsidR="00CC4FEB">
        <w:rPr>
          <w:sz w:val="22"/>
        </w:rPr>
        <w:br/>
        <w:t>Amy Hightower</w:t>
      </w:r>
      <w:r w:rsidR="00CC4FEB">
        <w:rPr>
          <w:sz w:val="22"/>
        </w:rPr>
        <w:tab/>
      </w:r>
      <w:r w:rsidR="00CC4FEB">
        <w:rPr>
          <w:sz w:val="22"/>
        </w:rPr>
        <w:tab/>
      </w:r>
    </w:p>
    <w:p w14:paraId="452EFB41" w14:textId="2A83A782" w:rsidR="00DC4E40" w:rsidRPr="002E3F1C" w:rsidRDefault="00DC4E40" w:rsidP="00E21177">
      <w:pPr>
        <w:spacing w:after="0"/>
        <w:ind w:left="2268" w:hanging="2268"/>
        <w:rPr>
          <w:sz w:val="22"/>
        </w:rPr>
      </w:pPr>
      <w:r w:rsidRPr="002E3F1C">
        <w:rPr>
          <w:b/>
          <w:sz w:val="22"/>
        </w:rPr>
        <w:t>Business:</w:t>
      </w:r>
      <w:r w:rsidRPr="002E3F1C">
        <w:rPr>
          <w:sz w:val="22"/>
        </w:rPr>
        <w:tab/>
        <w:t xml:space="preserve">To review the Classification Board’s decision to classify the </w:t>
      </w:r>
      <w:r w:rsidR="00EF2785">
        <w:rPr>
          <w:sz w:val="22"/>
        </w:rPr>
        <w:t>computer game</w:t>
      </w:r>
      <w:r w:rsidR="00A47E43">
        <w:rPr>
          <w:i/>
          <w:sz w:val="22"/>
        </w:rPr>
        <w:t xml:space="preserve"> </w:t>
      </w:r>
      <w:r w:rsidR="00F827E5">
        <w:rPr>
          <w:i/>
          <w:sz w:val="22"/>
        </w:rPr>
        <w:t>RimWorld</w:t>
      </w:r>
      <w:r w:rsidR="009066B2" w:rsidRPr="002E3F1C">
        <w:rPr>
          <w:sz w:val="22"/>
        </w:rPr>
        <w:t xml:space="preserve">, </w:t>
      </w:r>
      <w:r w:rsidR="00EF2785">
        <w:rPr>
          <w:b/>
          <w:sz w:val="22"/>
        </w:rPr>
        <w:t>RC</w:t>
      </w:r>
      <w:r w:rsidR="009066B2" w:rsidRPr="002E3F1C">
        <w:rPr>
          <w:b/>
          <w:sz w:val="22"/>
        </w:rPr>
        <w:t xml:space="preserve"> (</w:t>
      </w:r>
      <w:r w:rsidR="00EF2785">
        <w:rPr>
          <w:b/>
          <w:sz w:val="22"/>
        </w:rPr>
        <w:t>Refused Classification</w:t>
      </w:r>
      <w:r w:rsidR="009066B2" w:rsidRPr="002E3F1C">
        <w:rPr>
          <w:b/>
          <w:sz w:val="22"/>
        </w:rPr>
        <w:t xml:space="preserve">). </w:t>
      </w:r>
    </w:p>
    <w:p w14:paraId="3669BD89" w14:textId="77777777" w:rsidR="00DC4E40" w:rsidRPr="00C43839" w:rsidRDefault="00DC4E40" w:rsidP="00DC4E40">
      <w:pPr>
        <w:pStyle w:val="Heading2"/>
      </w:pPr>
      <w:r w:rsidRPr="00C43839">
        <w:t>Decision and reasons for decision</w:t>
      </w:r>
    </w:p>
    <w:p w14:paraId="11991135" w14:textId="77777777" w:rsidR="00DC4E40" w:rsidRPr="00C43839" w:rsidRDefault="00DC4E40" w:rsidP="00DC4E40">
      <w:pPr>
        <w:pStyle w:val="Heading3"/>
      </w:pPr>
      <w:r w:rsidRPr="00C43839">
        <w:t>1. Decision</w:t>
      </w:r>
    </w:p>
    <w:p w14:paraId="3835C8F7" w14:textId="267E9163" w:rsidR="00DC4E40" w:rsidRPr="00C43839" w:rsidRDefault="00DC4E40" w:rsidP="00DC4E40">
      <w:r w:rsidRPr="00C43839">
        <w:t xml:space="preserve">The Classification Review Board (the Review Board) </w:t>
      </w:r>
      <w:r w:rsidR="00DC19CC">
        <w:t>unanimously</w:t>
      </w:r>
      <w:r w:rsidRPr="00C43839">
        <w:t xml:space="preserve"> classified the </w:t>
      </w:r>
      <w:r w:rsidR="00EF2785">
        <w:t>computer game</w:t>
      </w:r>
      <w:r w:rsidR="00C46181">
        <w:t xml:space="preserve"> </w:t>
      </w:r>
      <w:r w:rsidR="00C46181" w:rsidRPr="00DC19CC">
        <w:rPr>
          <w:i/>
        </w:rPr>
        <w:t>RimWorld</w:t>
      </w:r>
      <w:r w:rsidRPr="00DC19CC">
        <w:t xml:space="preserve"> </w:t>
      </w:r>
      <w:r w:rsidR="00DC19CC" w:rsidRPr="00DC19CC">
        <w:rPr>
          <w:b/>
        </w:rPr>
        <w:t>R 18+</w:t>
      </w:r>
      <w:r w:rsidRPr="00DC19CC">
        <w:t xml:space="preserve"> with the</w:t>
      </w:r>
      <w:r w:rsidRPr="00C43839">
        <w:t xml:space="preserve"> consumer advice </w:t>
      </w:r>
      <w:r w:rsidR="00DC19CC" w:rsidRPr="00DC19CC">
        <w:rPr>
          <w:b/>
        </w:rPr>
        <w:t>‘High impact themes and drug use’</w:t>
      </w:r>
      <w:r w:rsidRPr="00C43839">
        <w:t>.</w:t>
      </w:r>
    </w:p>
    <w:p w14:paraId="026B73BE" w14:textId="77777777" w:rsidR="00DC4E40" w:rsidRPr="00C43839" w:rsidRDefault="00DC4E40" w:rsidP="00DC4E40">
      <w:pPr>
        <w:pStyle w:val="Heading3"/>
      </w:pPr>
      <w:r w:rsidRPr="00C43839">
        <w:t>2. Legislat</w:t>
      </w:r>
      <w:r w:rsidRPr="00296D14">
        <w:rPr>
          <w:rStyle w:val="Heading2Char"/>
        </w:rPr>
        <w:t>i</w:t>
      </w:r>
      <w:r w:rsidRPr="00C43839">
        <w:t>ve provisions</w:t>
      </w:r>
    </w:p>
    <w:p w14:paraId="6F43E27D" w14:textId="77777777" w:rsidR="00DC4E40" w:rsidRPr="00C43839" w:rsidRDefault="00DC4E40" w:rsidP="00DC4E40">
      <w:r w:rsidRPr="00C43839">
        <w:t xml:space="preserve">The </w:t>
      </w:r>
      <w:r w:rsidRPr="00296D14">
        <w:rPr>
          <w:i/>
        </w:rPr>
        <w:t xml:space="preserve">Classification (Publications, </w:t>
      </w:r>
      <w:r w:rsidR="00EF2785">
        <w:rPr>
          <w:i/>
        </w:rPr>
        <w:t>Computer game</w:t>
      </w:r>
      <w:r w:rsidRPr="00296D14">
        <w:rPr>
          <w:i/>
        </w:rPr>
        <w:t xml:space="preserve"> and Computer Games) Act 1995</w:t>
      </w:r>
      <w:r w:rsidRPr="00C43839">
        <w:t xml:space="preserve"> (Cth) (the Classification Act) governs the classification of</w:t>
      </w:r>
      <w:r w:rsidR="004018B3">
        <w:t xml:space="preserve"> </w:t>
      </w:r>
      <w:r w:rsidR="00EF2785">
        <w:t>computer game</w:t>
      </w:r>
      <w:r w:rsidR="004018B3">
        <w:t>s a</w:t>
      </w:r>
      <w:r w:rsidRPr="00C43839">
        <w:t>nd the review of classification decisions.</w:t>
      </w:r>
    </w:p>
    <w:p w14:paraId="1A54C489" w14:textId="77777777" w:rsidR="00DC4E40" w:rsidRPr="00C43839" w:rsidRDefault="00DC4E40" w:rsidP="00DC4E40">
      <w:pPr>
        <w:pStyle w:val="Heading4"/>
      </w:pPr>
      <w:r w:rsidRPr="00C43839">
        <w:t>The Review Board</w:t>
      </w:r>
    </w:p>
    <w:p w14:paraId="41046E32" w14:textId="77777777" w:rsidR="00DC4E40" w:rsidRPr="00C43839" w:rsidRDefault="00DC4E40" w:rsidP="00DC4E40">
      <w:pPr>
        <w:keepNext/>
      </w:pPr>
      <w:r w:rsidRPr="00C43839">
        <w:t>Part 5 of the Classification Act outlines the provisions relevant to the Review Board and its procedures.</w:t>
      </w:r>
    </w:p>
    <w:p w14:paraId="6204575E" w14:textId="77777777" w:rsidR="00DC4E40" w:rsidRPr="002E3F1C" w:rsidRDefault="00DC4E40" w:rsidP="00DC4E40">
      <w:pPr>
        <w:keepNext/>
        <w:rPr>
          <w:rFonts w:cs="Segoe UI"/>
        </w:rPr>
      </w:pPr>
      <w:r w:rsidRPr="002E3F1C">
        <w:rPr>
          <w:rFonts w:cs="Segoe UI"/>
        </w:rPr>
        <w:t>Section 42 of the Classification Act sets out the persons who may apply for review of a decision:</w:t>
      </w:r>
    </w:p>
    <w:p w14:paraId="5B989DDE" w14:textId="77777777" w:rsidR="00DC4E40" w:rsidRPr="002E3F1C" w:rsidRDefault="00DC4E40" w:rsidP="00DC4E40">
      <w:pPr>
        <w:pStyle w:val="Bullet"/>
        <w:numPr>
          <w:ilvl w:val="0"/>
          <w:numId w:val="5"/>
        </w:numPr>
        <w:ind w:left="567" w:hanging="567"/>
        <w:rPr>
          <w:rFonts w:ascii="Segoe UI" w:hAnsi="Segoe UI" w:cs="Segoe UI"/>
        </w:rPr>
      </w:pPr>
      <w:r w:rsidRPr="002E3F1C">
        <w:rPr>
          <w:rFonts w:ascii="Segoe UI" w:hAnsi="Segoe UI" w:cs="Segoe UI"/>
        </w:rPr>
        <w:t>the Minister</w:t>
      </w:r>
    </w:p>
    <w:p w14:paraId="08ED3CFF" w14:textId="77777777" w:rsidR="00DC4E40" w:rsidRPr="002E3F1C" w:rsidRDefault="00DC4E40" w:rsidP="00DC4E40">
      <w:pPr>
        <w:pStyle w:val="Bullet"/>
        <w:numPr>
          <w:ilvl w:val="0"/>
          <w:numId w:val="5"/>
        </w:numPr>
        <w:ind w:left="567" w:hanging="567"/>
        <w:rPr>
          <w:rFonts w:ascii="Segoe UI" w:hAnsi="Segoe UI" w:cs="Segoe UI"/>
        </w:rPr>
      </w:pPr>
      <w:r w:rsidRPr="002E3F1C">
        <w:rPr>
          <w:rFonts w:ascii="Segoe UI" w:hAnsi="Segoe UI" w:cs="Segoe UI"/>
        </w:rPr>
        <w:t>the applicant for classification of the</w:t>
      </w:r>
      <w:r w:rsidR="004018B3" w:rsidRPr="002E3F1C">
        <w:rPr>
          <w:rFonts w:ascii="Segoe UI" w:hAnsi="Segoe UI" w:cs="Segoe UI"/>
        </w:rPr>
        <w:t xml:space="preserve"> </w:t>
      </w:r>
      <w:r w:rsidR="00EF2785">
        <w:rPr>
          <w:rFonts w:ascii="Segoe UI" w:hAnsi="Segoe UI" w:cs="Segoe UI"/>
        </w:rPr>
        <w:t>computer game</w:t>
      </w:r>
      <w:r w:rsidRPr="002E3F1C">
        <w:rPr>
          <w:rFonts w:ascii="Segoe UI" w:hAnsi="Segoe UI" w:cs="Segoe UI"/>
        </w:rPr>
        <w:t>, or the likely classification of the</w:t>
      </w:r>
      <w:r w:rsidR="004018B3" w:rsidRPr="002E3F1C">
        <w:rPr>
          <w:rFonts w:ascii="Segoe UI" w:hAnsi="Segoe UI" w:cs="Segoe UI"/>
        </w:rPr>
        <w:t xml:space="preserve"> </w:t>
      </w:r>
      <w:r w:rsidR="00EF2785">
        <w:rPr>
          <w:rFonts w:ascii="Segoe UI" w:hAnsi="Segoe UI" w:cs="Segoe UI"/>
        </w:rPr>
        <w:t>computer game</w:t>
      </w:r>
      <w:r w:rsidR="004018B3" w:rsidRPr="002E3F1C">
        <w:rPr>
          <w:rFonts w:ascii="Segoe UI" w:hAnsi="Segoe UI" w:cs="Segoe UI"/>
        </w:rPr>
        <w:t xml:space="preserve"> </w:t>
      </w:r>
      <w:r w:rsidRPr="002E3F1C">
        <w:rPr>
          <w:rFonts w:ascii="Segoe UI" w:hAnsi="Segoe UI" w:cs="Segoe UI"/>
        </w:rPr>
        <w:t>under section 33</w:t>
      </w:r>
    </w:p>
    <w:p w14:paraId="1049B2F8" w14:textId="77777777" w:rsidR="00DC4E40" w:rsidRPr="002E3F1C" w:rsidRDefault="00DC4E40" w:rsidP="00DC4E40">
      <w:pPr>
        <w:pStyle w:val="Bullet"/>
        <w:numPr>
          <w:ilvl w:val="0"/>
          <w:numId w:val="5"/>
        </w:numPr>
        <w:ind w:left="567" w:hanging="567"/>
        <w:rPr>
          <w:rFonts w:ascii="Segoe UI" w:hAnsi="Segoe UI" w:cs="Segoe UI"/>
        </w:rPr>
      </w:pPr>
      <w:r w:rsidRPr="002E3F1C">
        <w:rPr>
          <w:rFonts w:ascii="Segoe UI" w:hAnsi="Segoe UI" w:cs="Segoe UI"/>
        </w:rPr>
        <w:t>the publisher of the</w:t>
      </w:r>
      <w:r w:rsidR="004018B3" w:rsidRPr="002E3F1C">
        <w:rPr>
          <w:rFonts w:ascii="Segoe UI" w:hAnsi="Segoe UI" w:cs="Segoe UI"/>
        </w:rPr>
        <w:t xml:space="preserve"> </w:t>
      </w:r>
      <w:r w:rsidR="00EF2785">
        <w:rPr>
          <w:rFonts w:ascii="Segoe UI" w:hAnsi="Segoe UI" w:cs="Segoe UI"/>
        </w:rPr>
        <w:t>computer game</w:t>
      </w:r>
      <w:r w:rsidR="004018B3" w:rsidRPr="002E3F1C">
        <w:rPr>
          <w:rFonts w:ascii="Segoe UI" w:hAnsi="Segoe UI" w:cs="Segoe UI"/>
        </w:rPr>
        <w:t>,</w:t>
      </w:r>
      <w:r w:rsidRPr="002E3F1C">
        <w:rPr>
          <w:rFonts w:ascii="Segoe UI" w:hAnsi="Segoe UI" w:cs="Segoe UI"/>
        </w:rPr>
        <w:t xml:space="preserve"> or</w:t>
      </w:r>
    </w:p>
    <w:p w14:paraId="76638DA3" w14:textId="77777777" w:rsidR="00DC4E40" w:rsidRPr="002E3F1C" w:rsidRDefault="00DC4E40" w:rsidP="00DC4E40">
      <w:pPr>
        <w:pStyle w:val="Bullet"/>
        <w:numPr>
          <w:ilvl w:val="0"/>
          <w:numId w:val="5"/>
        </w:numPr>
        <w:ind w:left="567" w:hanging="567"/>
        <w:rPr>
          <w:rFonts w:ascii="Segoe UI" w:hAnsi="Segoe UI" w:cs="Segoe UI"/>
        </w:rPr>
      </w:pPr>
      <w:r w:rsidRPr="002E3F1C">
        <w:rPr>
          <w:rFonts w:ascii="Segoe UI" w:hAnsi="Segoe UI" w:cs="Segoe UI"/>
        </w:rPr>
        <w:t>a person aggrieved by the decision.</w:t>
      </w:r>
    </w:p>
    <w:p w14:paraId="643D933C" w14:textId="77777777" w:rsidR="00DC4E40" w:rsidRPr="00C43839" w:rsidRDefault="00DC4E40" w:rsidP="00DC4E40">
      <w:r w:rsidRPr="00C43839">
        <w:lastRenderedPageBreak/>
        <w:t>Section 43 sets out the conditions regarding the manner and form of applications for review, including time limits.</w:t>
      </w:r>
      <w:r>
        <w:t xml:space="preserve"> </w:t>
      </w:r>
      <w:r w:rsidRPr="00C43839">
        <w:t>Under section 44, the Review Board must deal with an application for review in the same way that the Classification Board deals with an application for classification of a</w:t>
      </w:r>
      <w:r w:rsidR="004018B3">
        <w:t xml:space="preserve"> </w:t>
      </w:r>
      <w:r w:rsidR="00EF2785">
        <w:t>computer game</w:t>
      </w:r>
      <w:r w:rsidR="004018B3">
        <w:t xml:space="preserve">. </w:t>
      </w:r>
    </w:p>
    <w:p w14:paraId="294649BA" w14:textId="77777777" w:rsidR="00DC4E40" w:rsidRPr="00C43839" w:rsidRDefault="00DC4E40" w:rsidP="00DC4E40">
      <w:pPr>
        <w:pStyle w:val="Heading4"/>
      </w:pPr>
      <w:r w:rsidRPr="00C43839">
        <w:t xml:space="preserve">Classification of </w:t>
      </w:r>
      <w:r w:rsidR="00EF2785">
        <w:t>computer game</w:t>
      </w:r>
      <w:r w:rsidRPr="00C43839">
        <w:t>s under the Classification Act</w:t>
      </w:r>
    </w:p>
    <w:p w14:paraId="088731C0" w14:textId="77777777" w:rsidR="00DC4E40" w:rsidRPr="00C43839" w:rsidRDefault="00DC4E40" w:rsidP="00DC4E40">
      <w:r w:rsidRPr="00C43839">
        <w:t xml:space="preserve">Section 9, subject to section 9A, provides that </w:t>
      </w:r>
      <w:r w:rsidR="00EF2785">
        <w:t>computer game</w:t>
      </w:r>
      <w:r w:rsidR="004018B3">
        <w:t>s a</w:t>
      </w:r>
      <w:r w:rsidRPr="00C43839">
        <w:t>re to be classified in accordance with the National Classification Code (the Code) and the classification guidelines.</w:t>
      </w:r>
      <w:r>
        <w:t xml:space="preserve"> </w:t>
      </w:r>
      <w:r w:rsidRPr="00C43839">
        <w:t xml:space="preserve">Section 9A states that a </w:t>
      </w:r>
      <w:r w:rsidR="00EF2785">
        <w:t>computer game</w:t>
      </w:r>
      <w:r w:rsidR="004018B3">
        <w:t xml:space="preserve"> t</w:t>
      </w:r>
      <w:r w:rsidRPr="00C43839">
        <w:t>hat advocates the doing of a terrorist act must be classified RC.</w:t>
      </w:r>
    </w:p>
    <w:p w14:paraId="458C49AC" w14:textId="77777777" w:rsidR="00DC4E40" w:rsidRPr="00C43839" w:rsidRDefault="00DC4E40" w:rsidP="00DC4E40">
      <w:r w:rsidRPr="00C43839">
        <w:t xml:space="preserve">Section 11 of the Classification Act requires that the matters to be taken into account in making a decision on the classification of a </w:t>
      </w:r>
      <w:r w:rsidR="00EF2785">
        <w:t>computer game</w:t>
      </w:r>
      <w:r w:rsidRPr="00C43839">
        <w:t xml:space="preserve"> include</w:t>
      </w:r>
      <w:r>
        <w:t xml:space="preserve"> the</w:t>
      </w:r>
      <w:r w:rsidRPr="00C43839">
        <w:t>:</w:t>
      </w:r>
    </w:p>
    <w:p w14:paraId="31F32ACB" w14:textId="77777777" w:rsidR="00DC4E40" w:rsidRPr="00C43839" w:rsidRDefault="00DC4E40" w:rsidP="00DC4E40">
      <w:pPr>
        <w:pStyle w:val="ListParagraph"/>
        <w:numPr>
          <w:ilvl w:val="0"/>
          <w:numId w:val="6"/>
        </w:numPr>
        <w:spacing w:after="200"/>
        <w:ind w:left="567" w:hanging="567"/>
      </w:pPr>
      <w:r w:rsidRPr="00C43839">
        <w:t>standards of morality, decency and propriety generally accepted by reasonable adults</w:t>
      </w:r>
      <w:r>
        <w:t>, and</w:t>
      </w:r>
    </w:p>
    <w:p w14:paraId="58BD8962" w14:textId="77777777" w:rsidR="00DC4E40" w:rsidRPr="00C43839" w:rsidRDefault="00DC4E40" w:rsidP="00DC4E40">
      <w:pPr>
        <w:pStyle w:val="ListParagraph"/>
        <w:numPr>
          <w:ilvl w:val="0"/>
          <w:numId w:val="6"/>
        </w:numPr>
        <w:spacing w:after="200"/>
        <w:ind w:left="567" w:hanging="567"/>
      </w:pPr>
      <w:r w:rsidRPr="00C43839">
        <w:t>literary, artistic or educational merit (if any) of the</w:t>
      </w:r>
      <w:r w:rsidR="004018B3">
        <w:t xml:space="preserve"> </w:t>
      </w:r>
      <w:r w:rsidR="00EF2785">
        <w:t>computer game</w:t>
      </w:r>
      <w:r>
        <w:t>,</w:t>
      </w:r>
      <w:r w:rsidRPr="00C43839">
        <w:t xml:space="preserve"> and</w:t>
      </w:r>
    </w:p>
    <w:p w14:paraId="7A4C540F" w14:textId="77777777" w:rsidR="00DC4E40" w:rsidRPr="00C43839" w:rsidRDefault="00DC4E40" w:rsidP="00DC4E40">
      <w:pPr>
        <w:pStyle w:val="ListParagraph"/>
        <w:numPr>
          <w:ilvl w:val="0"/>
          <w:numId w:val="6"/>
        </w:numPr>
        <w:spacing w:after="200"/>
        <w:ind w:left="567" w:hanging="567"/>
      </w:pPr>
      <w:r w:rsidRPr="00C43839">
        <w:t>general character of the</w:t>
      </w:r>
      <w:r w:rsidR="004018B3">
        <w:t xml:space="preserve"> </w:t>
      </w:r>
      <w:r w:rsidR="00EF2785">
        <w:t>computer game</w:t>
      </w:r>
      <w:r w:rsidR="004018B3">
        <w:t xml:space="preserve">, </w:t>
      </w:r>
      <w:r w:rsidRPr="00C43839">
        <w:t>including whether it is of a medical, legal or scientific character</w:t>
      </w:r>
      <w:r>
        <w:t>, and</w:t>
      </w:r>
    </w:p>
    <w:p w14:paraId="5D41AD06" w14:textId="77777777" w:rsidR="00DC4E40" w:rsidRPr="00C43839" w:rsidRDefault="00DC4E40" w:rsidP="00DC4E40">
      <w:pPr>
        <w:pStyle w:val="ListParagraph"/>
        <w:numPr>
          <w:ilvl w:val="0"/>
          <w:numId w:val="6"/>
        </w:numPr>
        <w:spacing w:after="200"/>
        <w:ind w:left="567" w:hanging="567"/>
      </w:pPr>
      <w:r w:rsidRPr="00C43839">
        <w:t>persons or class of persons to or amongst whom it is published or is intended or likely to be published.</w:t>
      </w:r>
    </w:p>
    <w:p w14:paraId="3B979679" w14:textId="77777777" w:rsidR="00DC4E40" w:rsidRPr="00C43839" w:rsidRDefault="00DC4E40" w:rsidP="00DC4E40">
      <w:pPr>
        <w:pStyle w:val="Heading4"/>
      </w:pPr>
      <w:r w:rsidRPr="00C43839">
        <w:t>The National Classification Code</w:t>
      </w:r>
    </w:p>
    <w:p w14:paraId="41746AE3" w14:textId="13957EC2" w:rsidR="00DC4E40" w:rsidRPr="00C43839" w:rsidRDefault="00DC4E40" w:rsidP="00DC4E40">
      <w:r w:rsidRPr="00C43839">
        <w:t xml:space="preserve">Relevantly, the </w:t>
      </w:r>
      <w:r w:rsidR="00EF2785">
        <w:t>Computer game</w:t>
      </w:r>
      <w:r w:rsidR="004018B3">
        <w:t xml:space="preserve">s </w:t>
      </w:r>
      <w:r w:rsidRPr="00C43839">
        <w:t>Table of the National Classification Code (the Code)</w:t>
      </w:r>
      <w:r>
        <w:t xml:space="preserve"> provides that:</w:t>
      </w:r>
      <w:r w:rsidRPr="00192E85">
        <w:t xml:space="preserve"> </w:t>
      </w:r>
    </w:p>
    <w:p w14:paraId="23A8FFFE" w14:textId="3F79A0ED" w:rsidR="001A6C73" w:rsidRDefault="00EF2785" w:rsidP="00DC4E40">
      <w:r>
        <w:t>Computer game</w:t>
      </w:r>
      <w:r w:rsidR="00DC4E40" w:rsidRPr="004018B3">
        <w:t xml:space="preserve">s (except RC </w:t>
      </w:r>
      <w:r>
        <w:t>computer game</w:t>
      </w:r>
      <w:r w:rsidR="00DC4E40" w:rsidRPr="004018B3">
        <w:t>s)</w:t>
      </w:r>
      <w:r w:rsidR="00DC4E40" w:rsidRPr="0039770B">
        <w:t xml:space="preserve"> that are unsuitable for viewing or playing by a minor are </w:t>
      </w:r>
      <w:r w:rsidR="00DC4E40" w:rsidRPr="004018B3">
        <w:rPr>
          <w:b/>
        </w:rPr>
        <w:t>to be classified R 18+</w:t>
      </w:r>
      <w:r w:rsidR="004018B3">
        <w:t>, and</w:t>
      </w:r>
      <w:r w:rsidR="000C3D6D">
        <w:t>;</w:t>
      </w:r>
    </w:p>
    <w:p w14:paraId="257181F3" w14:textId="77777777" w:rsidR="00DC4E40" w:rsidRPr="00C43839" w:rsidRDefault="00DC4E40" w:rsidP="00DC4E40">
      <w:r w:rsidRPr="00C43839">
        <w:lastRenderedPageBreak/>
        <w:t>The Code also sets out various principles to which classification decisions should give effect, as far as possible:</w:t>
      </w:r>
    </w:p>
    <w:p w14:paraId="0E93167B" w14:textId="77777777" w:rsidR="00DC4E40" w:rsidRPr="00C43839" w:rsidRDefault="00DC4E40" w:rsidP="00DC4E40">
      <w:pPr>
        <w:pStyle w:val="ListParagraph"/>
        <w:numPr>
          <w:ilvl w:val="0"/>
          <w:numId w:val="7"/>
        </w:numPr>
        <w:spacing w:after="200"/>
        <w:ind w:left="567" w:hanging="567"/>
      </w:pPr>
      <w:r w:rsidRPr="00C43839">
        <w:t>adults should be able to read, hear, see and play what they want</w:t>
      </w:r>
    </w:p>
    <w:p w14:paraId="3BD21FEF" w14:textId="77777777" w:rsidR="00DC4E40" w:rsidRPr="00C43839" w:rsidRDefault="00DC4E40" w:rsidP="00DC4E40">
      <w:pPr>
        <w:pStyle w:val="ListParagraph"/>
        <w:numPr>
          <w:ilvl w:val="0"/>
          <w:numId w:val="7"/>
        </w:numPr>
        <w:spacing w:after="200"/>
        <w:ind w:left="567" w:hanging="567"/>
      </w:pPr>
      <w:r w:rsidRPr="00C43839">
        <w:t>minors should be protected from material likely to harm or disturb them</w:t>
      </w:r>
    </w:p>
    <w:p w14:paraId="071FF6F5" w14:textId="77777777" w:rsidR="00DC4E40" w:rsidRPr="00C43839" w:rsidRDefault="00DC4E40" w:rsidP="00DC4E40">
      <w:pPr>
        <w:pStyle w:val="ListParagraph"/>
        <w:numPr>
          <w:ilvl w:val="0"/>
          <w:numId w:val="7"/>
        </w:numPr>
        <w:spacing w:after="200"/>
        <w:ind w:left="567" w:hanging="567"/>
      </w:pPr>
      <w:r w:rsidRPr="00C43839">
        <w:t>everyone should be protected from exposure to unsolicited material that they find offensive</w:t>
      </w:r>
    </w:p>
    <w:p w14:paraId="7051D464" w14:textId="77777777" w:rsidR="00DC4E40" w:rsidRDefault="00DC4E40" w:rsidP="00DC4E40">
      <w:pPr>
        <w:pStyle w:val="ListParagraph"/>
        <w:numPr>
          <w:ilvl w:val="0"/>
          <w:numId w:val="7"/>
        </w:numPr>
        <w:spacing w:after="200"/>
        <w:ind w:left="567" w:hanging="567"/>
      </w:pPr>
      <w:r w:rsidRPr="00C43839">
        <w:t>the need to take account of community concerns about:</w:t>
      </w:r>
    </w:p>
    <w:p w14:paraId="0E4DF3CC" w14:textId="77777777" w:rsidR="00DC4E40" w:rsidRDefault="00DC4E40" w:rsidP="00DC4E40">
      <w:pPr>
        <w:pStyle w:val="ListParagraph"/>
        <w:numPr>
          <w:ilvl w:val="0"/>
          <w:numId w:val="8"/>
        </w:numPr>
        <w:spacing w:after="200"/>
        <w:ind w:left="1134" w:hanging="567"/>
      </w:pPr>
      <w:r w:rsidRPr="00C43839">
        <w:t>depictions that condone or incite violence, particularly sexual violence and,</w:t>
      </w:r>
    </w:p>
    <w:p w14:paraId="5F8E8923" w14:textId="77777777" w:rsidR="00DC4E40" w:rsidRPr="00C43839" w:rsidRDefault="00DC4E40" w:rsidP="00DC4E40">
      <w:pPr>
        <w:pStyle w:val="ListParagraph"/>
        <w:numPr>
          <w:ilvl w:val="0"/>
          <w:numId w:val="8"/>
        </w:numPr>
        <w:spacing w:after="200"/>
        <w:ind w:left="1134" w:hanging="567"/>
      </w:pPr>
      <w:r w:rsidRPr="00C43839">
        <w:t>the portrayal of persons in a demeaning manner.</w:t>
      </w:r>
    </w:p>
    <w:p w14:paraId="7A2FEE1C" w14:textId="77777777" w:rsidR="00DC4E40" w:rsidRPr="00C43839" w:rsidRDefault="00DC4E40" w:rsidP="00DC4E40">
      <w:pPr>
        <w:pStyle w:val="Heading4"/>
      </w:pPr>
      <w:r w:rsidRPr="00C43839">
        <w:t>The Guidelines</w:t>
      </w:r>
    </w:p>
    <w:p w14:paraId="1BCEA5AE" w14:textId="77777777" w:rsidR="00DC4E40" w:rsidRPr="00C43839" w:rsidRDefault="00DC4E40" w:rsidP="00DC4E40">
      <w:pPr>
        <w:keepNext/>
      </w:pPr>
      <w:r w:rsidRPr="00C43839">
        <w:t xml:space="preserve">Three essential principles underlie the use of the </w:t>
      </w:r>
      <w:r w:rsidRPr="00D9577A">
        <w:rPr>
          <w:i/>
        </w:rPr>
        <w:t xml:space="preserve">Guidelines for the Classification of </w:t>
      </w:r>
      <w:r w:rsidR="00EF2785">
        <w:rPr>
          <w:i/>
        </w:rPr>
        <w:t>Computer game</w:t>
      </w:r>
      <w:r w:rsidR="0018600C">
        <w:rPr>
          <w:i/>
        </w:rPr>
        <w:t>s</w:t>
      </w:r>
      <w:r w:rsidRPr="00D9577A">
        <w:rPr>
          <w:i/>
        </w:rPr>
        <w:t xml:space="preserve"> 2012</w:t>
      </w:r>
      <w:r w:rsidRPr="00C43839">
        <w:t xml:space="preserve"> (the Guidelines), determined under section 12 of the Classification Act</w:t>
      </w:r>
      <w:r>
        <w:t>, the</w:t>
      </w:r>
      <w:r w:rsidRPr="00C43839">
        <w:t>:</w:t>
      </w:r>
    </w:p>
    <w:p w14:paraId="61B6C147" w14:textId="77777777" w:rsidR="00DC4E40" w:rsidRPr="00C43839" w:rsidRDefault="00DC4E40" w:rsidP="00DC4E40">
      <w:pPr>
        <w:pStyle w:val="ListParagraph"/>
        <w:keepNext/>
        <w:numPr>
          <w:ilvl w:val="0"/>
          <w:numId w:val="9"/>
        </w:numPr>
        <w:spacing w:after="200"/>
        <w:ind w:left="567" w:hanging="567"/>
      </w:pPr>
      <w:r w:rsidRPr="00C43839">
        <w:t>importance of context</w:t>
      </w:r>
    </w:p>
    <w:p w14:paraId="3B219C0E" w14:textId="77777777" w:rsidR="00DC4E40" w:rsidRPr="00C43839" w:rsidRDefault="00DC4E40" w:rsidP="00DC4E40">
      <w:pPr>
        <w:pStyle w:val="ListParagraph"/>
        <w:keepNext/>
        <w:numPr>
          <w:ilvl w:val="0"/>
          <w:numId w:val="9"/>
        </w:numPr>
        <w:spacing w:after="200"/>
        <w:ind w:left="567" w:hanging="567"/>
      </w:pPr>
      <w:r w:rsidRPr="00C43839">
        <w:t>assessment of impact, and</w:t>
      </w:r>
    </w:p>
    <w:p w14:paraId="136CA812" w14:textId="77777777" w:rsidR="00DC4E40" w:rsidRDefault="002E3F1C" w:rsidP="00DC4E40">
      <w:pPr>
        <w:pStyle w:val="ListParagraph"/>
        <w:numPr>
          <w:ilvl w:val="0"/>
          <w:numId w:val="9"/>
        </w:numPr>
        <w:spacing w:after="200"/>
        <w:ind w:left="567" w:hanging="567"/>
      </w:pPr>
      <w:r>
        <w:t xml:space="preserve">the </w:t>
      </w:r>
      <w:r w:rsidR="00DC4E40" w:rsidRPr="00C43839">
        <w:t>six classifiable elements</w:t>
      </w:r>
      <w:r w:rsidR="00DC4E40">
        <w:t>—</w:t>
      </w:r>
      <w:r w:rsidR="00DC4E40" w:rsidRPr="00C43839">
        <w:t>themes, violence, sex,</w:t>
      </w:r>
      <w:r w:rsidR="00DC4E40">
        <w:t xml:space="preserve"> language, drug use and nudity.</w:t>
      </w:r>
    </w:p>
    <w:p w14:paraId="4A786BFE" w14:textId="77777777" w:rsidR="00EF2785" w:rsidRPr="00C43839" w:rsidRDefault="00EF2785" w:rsidP="00EF2785">
      <w:pPr>
        <w:spacing w:after="200"/>
      </w:pPr>
      <w:r w:rsidRPr="00EF2785">
        <w:t>A further consideration in classifying computer games is interactivity.  Due to the interactive nature of computer games and the active repetitive involvement of the participant, as a general rule computer games may have a higher impact than similarly themed depictions of the classifiable elements in film, and therefore greater potential for harm or detriment, particularly to minors.</w:t>
      </w:r>
    </w:p>
    <w:p w14:paraId="08D3C49F" w14:textId="77777777" w:rsidR="00DC4E40" w:rsidRPr="00C43839" w:rsidRDefault="00DC4E40" w:rsidP="00DC4E40">
      <w:pPr>
        <w:pStyle w:val="Heading3"/>
      </w:pPr>
      <w:r w:rsidRPr="00C43839">
        <w:t>3. Procedure</w:t>
      </w:r>
    </w:p>
    <w:p w14:paraId="3F2AB6F8" w14:textId="3038A4E4" w:rsidR="00DC4E40" w:rsidRPr="00C43839" w:rsidRDefault="000C3D6D" w:rsidP="00DC4E40">
      <w:r>
        <w:t>Four</w:t>
      </w:r>
      <w:r w:rsidR="00DC4E40" w:rsidRPr="00C43839">
        <w:t xml:space="preserve"> members of the Review Board met on </w:t>
      </w:r>
      <w:r w:rsidR="00F827E5">
        <w:t>20 April 2022</w:t>
      </w:r>
      <w:r w:rsidR="0018600C">
        <w:t xml:space="preserve">, </w:t>
      </w:r>
      <w:r w:rsidR="00DC4E40" w:rsidRPr="00C43839">
        <w:t>in response to the receipt of an application from</w:t>
      </w:r>
      <w:r w:rsidR="0018600C">
        <w:t xml:space="preserve"> </w:t>
      </w:r>
      <w:r w:rsidR="00F827E5">
        <w:t>Double Eleven</w:t>
      </w:r>
      <w:r w:rsidR="0018600C">
        <w:t xml:space="preserve"> </w:t>
      </w:r>
      <w:r w:rsidR="00DC4E40" w:rsidRPr="00C43839">
        <w:t xml:space="preserve">on </w:t>
      </w:r>
      <w:r w:rsidR="00F827E5">
        <w:t xml:space="preserve">29 </w:t>
      </w:r>
      <w:r>
        <w:lastRenderedPageBreak/>
        <w:t>March</w:t>
      </w:r>
      <w:r w:rsidR="00F827E5">
        <w:t xml:space="preserve"> 2022</w:t>
      </w:r>
      <w:r w:rsidR="001A6C73">
        <w:t>,</w:t>
      </w:r>
      <w:r w:rsidR="0018600C">
        <w:t xml:space="preserve"> </w:t>
      </w:r>
      <w:r w:rsidR="00DC4E40" w:rsidRPr="00C43839">
        <w:t>to conduct the review of the</w:t>
      </w:r>
      <w:r w:rsidR="0018600C">
        <w:t xml:space="preserve"> </w:t>
      </w:r>
      <w:r w:rsidR="00EF2785">
        <w:t>computer game</w:t>
      </w:r>
      <w:r w:rsidR="0018600C">
        <w:t xml:space="preserve">, </w:t>
      </w:r>
      <w:r w:rsidR="00F827E5">
        <w:rPr>
          <w:i/>
        </w:rPr>
        <w:t>RimWorld</w:t>
      </w:r>
      <w:r w:rsidR="00DC4E40" w:rsidRPr="0018600C">
        <w:t>, w</w:t>
      </w:r>
      <w:r w:rsidR="00DC4E40" w:rsidRPr="00C43839">
        <w:t xml:space="preserve">hich had previously been classified </w:t>
      </w:r>
      <w:r w:rsidR="00F827E5">
        <w:rPr>
          <w:b/>
        </w:rPr>
        <w:t>RC</w:t>
      </w:r>
      <w:r w:rsidR="0018600C" w:rsidRPr="0018600C">
        <w:rPr>
          <w:b/>
        </w:rPr>
        <w:t xml:space="preserve"> (</w:t>
      </w:r>
      <w:r w:rsidR="00F827E5">
        <w:rPr>
          <w:b/>
        </w:rPr>
        <w:t>Refused Classification</w:t>
      </w:r>
      <w:r w:rsidR="0018600C" w:rsidRPr="0018600C">
        <w:rPr>
          <w:b/>
        </w:rPr>
        <w:t xml:space="preserve">) </w:t>
      </w:r>
      <w:r w:rsidR="00DC4E40" w:rsidRPr="00C43839">
        <w:t>by the Classification Board.</w:t>
      </w:r>
      <w:r w:rsidR="00DC4E40">
        <w:t xml:space="preserve"> </w:t>
      </w:r>
      <w:r w:rsidR="00DC4E40" w:rsidRPr="00C43839">
        <w:t>The Review Board determined that the application was a valid application.</w:t>
      </w:r>
    </w:p>
    <w:p w14:paraId="64BA0C34" w14:textId="77777777" w:rsidR="00DC4E40" w:rsidRPr="00C43839" w:rsidRDefault="00DC4E40" w:rsidP="00DC4E40">
      <w:r w:rsidRPr="0018600C">
        <w:t>The Review Board was provided a written</w:t>
      </w:r>
      <w:r w:rsidR="0018600C" w:rsidRPr="0018600C">
        <w:t xml:space="preserve"> submission from the Applicant. </w:t>
      </w:r>
    </w:p>
    <w:p w14:paraId="50730500" w14:textId="77777777" w:rsidR="00DC4E40" w:rsidRPr="00C43839" w:rsidRDefault="00DC4E40" w:rsidP="00DC4E40">
      <w:r w:rsidRPr="0018600C">
        <w:t xml:space="preserve">The Review Board viewed the </w:t>
      </w:r>
      <w:r w:rsidR="00EF2785">
        <w:t>computer game</w:t>
      </w:r>
      <w:r w:rsidR="0018600C">
        <w:t>.</w:t>
      </w:r>
    </w:p>
    <w:p w14:paraId="6793B03B" w14:textId="334B921F" w:rsidR="00DC4E40" w:rsidRPr="00C43839" w:rsidRDefault="000C3D6D" w:rsidP="00DC4E40">
      <w:r>
        <w:t>The Review Board was provided written submissions from the 23 interested parties listed above.</w:t>
      </w:r>
    </w:p>
    <w:p w14:paraId="27DCC278" w14:textId="77777777" w:rsidR="00DC4E40" w:rsidRPr="00C43839" w:rsidRDefault="00DC4E40" w:rsidP="00DC4E40">
      <w:r w:rsidRPr="0018600C">
        <w:t>The Review Board heard an oral</w:t>
      </w:r>
      <w:r w:rsidR="0018600C" w:rsidRPr="0018600C">
        <w:t xml:space="preserve"> submission from the Applicant.</w:t>
      </w:r>
    </w:p>
    <w:p w14:paraId="5B1D32CF" w14:textId="77777777" w:rsidR="00DC4E40" w:rsidRPr="00C43839" w:rsidRDefault="00DC4E40" w:rsidP="00DC4E40">
      <w:r w:rsidRPr="00C43839">
        <w:t>The Review Board then considered the matter.</w:t>
      </w:r>
    </w:p>
    <w:p w14:paraId="0A331867" w14:textId="77777777" w:rsidR="00DC4E40" w:rsidRPr="00C43839" w:rsidRDefault="00DC4E40" w:rsidP="00DC4E40">
      <w:pPr>
        <w:pStyle w:val="Heading3"/>
      </w:pPr>
      <w:r w:rsidRPr="00C43839">
        <w:t>4. Evidence and other material taken into account</w:t>
      </w:r>
    </w:p>
    <w:p w14:paraId="653BDBCA" w14:textId="06DF304C" w:rsidR="00DC4E40" w:rsidRPr="00C43839" w:rsidRDefault="00DC4E40" w:rsidP="00DC4E40">
      <w:pPr>
        <w:keepNext/>
      </w:pPr>
      <w:r w:rsidRPr="00C43839">
        <w:t>In reaching its decision, the Review Boa</w:t>
      </w:r>
      <w:r>
        <w:t xml:space="preserve">rd </w:t>
      </w:r>
      <w:r w:rsidR="00AE7E1D">
        <w:t>considered</w:t>
      </w:r>
      <w:r>
        <w:t xml:space="preserve"> the following</w:t>
      </w:r>
      <w:r w:rsidR="0018600C">
        <w:t>:</w:t>
      </w:r>
    </w:p>
    <w:p w14:paraId="446BD350" w14:textId="24714DCE" w:rsidR="00DC4E40" w:rsidRDefault="00F827E5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>
        <w:t>Double Eleven</w:t>
      </w:r>
      <w:r w:rsidR="0018600C">
        <w:t xml:space="preserve"> </w:t>
      </w:r>
      <w:r w:rsidR="00DC4E40" w:rsidRPr="00C43839">
        <w:t>application for review</w:t>
      </w:r>
    </w:p>
    <w:p w14:paraId="7796725C" w14:textId="42455A26" w:rsidR="00DC4E40" w:rsidRDefault="00F827E5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>
        <w:t>Double Eleven</w:t>
      </w:r>
      <w:r w:rsidR="0018600C">
        <w:t xml:space="preserve"> </w:t>
      </w:r>
      <w:r w:rsidR="00DC4E40" w:rsidRPr="00C43839">
        <w:t>written and oral submissions</w:t>
      </w:r>
      <w:r w:rsidR="00F86F81">
        <w:t>,</w:t>
      </w:r>
      <w:r w:rsidR="00265D26">
        <w:t xml:space="preserve"> including expert opinions</w:t>
      </w:r>
    </w:p>
    <w:p w14:paraId="61AE2C81" w14:textId="7F339836" w:rsidR="00DC4E40" w:rsidRDefault="00DC4E40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 w:rsidRPr="00C43839">
        <w:t>written submission</w:t>
      </w:r>
      <w:r w:rsidR="002747EB">
        <w:t>s</w:t>
      </w:r>
      <w:r w:rsidRPr="00C43839">
        <w:t xml:space="preserve"> received from </w:t>
      </w:r>
      <w:r w:rsidR="002747EB">
        <w:t>23 interested parties</w:t>
      </w:r>
    </w:p>
    <w:p w14:paraId="71EE3F14" w14:textId="534C62AA" w:rsidR="00DC4E40" w:rsidRPr="00D9577A" w:rsidRDefault="00DC4E40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 w:rsidRPr="00C43839">
        <w:t>the</w:t>
      </w:r>
      <w:r w:rsidR="0018600C">
        <w:t xml:space="preserve"> </w:t>
      </w:r>
      <w:r w:rsidR="00EF2785">
        <w:t>computer game</w:t>
      </w:r>
      <w:r w:rsidR="0018600C">
        <w:t xml:space="preserve">, </w:t>
      </w:r>
      <w:r w:rsidR="00F827E5">
        <w:rPr>
          <w:i/>
        </w:rPr>
        <w:t>RimWorld</w:t>
      </w:r>
      <w:r w:rsidR="0018600C">
        <w:t xml:space="preserve"> </w:t>
      </w:r>
    </w:p>
    <w:p w14:paraId="2A777A9D" w14:textId="77777777" w:rsidR="00DC4E40" w:rsidRDefault="00DC4E40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 w:rsidRPr="00C43839">
        <w:t>the relevant provisions in the Classification Act, the Code and the Guidelines, and</w:t>
      </w:r>
    </w:p>
    <w:p w14:paraId="44A7A802" w14:textId="77777777" w:rsidR="00DC4E40" w:rsidRPr="00C43839" w:rsidRDefault="00DC4E40" w:rsidP="00DC4E40">
      <w:pPr>
        <w:pStyle w:val="ListParagraph"/>
        <w:numPr>
          <w:ilvl w:val="0"/>
          <w:numId w:val="10"/>
        </w:numPr>
        <w:spacing w:after="200"/>
        <w:ind w:left="567" w:hanging="567"/>
      </w:pPr>
      <w:r w:rsidRPr="00C43839">
        <w:t>the Classification Board’s report.</w:t>
      </w:r>
    </w:p>
    <w:p w14:paraId="6EE53FCC" w14:textId="77777777" w:rsidR="00DC4E40" w:rsidRPr="00C43839" w:rsidRDefault="00DC4E40" w:rsidP="00DC4E40">
      <w:pPr>
        <w:pStyle w:val="Heading3"/>
      </w:pPr>
      <w:r w:rsidRPr="00C43839">
        <w:t>5. Synopsis</w:t>
      </w:r>
    </w:p>
    <w:p w14:paraId="3774C221" w14:textId="70C0AD1B" w:rsidR="002747EB" w:rsidRDefault="002747EB" w:rsidP="00DC4E40">
      <w:pPr>
        <w:pStyle w:val="Heading3"/>
        <w:rPr>
          <w:rFonts w:ascii="Segoe UI" w:eastAsiaTheme="minorHAnsi" w:hAnsi="Segoe UI" w:cstheme="minorBidi"/>
          <w:i/>
          <w:sz w:val="21"/>
          <w:szCs w:val="22"/>
        </w:rPr>
      </w:pPr>
      <w:r w:rsidRPr="002747EB">
        <w:rPr>
          <w:rFonts w:ascii="Segoe UI" w:eastAsiaTheme="minorHAnsi" w:hAnsi="Segoe UI" w:cstheme="minorBidi"/>
          <w:i/>
          <w:sz w:val="21"/>
          <w:szCs w:val="22"/>
        </w:rPr>
        <w:t>Rim</w:t>
      </w:r>
      <w:r w:rsidR="00B123BE">
        <w:rPr>
          <w:rFonts w:ascii="Segoe UI" w:eastAsiaTheme="minorHAnsi" w:hAnsi="Segoe UI" w:cstheme="minorBidi"/>
          <w:i/>
          <w:sz w:val="21"/>
          <w:szCs w:val="22"/>
        </w:rPr>
        <w:t>W</w:t>
      </w:r>
      <w:r w:rsidRPr="002747EB">
        <w:rPr>
          <w:rFonts w:ascii="Segoe UI" w:eastAsiaTheme="minorHAnsi" w:hAnsi="Segoe UI" w:cstheme="minorBidi"/>
          <w:i/>
          <w:sz w:val="21"/>
          <w:szCs w:val="22"/>
        </w:rPr>
        <w:t xml:space="preserve">orld </w:t>
      </w:r>
      <w:r w:rsidRPr="002747EB">
        <w:rPr>
          <w:rFonts w:ascii="Segoe UI" w:eastAsiaTheme="minorHAnsi" w:hAnsi="Segoe UI" w:cstheme="minorBidi"/>
          <w:sz w:val="21"/>
          <w:szCs w:val="22"/>
        </w:rPr>
        <w:t xml:space="preserve">is a single-player, science fiction colony simulator game driven by an intelligent AI storyteller that generates stories by simulating a vast array of details including psychology, ecology, combat, climate, biomes, diplomacy, medicine, trade, and </w:t>
      </w:r>
      <w:r w:rsidRPr="002747EB">
        <w:rPr>
          <w:rFonts w:ascii="Segoe UI" w:eastAsiaTheme="minorHAnsi" w:hAnsi="Segoe UI" w:cstheme="minorBidi"/>
          <w:sz w:val="21"/>
          <w:szCs w:val="22"/>
        </w:rPr>
        <w:lastRenderedPageBreak/>
        <w:t>interpersonal relationships. The game does not include any online interactivity.</w:t>
      </w:r>
    </w:p>
    <w:p w14:paraId="41994C93" w14:textId="4AD3B933" w:rsidR="00DC4E40" w:rsidRPr="00C43839" w:rsidRDefault="00DC4E40" w:rsidP="00DC4E40">
      <w:pPr>
        <w:pStyle w:val="Heading3"/>
      </w:pPr>
      <w:r w:rsidRPr="00C43839">
        <w:t>6. Findings on material questions of fact</w:t>
      </w:r>
    </w:p>
    <w:p w14:paraId="311B7B25" w14:textId="77777777" w:rsidR="00DC4E40" w:rsidRPr="00C43839" w:rsidRDefault="00DC4E40" w:rsidP="00DC4E40">
      <w:r w:rsidRPr="00C43839">
        <w:t xml:space="preserve">The Review Board found that the </w:t>
      </w:r>
      <w:r w:rsidR="00EF2785">
        <w:t>computer game</w:t>
      </w:r>
      <w:r w:rsidRPr="00C43839">
        <w:t xml:space="preserve"> contains aspects or scenes of importance under various classifiable elements:</w:t>
      </w:r>
    </w:p>
    <w:p w14:paraId="566558D2" w14:textId="1F92F492" w:rsidR="002747EB" w:rsidRDefault="00DC4E40" w:rsidP="002747EB">
      <w:pPr>
        <w:ind w:left="567" w:hanging="567"/>
      </w:pPr>
      <w:r w:rsidRPr="00C43839">
        <w:t>(a)</w:t>
      </w:r>
      <w:r>
        <w:tab/>
      </w:r>
      <w:r w:rsidRPr="00C43839">
        <w:t>Themes</w:t>
      </w:r>
      <w:r>
        <w:t>—</w:t>
      </w:r>
      <w:r w:rsidR="002747EB" w:rsidRPr="002747EB">
        <w:t xml:space="preserve"> </w:t>
      </w:r>
      <w:r w:rsidR="002747EB" w:rsidRPr="000966CD">
        <w:t>there are themes</w:t>
      </w:r>
      <w:r w:rsidR="00C72E89">
        <w:t xml:space="preserve"> that include</w:t>
      </w:r>
      <w:r w:rsidR="002747EB" w:rsidRPr="000966CD">
        <w:t xml:space="preserve"> </w:t>
      </w:r>
      <w:r w:rsidR="002747EB">
        <w:t>organ harvesting, slavery, and</w:t>
      </w:r>
      <w:r w:rsidR="002747EB" w:rsidRPr="000966CD">
        <w:t xml:space="preserve"> </w:t>
      </w:r>
      <w:r w:rsidR="002747EB">
        <w:t>interactive cannibalism</w:t>
      </w:r>
      <w:r w:rsidR="002747EB" w:rsidRPr="000966CD">
        <w:t>.</w:t>
      </w:r>
    </w:p>
    <w:p w14:paraId="476F139D" w14:textId="52E82209" w:rsidR="00DC4E40" w:rsidRPr="00C43839" w:rsidRDefault="00DC4E40" w:rsidP="002747EB">
      <w:pPr>
        <w:ind w:left="567"/>
      </w:pPr>
      <w:r w:rsidRPr="003A4157">
        <w:t xml:space="preserve">The impact of this element </w:t>
      </w:r>
      <w:r w:rsidR="00C72E89">
        <w:t>does not exceed high</w:t>
      </w:r>
      <w:r w:rsidRPr="003A4157">
        <w:t xml:space="preserve"> and can be accommodated at the </w:t>
      </w:r>
      <w:r w:rsidR="002747EB">
        <w:t>R 18+</w:t>
      </w:r>
      <w:r w:rsidRPr="00D9577A">
        <w:t xml:space="preserve"> </w:t>
      </w:r>
      <w:r w:rsidRPr="003A4157">
        <w:t>level</w:t>
      </w:r>
      <w:r w:rsidRPr="00957B27">
        <w:t>.</w:t>
      </w:r>
    </w:p>
    <w:p w14:paraId="51349F5F" w14:textId="64C623E8" w:rsidR="00C72E89" w:rsidRPr="000966CD" w:rsidRDefault="00DC4E40" w:rsidP="00C72E89">
      <w:pPr>
        <w:ind w:left="567" w:hanging="567"/>
      </w:pPr>
      <w:r w:rsidRPr="00C43839">
        <w:t>(b)</w:t>
      </w:r>
      <w:r>
        <w:tab/>
      </w:r>
      <w:r w:rsidRPr="00C43839">
        <w:t>Violence</w:t>
      </w:r>
      <w:r>
        <w:t>—</w:t>
      </w:r>
      <w:r w:rsidR="00C72E89" w:rsidRPr="00C72E89">
        <w:t xml:space="preserve"> </w:t>
      </w:r>
      <w:r w:rsidR="00C72E89" w:rsidRPr="000966CD">
        <w:t>there is moderate violence justified by context</w:t>
      </w:r>
      <w:r w:rsidR="00B123BE">
        <w:t>.</w:t>
      </w:r>
    </w:p>
    <w:p w14:paraId="2451F1FC" w14:textId="07328A24" w:rsidR="00DC4E40" w:rsidRPr="00C43839" w:rsidRDefault="00DC4E40" w:rsidP="00C72E89">
      <w:pPr>
        <w:ind w:left="567"/>
      </w:pPr>
      <w:r w:rsidRPr="003A4157">
        <w:t xml:space="preserve">The impact of this element </w:t>
      </w:r>
      <w:r w:rsidR="00C72E89">
        <w:t>does not exceed moderate</w:t>
      </w:r>
      <w:r w:rsidRPr="003A4157">
        <w:t xml:space="preserve"> and can be accommodated at the </w:t>
      </w:r>
      <w:r w:rsidR="00C72E89">
        <w:t>M</w:t>
      </w:r>
      <w:r w:rsidRPr="00D9577A">
        <w:t xml:space="preserve"> </w:t>
      </w:r>
      <w:r w:rsidRPr="003A4157">
        <w:t>level</w:t>
      </w:r>
      <w:r w:rsidRPr="00957B27">
        <w:t>.</w:t>
      </w:r>
    </w:p>
    <w:p w14:paraId="76BD1E05" w14:textId="06C63636" w:rsidR="00DC4E40" w:rsidRPr="00C43839" w:rsidRDefault="00DC4E40" w:rsidP="00DC4E40">
      <w:pPr>
        <w:ind w:left="567" w:hanging="567"/>
      </w:pPr>
      <w:r w:rsidRPr="00C43839">
        <w:t>(c)</w:t>
      </w:r>
      <w:r>
        <w:tab/>
      </w:r>
      <w:r w:rsidRPr="00C43839">
        <w:t>Sex</w:t>
      </w:r>
      <w:r>
        <w:t>—</w:t>
      </w:r>
      <w:r w:rsidR="00C72E89">
        <w:t>there is sexual activity that is discreetly implied and justified by context.</w:t>
      </w:r>
    </w:p>
    <w:p w14:paraId="50359EFA" w14:textId="046882FA" w:rsidR="00DC4E40" w:rsidRPr="00C43839" w:rsidRDefault="00DC4E40" w:rsidP="00DC4E40">
      <w:pPr>
        <w:ind w:left="567"/>
      </w:pPr>
      <w:r w:rsidRPr="003A4157">
        <w:t xml:space="preserve">The impact of this element </w:t>
      </w:r>
      <w:r w:rsidR="00C72E89">
        <w:t>does not exceed moderate</w:t>
      </w:r>
      <w:r w:rsidRPr="003A4157">
        <w:t xml:space="preserve"> and can be accommodated at the </w:t>
      </w:r>
      <w:r w:rsidR="00C72E89">
        <w:t>M</w:t>
      </w:r>
      <w:r w:rsidRPr="00D9577A">
        <w:t xml:space="preserve"> </w:t>
      </w:r>
      <w:r w:rsidRPr="003A4157">
        <w:t>level</w:t>
      </w:r>
      <w:r w:rsidRPr="00957B27">
        <w:t>.</w:t>
      </w:r>
    </w:p>
    <w:p w14:paraId="3420ABB9" w14:textId="3BA31886" w:rsidR="00DC4E40" w:rsidRPr="00C43839" w:rsidRDefault="00DC4E40" w:rsidP="00DC4E40">
      <w:pPr>
        <w:ind w:left="567" w:hanging="567"/>
      </w:pPr>
      <w:r w:rsidRPr="00C43839">
        <w:t>(d)</w:t>
      </w:r>
      <w:r>
        <w:tab/>
      </w:r>
      <w:r w:rsidRPr="00C43839">
        <w:t>Language</w:t>
      </w:r>
      <w:r>
        <w:t>—</w:t>
      </w:r>
      <w:r w:rsidR="00337F5D">
        <w:t xml:space="preserve">there </w:t>
      </w:r>
      <w:r w:rsidR="00B22657">
        <w:t>is</w:t>
      </w:r>
      <w:r w:rsidR="00337F5D">
        <w:t xml:space="preserve"> no coarse language present in the game.</w:t>
      </w:r>
    </w:p>
    <w:p w14:paraId="0ACC3950" w14:textId="01BA340A" w:rsidR="00337F5D" w:rsidRDefault="00DC4E40" w:rsidP="00337F5D">
      <w:pPr>
        <w:ind w:left="567" w:hanging="567"/>
      </w:pPr>
      <w:r w:rsidRPr="00C43839">
        <w:t>(e)</w:t>
      </w:r>
      <w:r>
        <w:tab/>
      </w:r>
      <w:r w:rsidRPr="00C43839">
        <w:t>Drug Use</w:t>
      </w:r>
      <w:r>
        <w:t>—</w:t>
      </w:r>
      <w:r w:rsidR="00337F5D" w:rsidRPr="00337F5D">
        <w:t xml:space="preserve"> </w:t>
      </w:r>
      <w:r w:rsidR="00337F5D" w:rsidRPr="000966CD">
        <w:t xml:space="preserve">there is </w:t>
      </w:r>
      <w:r w:rsidR="00337F5D">
        <w:t>fantasy</w:t>
      </w:r>
      <w:r w:rsidR="00337F5D" w:rsidRPr="000966CD">
        <w:t xml:space="preserve"> drug use that is not detailed and realistic and not linked to incentives or rewards</w:t>
      </w:r>
      <w:r w:rsidR="00337F5D">
        <w:t xml:space="preserve"> in the context of the broader objectives of the game</w:t>
      </w:r>
      <w:r w:rsidR="00337F5D" w:rsidRPr="000966CD">
        <w:t>.</w:t>
      </w:r>
    </w:p>
    <w:p w14:paraId="014A174D" w14:textId="3BFF52FC" w:rsidR="00DC4E40" w:rsidRPr="00C43839" w:rsidRDefault="00DC4E40" w:rsidP="00337F5D">
      <w:pPr>
        <w:ind w:left="567"/>
      </w:pPr>
      <w:r w:rsidRPr="003A4157">
        <w:t xml:space="preserve">The impact of this element </w:t>
      </w:r>
      <w:r w:rsidR="00337F5D">
        <w:t>does not exceed high</w:t>
      </w:r>
      <w:r w:rsidRPr="003A4157">
        <w:t xml:space="preserve"> and can be accommodated at </w:t>
      </w:r>
      <w:r w:rsidR="00337F5D">
        <w:t xml:space="preserve">the R 18+ </w:t>
      </w:r>
      <w:r w:rsidRPr="003A4157">
        <w:t>level</w:t>
      </w:r>
      <w:r w:rsidRPr="00957B27">
        <w:t>.</w:t>
      </w:r>
    </w:p>
    <w:p w14:paraId="126C99CD" w14:textId="046ED1AE" w:rsidR="00DC4E40" w:rsidRPr="00C43839" w:rsidRDefault="00DC4E40" w:rsidP="00DC4E40">
      <w:pPr>
        <w:ind w:left="567" w:hanging="567"/>
      </w:pPr>
      <w:r w:rsidRPr="00C43839">
        <w:t>(f)</w:t>
      </w:r>
      <w:r>
        <w:tab/>
      </w:r>
      <w:r w:rsidRPr="00C43839">
        <w:t>Nudity</w:t>
      </w:r>
      <w:r>
        <w:t>—</w:t>
      </w:r>
      <w:r w:rsidR="00B22657">
        <w:t xml:space="preserve">there is infrequent nudity </w:t>
      </w:r>
      <w:r w:rsidR="001569C6">
        <w:t xml:space="preserve">that is discreetly depicted and </w:t>
      </w:r>
      <w:r w:rsidR="00B22657">
        <w:t>justified by context</w:t>
      </w:r>
      <w:r w:rsidR="00AE5B40">
        <w:t>.</w:t>
      </w:r>
    </w:p>
    <w:p w14:paraId="6B55031F" w14:textId="2DAFA37C" w:rsidR="00DC4E40" w:rsidRPr="00C43839" w:rsidRDefault="00DC4E40" w:rsidP="00DC4E40">
      <w:pPr>
        <w:ind w:left="567"/>
      </w:pPr>
      <w:r w:rsidRPr="003A4157">
        <w:t xml:space="preserve">The impact of this element </w:t>
      </w:r>
      <w:r w:rsidR="00B22657">
        <w:t>does not exceed mild</w:t>
      </w:r>
      <w:r w:rsidRPr="003A4157">
        <w:t xml:space="preserve"> and can be accommodated at the </w:t>
      </w:r>
      <w:r w:rsidR="00B22657">
        <w:t>PG</w:t>
      </w:r>
      <w:r w:rsidRPr="00D9577A">
        <w:t xml:space="preserve"> </w:t>
      </w:r>
      <w:r w:rsidRPr="003A4157">
        <w:t>level</w:t>
      </w:r>
      <w:r w:rsidRPr="00957B27">
        <w:t>.</w:t>
      </w:r>
    </w:p>
    <w:p w14:paraId="3765A3B3" w14:textId="77777777" w:rsidR="00DC4E40" w:rsidRPr="005E0459" w:rsidRDefault="00DC4E40" w:rsidP="00DC4E40">
      <w:pPr>
        <w:pStyle w:val="Heading3"/>
      </w:pPr>
      <w:r w:rsidRPr="005E0459">
        <w:lastRenderedPageBreak/>
        <w:t>7. Reasons for the decision</w:t>
      </w:r>
    </w:p>
    <w:p w14:paraId="02C00E48" w14:textId="38A13E0F" w:rsidR="00AE5B40" w:rsidRDefault="00AE5B40" w:rsidP="00AE5B40">
      <w:r w:rsidRPr="000966CD">
        <w:t>In the Review Board’s view, this game warrants an R 18+ classification, as in accordance with item 2 of section 4 of the Code, it is unsuitable for viewing or playing by a minor. Under the Computer Games Guidelines, at</w:t>
      </w:r>
      <w:r>
        <w:t xml:space="preserve"> R 18+, themes</w:t>
      </w:r>
      <w:r w:rsidRPr="000966CD">
        <w:t xml:space="preserve"> have virtually no restriction. Drug use is permitted, however it should not be related to incentives or rewards.</w:t>
      </w:r>
    </w:p>
    <w:p w14:paraId="00DE4AB5" w14:textId="0208133B" w:rsidR="00AE5B40" w:rsidRDefault="00AE5B40" w:rsidP="00AE5B40">
      <w:r>
        <w:t>The</w:t>
      </w:r>
      <w:r w:rsidRPr="000966CD">
        <w:t xml:space="preserve"> visual aspect </w:t>
      </w:r>
      <w:r>
        <w:t xml:space="preserve">of the game </w:t>
      </w:r>
      <w:r w:rsidRPr="000966CD">
        <w:t xml:space="preserve">is </w:t>
      </w:r>
      <w:r>
        <w:t>simplistic, distant, top down,</w:t>
      </w:r>
      <w:r w:rsidRPr="000966CD">
        <w:t xml:space="preserve"> and stylised. Due to the complex and nuanced representation of the </w:t>
      </w:r>
      <w:r>
        <w:t>simulation</w:t>
      </w:r>
      <w:r w:rsidRPr="000966CD">
        <w:t xml:space="preserve">, the Review Board considers the appeal of the game to be skewed to an adult audience. </w:t>
      </w:r>
    </w:p>
    <w:p w14:paraId="0AD66F24" w14:textId="4240ABF4" w:rsidR="00AE5B40" w:rsidRPr="000966CD" w:rsidRDefault="00AE5B40" w:rsidP="00AE5B40">
      <w:r w:rsidRPr="000966CD">
        <w:t xml:space="preserve">The themes are related to </w:t>
      </w:r>
      <w:r>
        <w:t xml:space="preserve">the mechanics of survival in an inhospitable </w:t>
      </w:r>
      <w:r w:rsidR="00FA0D8F">
        <w:t xml:space="preserve">fantasy </w:t>
      </w:r>
      <w:r>
        <w:t>environment, and the difficult choices that need to be made, including moral dilemmas such as organ harvesting, slavery, and cannibalism</w:t>
      </w:r>
      <w:r w:rsidRPr="000966CD">
        <w:t>.</w:t>
      </w:r>
    </w:p>
    <w:p w14:paraId="1CD6976C" w14:textId="4A98E9E0" w:rsidR="00AE5B40" w:rsidRPr="000966CD" w:rsidRDefault="00AE5B40" w:rsidP="00AE5B40">
      <w:r w:rsidRPr="000966CD">
        <w:t>The game provides depictions of the consumption of drug</w:t>
      </w:r>
      <w:r>
        <w:t>s</w:t>
      </w:r>
      <w:r w:rsidRPr="000966CD">
        <w:t xml:space="preserve"> labelled “</w:t>
      </w:r>
      <w:r w:rsidR="00623C77">
        <w:t>yayo</w:t>
      </w:r>
      <w:r w:rsidRPr="000966CD">
        <w:t>”</w:t>
      </w:r>
      <w:r w:rsidR="00623C77">
        <w:t>, “flake”, “luciferium”, “smokeleaf”</w:t>
      </w:r>
      <w:r w:rsidRPr="000966CD">
        <w:t xml:space="preserve"> and other terminologies. In the Review Board’s opinion, </w:t>
      </w:r>
      <w:r w:rsidR="00C51EA7">
        <w:t>the game mechanic</w:t>
      </w:r>
      <w:r w:rsidRPr="000966CD">
        <w:t xml:space="preserve"> </w:t>
      </w:r>
      <w:r w:rsidR="00623C77">
        <w:t xml:space="preserve">ultimately </w:t>
      </w:r>
      <w:r w:rsidRPr="000966CD">
        <w:t xml:space="preserve">provides disincentives related to drug-taking behaviour, to the point where regular drug use leads </w:t>
      </w:r>
      <w:r w:rsidR="00BE4F77">
        <w:t>to</w:t>
      </w:r>
      <w:r w:rsidR="009100B6">
        <w:t xml:space="preserve"> </w:t>
      </w:r>
      <w:r w:rsidR="00C51EA7">
        <w:t xml:space="preserve">negative consequences such as </w:t>
      </w:r>
      <w:r w:rsidR="009100B6">
        <w:t>overdose,</w:t>
      </w:r>
      <w:r w:rsidR="00C72E16">
        <w:t xml:space="preserve"> addiction, </w:t>
      </w:r>
      <w:r w:rsidR="009100B6">
        <w:t xml:space="preserve">and </w:t>
      </w:r>
      <w:r w:rsidR="00C72E16">
        <w:t>withdrawal</w:t>
      </w:r>
      <w:r w:rsidR="00C51EA7">
        <w:t xml:space="preserve">. </w:t>
      </w:r>
      <w:r w:rsidRPr="000966CD">
        <w:t xml:space="preserve">Players may choose for </w:t>
      </w:r>
      <w:r w:rsidR="00623C77">
        <w:t>the colonist pawns</w:t>
      </w:r>
      <w:r w:rsidRPr="000966CD">
        <w:t xml:space="preserve"> to consume drugs </w:t>
      </w:r>
      <w:r w:rsidR="00623C77">
        <w:t>in certain scenarios, but this greatly hinders player progress, as characters will succumb to addiction and must deal with long-term negative impacts of their drug use</w:t>
      </w:r>
      <w:r w:rsidRPr="000966CD">
        <w:t xml:space="preserve">. </w:t>
      </w:r>
      <w:r w:rsidR="00202809" w:rsidRPr="000966CD">
        <w:t xml:space="preserve">The drug use is depicted at a distance through </w:t>
      </w:r>
      <w:r w:rsidR="00202809">
        <w:t>a top-down</w:t>
      </w:r>
      <w:r w:rsidR="00202809" w:rsidRPr="000966CD">
        <w:t xml:space="preserve"> perspective, in a </w:t>
      </w:r>
      <w:r w:rsidR="00202809">
        <w:t xml:space="preserve">highly </w:t>
      </w:r>
      <w:r w:rsidR="00202809" w:rsidRPr="000966CD">
        <w:t>stylised</w:t>
      </w:r>
      <w:r w:rsidR="00202809">
        <w:t>, simplified form</w:t>
      </w:r>
      <w:r w:rsidR="00202809" w:rsidRPr="000966CD">
        <w:t>.</w:t>
      </w:r>
    </w:p>
    <w:p w14:paraId="71E379B3" w14:textId="77777777" w:rsidR="00DC4E40" w:rsidRPr="005E0459" w:rsidRDefault="00DC4E40" w:rsidP="00DC4E40">
      <w:pPr>
        <w:pStyle w:val="Heading3"/>
      </w:pPr>
      <w:r w:rsidRPr="005E0459">
        <w:lastRenderedPageBreak/>
        <w:t>8. Summary</w:t>
      </w:r>
    </w:p>
    <w:p w14:paraId="3EC0CCBA" w14:textId="443E5671" w:rsidR="00DC4E40" w:rsidRDefault="00623C77" w:rsidP="00623C77">
      <w:r w:rsidRPr="000966CD">
        <w:t xml:space="preserve">In the Review Board’s opinion, </w:t>
      </w:r>
      <w:r w:rsidRPr="00623C77">
        <w:rPr>
          <w:i/>
        </w:rPr>
        <w:t>RimWorld</w:t>
      </w:r>
      <w:r w:rsidRPr="000966CD">
        <w:t xml:space="preserve"> has sufficient disincentives to drug use to enable it to be accommodated within the </w:t>
      </w:r>
      <w:r w:rsidRPr="000966CD">
        <w:rPr>
          <w:b/>
        </w:rPr>
        <w:t>R 18+</w:t>
      </w:r>
      <w:r w:rsidRPr="000966CD">
        <w:t xml:space="preserve"> classification with consumer advice of </w:t>
      </w:r>
      <w:r w:rsidRPr="00DC19CC">
        <w:rPr>
          <w:b/>
        </w:rPr>
        <w:t>‘High impact themes and drug use’</w:t>
      </w:r>
      <w:r w:rsidRPr="00623C77">
        <w:t>.</w:t>
      </w:r>
    </w:p>
    <w:sectPr w:rsidR="00DC4E40" w:rsidSect="004F5261">
      <w:headerReference w:type="default" r:id="rId13"/>
      <w:type w:val="continuous"/>
      <w:pgSz w:w="11906" w:h="16838"/>
      <w:pgMar w:top="1418" w:right="991" w:bottom="1440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30252" w14:textId="77777777" w:rsidR="00C4259C" w:rsidRDefault="00C4259C" w:rsidP="00FC413F">
      <w:pPr>
        <w:spacing w:after="0"/>
      </w:pPr>
      <w:r>
        <w:separator/>
      </w:r>
    </w:p>
  </w:endnote>
  <w:endnote w:type="continuationSeparator" w:id="0">
    <w:p w14:paraId="7BB214E0" w14:textId="77777777" w:rsidR="00C4259C" w:rsidRDefault="00C4259C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313D6" w14:textId="77777777" w:rsidR="00A816B8" w:rsidRPr="00FC413F" w:rsidRDefault="00A816B8" w:rsidP="00A816B8">
    <w:pPr>
      <w:pStyle w:val="Footer"/>
      <w:tabs>
        <w:tab w:val="clear" w:pos="4513"/>
        <w:tab w:val="clear" w:pos="9026"/>
      </w:tabs>
      <w:ind w:left="-567"/>
      <w:rPr>
        <w:rFonts w:cs="Segoe UI"/>
        <w:szCs w:val="18"/>
      </w:rPr>
    </w:pPr>
    <w:r w:rsidRPr="00FC413F">
      <w:rPr>
        <w:rFonts w:cs="Segoe UI"/>
        <w:szCs w:val="18"/>
      </w:rPr>
      <w:t>________________________________________________________</w:t>
    </w:r>
    <w:r>
      <w:rPr>
        <w:rFonts w:cs="Segoe UI"/>
        <w:szCs w:val="18"/>
      </w:rPr>
      <w:t>___________________________________________</w:t>
    </w:r>
    <w:r w:rsidRPr="00FC413F">
      <w:rPr>
        <w:rFonts w:cs="Segoe UI"/>
        <w:szCs w:val="18"/>
      </w:rPr>
      <w:t>___________________________________</w:t>
    </w:r>
  </w:p>
  <w:p w14:paraId="4D5CEB4F" w14:textId="5B1EDF12" w:rsidR="00A816B8" w:rsidRPr="00FC413F" w:rsidRDefault="00A816B8" w:rsidP="00A816B8">
    <w:pPr>
      <w:pStyle w:val="Footer"/>
      <w:tabs>
        <w:tab w:val="clear" w:pos="4513"/>
        <w:tab w:val="clear" w:pos="9026"/>
        <w:tab w:val="left" w:pos="3969"/>
        <w:tab w:val="right" w:pos="9356"/>
      </w:tabs>
      <w:ind w:hanging="567"/>
      <w:rPr>
        <w:rFonts w:cs="Segoe UI"/>
        <w:szCs w:val="18"/>
      </w:rPr>
    </w:pP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 w:rsidR="00DD72E0">
      <w:rPr>
        <w:rFonts w:cs="Segoe UI"/>
        <w:noProof/>
        <w:szCs w:val="18"/>
      </w:rPr>
      <w:t>3</w:t>
    </w:r>
    <w:r>
      <w:rPr>
        <w:rFonts w:cs="Segoe UI"/>
        <w:szCs w:val="18"/>
      </w:rPr>
      <w:fldChar w:fldCharType="end"/>
    </w:r>
    <w:r w:rsidRPr="00FC413F">
      <w:rPr>
        <w:rFonts w:cs="Segoe UI"/>
        <w:noProof/>
        <w:szCs w:val="18"/>
      </w:rPr>
      <w:t>.</w:t>
    </w:r>
    <w:r w:rsidRPr="00FC413F">
      <w:rPr>
        <w:rFonts w:cs="Segoe UI"/>
        <w:noProof/>
        <w:szCs w:val="18"/>
      </w:rPr>
      <w:tab/>
    </w:r>
    <w:r w:rsidR="00DC4E40" w:rsidRPr="00A16F3E">
      <w:t>Review of Classification Board’s decision to classify</w:t>
    </w:r>
    <w:r w:rsidR="00A47E43">
      <w:t xml:space="preserve"> the</w:t>
    </w:r>
    <w:r w:rsidR="00DC4E40" w:rsidRPr="00A16F3E">
      <w:t xml:space="preserve"> </w:t>
    </w:r>
    <w:r w:rsidR="00EF2785">
      <w:t>computer game</w:t>
    </w:r>
    <w:r w:rsidR="00DC4E40">
      <w:t xml:space="preserve"> </w:t>
    </w:r>
    <w:r w:rsidR="00F827E5">
      <w:rPr>
        <w:i/>
      </w:rPr>
      <w:t>RimWorld</w:t>
    </w:r>
  </w:p>
  <w:p w14:paraId="00BC0521" w14:textId="77777777" w:rsidR="00A816B8" w:rsidRPr="00C21B3D" w:rsidRDefault="00DD72E0" w:rsidP="00A816B8">
    <w:pPr>
      <w:pStyle w:val="Footer"/>
      <w:tabs>
        <w:tab w:val="clear" w:pos="4513"/>
        <w:tab w:val="clear" w:pos="9026"/>
        <w:tab w:val="center" w:pos="4820"/>
        <w:tab w:val="right" w:pos="9356"/>
      </w:tabs>
      <w:jc w:val="center"/>
      <w:rPr>
        <w:rStyle w:val="Hyperlink"/>
      </w:rPr>
    </w:pPr>
    <w:hyperlink r:id="rId1" w:history="1">
      <w:r w:rsidR="00A816B8" w:rsidRPr="009257FA">
        <w:rPr>
          <w:rStyle w:val="Hyperlink"/>
        </w:rPr>
        <w:t>www.classification.gov.au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64E36" w14:textId="77777777" w:rsidR="00C4259C" w:rsidRDefault="00C4259C" w:rsidP="00FC413F">
      <w:pPr>
        <w:spacing w:after="0"/>
      </w:pPr>
      <w:r>
        <w:separator/>
      </w:r>
    </w:p>
  </w:footnote>
  <w:footnote w:type="continuationSeparator" w:id="0">
    <w:p w14:paraId="1B40D22F" w14:textId="77777777" w:rsidR="00C4259C" w:rsidRDefault="00C4259C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0236D" w14:textId="77777777" w:rsidR="004F5261" w:rsidRDefault="004F5261" w:rsidP="004F5261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39DA4647" wp14:editId="05C6DCE0">
          <wp:extent cx="7549815" cy="367665"/>
          <wp:effectExtent l="0" t="0" r="0" b="0"/>
          <wp:docPr id="11" name="Picture 1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assification-header-band-no-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02" cy="368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BD893" w14:textId="01F60E20" w:rsidR="004F5261" w:rsidRPr="00A96536" w:rsidRDefault="004F5261" w:rsidP="004F5261">
    <w:pPr>
      <w:pStyle w:val="Header"/>
      <w:tabs>
        <w:tab w:val="clear" w:pos="9356"/>
        <w:tab w:val="right" w:pos="9333"/>
      </w:tabs>
    </w:pPr>
    <w:r>
      <w:t xml:space="preserve">Classification </w:t>
    </w:r>
    <w:r w:rsidR="00A816B8">
      <w:t xml:space="preserve">Review </w:t>
    </w:r>
    <w:r>
      <w:t>Board</w:t>
    </w:r>
    <w:r w:rsidRPr="00A96536">
      <w:tab/>
    </w:r>
    <w:r w:rsidRPr="00A96536">
      <w:tab/>
    </w:r>
    <w:r w:rsidR="00232FEE">
      <w:t>20 April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30F"/>
    <w:multiLevelType w:val="hybridMultilevel"/>
    <w:tmpl w:val="F418F6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031E"/>
    <w:multiLevelType w:val="hybridMultilevel"/>
    <w:tmpl w:val="807A2CAA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957"/>
    <w:multiLevelType w:val="hybridMultilevel"/>
    <w:tmpl w:val="75CC76DE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2D20"/>
    <w:multiLevelType w:val="hybridMultilevel"/>
    <w:tmpl w:val="1AC69F2C"/>
    <w:lvl w:ilvl="0" w:tplc="8DEAB1F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92756"/>
    <w:multiLevelType w:val="hybridMultilevel"/>
    <w:tmpl w:val="D3388F20"/>
    <w:lvl w:ilvl="0" w:tplc="45D8E622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74765"/>
    <w:multiLevelType w:val="hybridMultilevel"/>
    <w:tmpl w:val="2F0EAA70"/>
    <w:lvl w:ilvl="0" w:tplc="1C4634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C34DF"/>
    <w:multiLevelType w:val="hybridMultilevel"/>
    <w:tmpl w:val="D520E654"/>
    <w:lvl w:ilvl="0" w:tplc="D69CC2A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6A3528"/>
    <w:multiLevelType w:val="hybridMultilevel"/>
    <w:tmpl w:val="432C3F8A"/>
    <w:lvl w:ilvl="0" w:tplc="BEB014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84BBE"/>
    <w:multiLevelType w:val="hybridMultilevel"/>
    <w:tmpl w:val="FE7EC2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27E7D"/>
    <w:multiLevelType w:val="hybridMultilevel"/>
    <w:tmpl w:val="AA168EC0"/>
    <w:lvl w:ilvl="0" w:tplc="E96A464C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411F7"/>
    <w:multiLevelType w:val="hybridMultilevel"/>
    <w:tmpl w:val="C334449C"/>
    <w:lvl w:ilvl="0" w:tplc="2BA6F0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F1A0A"/>
    <w:multiLevelType w:val="hybridMultilevel"/>
    <w:tmpl w:val="680C0E6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9C"/>
    <w:rsid w:val="000740FB"/>
    <w:rsid w:val="000844F1"/>
    <w:rsid w:val="00090E62"/>
    <w:rsid w:val="000C3D6D"/>
    <w:rsid w:val="001365BE"/>
    <w:rsid w:val="00155E8D"/>
    <w:rsid w:val="001569C6"/>
    <w:rsid w:val="0018600C"/>
    <w:rsid w:val="00195B40"/>
    <w:rsid w:val="001A6C73"/>
    <w:rsid w:val="001B6CBD"/>
    <w:rsid w:val="001D1BC6"/>
    <w:rsid w:val="00202809"/>
    <w:rsid w:val="00217C11"/>
    <w:rsid w:val="00232FEE"/>
    <w:rsid w:val="00236F1B"/>
    <w:rsid w:val="00261FFA"/>
    <w:rsid w:val="00265D26"/>
    <w:rsid w:val="002747EB"/>
    <w:rsid w:val="00287C7E"/>
    <w:rsid w:val="002E3F1C"/>
    <w:rsid w:val="00337F5D"/>
    <w:rsid w:val="0034120E"/>
    <w:rsid w:val="003754E4"/>
    <w:rsid w:val="003B6D01"/>
    <w:rsid w:val="003C0356"/>
    <w:rsid w:val="003C1189"/>
    <w:rsid w:val="003F071C"/>
    <w:rsid w:val="004018B3"/>
    <w:rsid w:val="0047071D"/>
    <w:rsid w:val="004F5261"/>
    <w:rsid w:val="00550CA0"/>
    <w:rsid w:val="005B06D1"/>
    <w:rsid w:val="005B5E4A"/>
    <w:rsid w:val="005D038B"/>
    <w:rsid w:val="00605092"/>
    <w:rsid w:val="00623C77"/>
    <w:rsid w:val="006452B1"/>
    <w:rsid w:val="00691FA2"/>
    <w:rsid w:val="006A3971"/>
    <w:rsid w:val="006D43C7"/>
    <w:rsid w:val="006E2893"/>
    <w:rsid w:val="007212AB"/>
    <w:rsid w:val="00772C27"/>
    <w:rsid w:val="00793843"/>
    <w:rsid w:val="0079788A"/>
    <w:rsid w:val="007B6337"/>
    <w:rsid w:val="007B68AB"/>
    <w:rsid w:val="007D57E2"/>
    <w:rsid w:val="007F4D21"/>
    <w:rsid w:val="008254FD"/>
    <w:rsid w:val="00857C55"/>
    <w:rsid w:val="008A576D"/>
    <w:rsid w:val="008C4E5A"/>
    <w:rsid w:val="008E1314"/>
    <w:rsid w:val="008F24DE"/>
    <w:rsid w:val="00903DE7"/>
    <w:rsid w:val="009066B2"/>
    <w:rsid w:val="009100B6"/>
    <w:rsid w:val="00912D17"/>
    <w:rsid w:val="009276A3"/>
    <w:rsid w:val="00985DD5"/>
    <w:rsid w:val="00A1244E"/>
    <w:rsid w:val="00A47E43"/>
    <w:rsid w:val="00A5600C"/>
    <w:rsid w:val="00A816B8"/>
    <w:rsid w:val="00AA05F1"/>
    <w:rsid w:val="00AA39CB"/>
    <w:rsid w:val="00AD5C4D"/>
    <w:rsid w:val="00AE5B40"/>
    <w:rsid w:val="00AE7E1D"/>
    <w:rsid w:val="00AF57D3"/>
    <w:rsid w:val="00B07F31"/>
    <w:rsid w:val="00B123BE"/>
    <w:rsid w:val="00B22657"/>
    <w:rsid w:val="00B2647F"/>
    <w:rsid w:val="00B30DD5"/>
    <w:rsid w:val="00BC0598"/>
    <w:rsid w:val="00BE4F77"/>
    <w:rsid w:val="00C4259C"/>
    <w:rsid w:val="00C46181"/>
    <w:rsid w:val="00C51EA7"/>
    <w:rsid w:val="00C62177"/>
    <w:rsid w:val="00C72E16"/>
    <w:rsid w:val="00C72E89"/>
    <w:rsid w:val="00C80465"/>
    <w:rsid w:val="00CA72D1"/>
    <w:rsid w:val="00CC4FEB"/>
    <w:rsid w:val="00D57EA3"/>
    <w:rsid w:val="00DC19CC"/>
    <w:rsid w:val="00DC4E40"/>
    <w:rsid w:val="00DD37BC"/>
    <w:rsid w:val="00DD72E0"/>
    <w:rsid w:val="00E21177"/>
    <w:rsid w:val="00E52C64"/>
    <w:rsid w:val="00EF2785"/>
    <w:rsid w:val="00F827E5"/>
    <w:rsid w:val="00F86F81"/>
    <w:rsid w:val="00FA0D8F"/>
    <w:rsid w:val="00FC1EB9"/>
    <w:rsid w:val="00FC413F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A8AC9C"/>
  <w15:chartTrackingRefBased/>
  <w15:docId w15:val="{202A84FC-81B8-4F16-8608-32B01097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0FB"/>
    <w:pPr>
      <w:spacing w:line="240" w:lineRule="auto"/>
    </w:pPr>
    <w:rPr>
      <w:rFonts w:ascii="Segoe UI" w:hAnsi="Segoe U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5F1"/>
    <w:pPr>
      <w:keepNext/>
      <w:keepLines/>
      <w:shd w:val="clear" w:color="auto" w:fill="002D72"/>
      <w:spacing w:before="720" w:after="0"/>
      <w:outlineLvl w:val="0"/>
    </w:pPr>
    <w:rPr>
      <w:rFonts w:ascii="Segoe UI Semibold" w:eastAsiaTheme="majorEastAsia" w:hAnsi="Segoe UI Semibold" w:cs="Segoe UI Semibold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261"/>
    <w:pPr>
      <w:keepNext/>
      <w:spacing w:before="120" w:after="120"/>
      <w:outlineLvl w:val="1"/>
    </w:pPr>
    <w:rPr>
      <w:rFonts w:ascii="Segoe UI Semibold" w:eastAsia="MingLiU" w:hAnsi="Segoe UI Semibold" w:cs="Segoe UI Semibol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261"/>
    <w:pPr>
      <w:keepNext/>
      <w:spacing w:before="120" w:after="120"/>
      <w:outlineLvl w:val="2"/>
    </w:pPr>
    <w:rPr>
      <w:rFonts w:ascii="Segoe UI Semibold" w:eastAsia="MingLiU" w:hAnsi="Segoe UI Semibold" w:cs="Segoe UI Semibold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65BE"/>
    <w:pPr>
      <w:keepNext/>
      <w:spacing w:before="120" w:after="120"/>
      <w:outlineLvl w:val="3"/>
    </w:pPr>
    <w:rPr>
      <w:rFonts w:ascii="Segoe UI Semibold" w:eastAsia="MingLiU" w:hAnsi="Segoe UI Semibold" w:cs="Segoe UI Semibol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65BE"/>
    <w:pPr>
      <w:keepNext/>
      <w:spacing w:before="120" w:after="120"/>
      <w:outlineLvl w:val="4"/>
    </w:pPr>
    <w:rPr>
      <w:rFonts w:ascii="Segoe UI Semibold" w:eastAsia="MingLiU" w:hAnsi="Segoe UI Semibold" w:cs="Segoe UI Semibol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2C27"/>
    <w:pPr>
      <w:keepNext/>
      <w:spacing w:before="120" w:after="120"/>
      <w:outlineLvl w:val="5"/>
    </w:pPr>
    <w:rPr>
      <w:rFonts w:ascii="Segoe UI Semibold" w:eastAsia="MingLiU" w:hAnsi="Segoe UI Semibold" w:cs="Segoe UI Semibold"/>
      <w:color w:val="626E81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2C27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626E81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85DD5"/>
    <w:pPr>
      <w:numPr>
        <w:numId w:val="1"/>
      </w:numPr>
      <w:ind w:left="1134" w:hanging="567"/>
    </w:p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05F1"/>
    <w:rPr>
      <w:rFonts w:ascii="Segoe UI Semibold" w:eastAsiaTheme="majorEastAsia" w:hAnsi="Segoe UI Semibold" w:cs="Segoe UI Semibold"/>
      <w:sz w:val="48"/>
      <w:szCs w:val="48"/>
      <w:shd w:val="clear" w:color="auto" w:fill="002D72"/>
    </w:rPr>
  </w:style>
  <w:style w:type="character" w:customStyle="1" w:styleId="Heading2Char">
    <w:name w:val="Heading 2 Char"/>
    <w:basedOn w:val="DefaultParagraphFont"/>
    <w:link w:val="Heading2"/>
    <w:uiPriority w:val="9"/>
    <w:rsid w:val="004F5261"/>
    <w:rPr>
      <w:rFonts w:ascii="Segoe UI Semibold" w:eastAsia="MingLiU" w:hAnsi="Segoe UI Semibold" w:cs="Segoe UI Semibold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5261"/>
    <w:rPr>
      <w:rFonts w:ascii="Segoe UI Semibold" w:eastAsia="MingLiU" w:hAnsi="Segoe UI Semibold" w:cs="Segoe UI Semibol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365BE"/>
    <w:rPr>
      <w:rFonts w:ascii="Segoe UI Semibold" w:eastAsia="MingLiU" w:hAnsi="Segoe UI Semibold" w:cs="Segoe UI Semibold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365BE"/>
    <w:rPr>
      <w:rFonts w:ascii="Segoe UI Semibold" w:eastAsia="MingLiU" w:hAnsi="Segoe UI Semibold" w:cs="Segoe UI Semibold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rsid w:val="00772C27"/>
    <w:rPr>
      <w:rFonts w:ascii="Segoe UI Semibold" w:eastAsia="MingLiU" w:hAnsi="Segoe UI Semibold" w:cs="Segoe UI Semibold"/>
      <w:color w:val="626E81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72C27"/>
    <w:rPr>
      <w:rFonts w:ascii="Segoe UI Semibold" w:eastAsiaTheme="majorEastAsia" w:hAnsi="Segoe UI Semibold" w:cs="Segoe UI Semibold"/>
      <w:iCs/>
      <w:color w:val="626E81"/>
      <w:sz w:val="18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772C27"/>
    <w:pPr>
      <w:keepNext/>
      <w:spacing w:after="120"/>
    </w:pPr>
    <w:rPr>
      <w:rFonts w:ascii="Segoe UI Semibold" w:eastAsia="MingLiU" w:hAnsi="Segoe UI Semibold" w:cs="Segoe UI Semibold"/>
      <w:color w:val="626E81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772C27"/>
    <w:pPr>
      <w:keepNext/>
      <w:spacing w:after="120"/>
    </w:pPr>
    <w:rPr>
      <w:rFonts w:ascii="Segoe UI Semibold" w:eastAsia="MingLiU" w:hAnsi="Segoe UI Semibold" w:cs="Segoe UI Semibold"/>
      <w:color w:val="626E81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287C7E"/>
    <w:pPr>
      <w:tabs>
        <w:tab w:val="right" w:pos="9072"/>
      </w:tabs>
      <w:ind w:left="567"/>
    </w:pPr>
    <w:rPr>
      <w:b/>
      <w:color w:val="626E8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287C7E"/>
    <w:rPr>
      <w:rFonts w:ascii="Segoe UI" w:hAnsi="Segoe UI"/>
      <w:b/>
      <w:color w:val="626E8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4F5261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aliases w:val="List Paragraph—numbers"/>
    <w:basedOn w:val="Normal"/>
    <w:uiPriority w:val="34"/>
    <w:qFormat/>
    <w:rsid w:val="003B6D01"/>
    <w:pPr>
      <w:ind w:left="720"/>
      <w:contextualSpacing/>
    </w:pPr>
  </w:style>
  <w:style w:type="paragraph" w:customStyle="1" w:styleId="Tabletext">
    <w:name w:val="Table text"/>
    <w:basedOn w:val="Normal"/>
    <w:qFormat/>
    <w:rsid w:val="00217C11"/>
    <w:pPr>
      <w:spacing w:after="0"/>
    </w:pPr>
    <w:rPr>
      <w:rFonts w:eastAsia="Times New Roman" w:cs="Times New Roman"/>
      <w:sz w:val="20"/>
      <w:szCs w:val="20"/>
    </w:rPr>
  </w:style>
  <w:style w:type="paragraph" w:customStyle="1" w:styleId="Tablerowcolumnheading">
    <w:name w:val="Table row/column heading"/>
    <w:basedOn w:val="Normal"/>
    <w:next w:val="Normal"/>
    <w:rsid w:val="00217C11"/>
    <w:pPr>
      <w:spacing w:after="0"/>
    </w:pPr>
    <w:rPr>
      <w:rFonts w:eastAsia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C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B2647F"/>
    <w:pPr>
      <w:keepNext/>
      <w:spacing w:after="0"/>
    </w:pPr>
    <w:rPr>
      <w:rFonts w:ascii="Segoe UI Semibold" w:hAnsi="Segoe UI Semibold"/>
      <w:color w:val="002D72"/>
      <w:sz w:val="20"/>
    </w:rPr>
  </w:style>
  <w:style w:type="paragraph" w:customStyle="1" w:styleId="Tabletextcentred">
    <w:name w:val="Table text centred"/>
    <w:basedOn w:val="Tabletext"/>
    <w:next w:val="NoSpacing"/>
    <w:rsid w:val="00217C11"/>
    <w:pPr>
      <w:jc w:val="center"/>
    </w:pPr>
  </w:style>
  <w:style w:type="paragraph" w:customStyle="1" w:styleId="Tablerowcolumnheadingcentred">
    <w:name w:val="Table row/column heading centred"/>
    <w:basedOn w:val="Tablerowcolumnheading"/>
    <w:next w:val="Normal"/>
    <w:rsid w:val="00217C11"/>
    <w:pPr>
      <w:jc w:val="center"/>
    </w:pPr>
    <w:rPr>
      <w:bCs w:val="0"/>
    </w:rPr>
  </w:style>
  <w:style w:type="paragraph" w:customStyle="1" w:styleId="Sourcenote">
    <w:name w:val="Source / note"/>
    <w:basedOn w:val="Normal"/>
    <w:qFormat/>
    <w:rsid w:val="006D43C7"/>
    <w:rPr>
      <w:rFonts w:eastAsia="PMingLiU" w:cs="Mangal"/>
      <w:color w:val="626E81"/>
      <w:sz w:val="20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  <w:rPr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  <w:rPr>
      <w:sz w:val="20"/>
    </w:rPr>
  </w:style>
  <w:style w:type="paragraph" w:customStyle="1" w:styleId="Mediacontact">
    <w:name w:val="Media contact"/>
    <w:basedOn w:val="Normal"/>
    <w:next w:val="Statementauthorisedby"/>
    <w:qFormat/>
    <w:rsid w:val="00A816B8"/>
    <w:pPr>
      <w:spacing w:before="360" w:after="200"/>
      <w:jc w:val="center"/>
    </w:pPr>
    <w:rPr>
      <w:rFonts w:asciiTheme="minorHAnsi" w:hAnsiTheme="minorHAnsi"/>
      <w:b/>
      <w:sz w:val="22"/>
    </w:rPr>
  </w:style>
  <w:style w:type="paragraph" w:customStyle="1" w:styleId="Statementauthorisedby">
    <w:name w:val="Statement authorised by"/>
    <w:basedOn w:val="Normal"/>
    <w:qFormat/>
    <w:rsid w:val="00A816B8"/>
    <w:pPr>
      <w:spacing w:before="840" w:after="0"/>
    </w:pPr>
    <w:rPr>
      <w:rFonts w:asciiTheme="minorHAnsi" w:hAnsiTheme="minorHAnsi"/>
      <w:i/>
      <w:sz w:val="22"/>
    </w:rPr>
  </w:style>
  <w:style w:type="paragraph" w:customStyle="1" w:styleId="Bullet">
    <w:name w:val="Bullet"/>
    <w:basedOn w:val="Normal"/>
    <w:qFormat/>
    <w:rsid w:val="00DC4E40"/>
    <w:pPr>
      <w:numPr>
        <w:numId w:val="4"/>
      </w:numPr>
      <w:spacing w:after="200"/>
      <w:ind w:left="567" w:hanging="567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D26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arringtonh\AppData\Local\Microsoft\Windows\INetCache\IE\PMJ8NC5S\Classification%20Review%20Board%20-%20review%20of%20classification%20decision%20for%20game%20-%20Disco%20Elysium%20the%20Final%20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14AC1684EAF4ABDF0C3D5363C46AE" ma:contentTypeVersion="0" ma:contentTypeDescription="Create a new document." ma:contentTypeScope="" ma:versionID="dcc2a480f5e2c5b404ec63509e073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4E919-A694-40D8-B507-38FF2A95471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CFD3CA-BC54-4F8A-AC58-B192C5002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29A1D-2A10-4458-831D-300AC8BF8A4D}"/>
</file>

<file path=customXml/itemProps4.xml><?xml version="1.0" encoding="utf-8"?>
<ds:datastoreItem xmlns:ds="http://schemas.openxmlformats.org/officeDocument/2006/customXml" ds:itemID="{51D80D90-645D-4F63-BD6D-6123BD0A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Classification Review Board - review of classification decision for game - Disco Elysium the Final Cu.dotx</Template>
  <TotalTime>0</TotalTime>
  <Pages>4</Pages>
  <Words>1332</Words>
  <Characters>7238</Characters>
  <Application>Microsoft Office Word</Application>
  <DocSecurity>0</DocSecurity>
  <Lines>201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Review Board - Review of Classification decision - RimWorld</vt:lpstr>
    </vt:vector>
  </TitlesOfParts>
  <Company>Department of Infrastructure, Transport, Regional Development and Communications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Barrington-Higgs, Justin</dc:creator>
  <cp:keywords/>
  <dc:description>18 February 2020</dc:description>
  <cp:lastModifiedBy>Barrington-Higgs, Justin</cp:lastModifiedBy>
  <cp:revision>2</cp:revision>
  <cp:lastPrinted>2022-04-28T00:53:00Z</cp:lastPrinted>
  <dcterms:created xsi:type="dcterms:W3CDTF">2022-04-28T00:54:00Z</dcterms:created>
  <dcterms:modified xsi:type="dcterms:W3CDTF">2022-04-28T00:54:00Z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0x01010078714AC1684EAF4ABDF0C3D5363C46AE</vt:lpwstr>
  </property>
  <property fmtid="{D5CDD505-2E9C-101B-9397-08002B2CF9AE}" pid="3" name="TrimRevisionNumber">
    <vt:i4>1</vt:i4>
  </property>
</Properties>
</file>