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DD8E0" w14:textId="5E6E475C" w:rsidR="00981457" w:rsidRDefault="00981457" w:rsidP="00981457">
      <w:pPr>
        <w:ind w:left="-1418"/>
      </w:pPr>
      <w:bookmarkStart w:id="0" w:name="_Hlk178602204"/>
      <w:bookmarkStart w:id="1" w:name="_Hlk178587381"/>
      <w:r>
        <w:rPr>
          <w:noProof/>
        </w:rPr>
        <w:drawing>
          <wp:inline distT="0" distB="0" distL="0" distR="0" wp14:anchorId="4AD5317C" wp14:editId="181B0EDA">
            <wp:extent cx="7543800" cy="1837690"/>
            <wp:effectExtent l="0" t="0" r="0" b="0"/>
            <wp:docPr id="18" name="Picture 18" descr="Australian Government, Department of Infrastructure, Transport, Regional Development, Communications and the Arts, Australian Classif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s class header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6"/>
                    <a:stretch/>
                  </pic:blipFill>
                  <pic:spPr bwMode="auto">
                    <a:xfrm>
                      <a:off x="0" y="0"/>
                      <a:ext cx="7543800" cy="1837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56FD5B" w14:textId="1CCA4536" w:rsidR="00981457" w:rsidRDefault="00981457" w:rsidP="00981457">
      <w:pPr>
        <w:ind w:left="-1418"/>
        <w:sectPr w:rsidR="00981457" w:rsidSect="00AB0EBF">
          <w:footerReference w:type="default" r:id="rId9"/>
          <w:pgSz w:w="11906" w:h="16838"/>
          <w:pgMar w:top="0" w:right="1440" w:bottom="1440" w:left="1440" w:header="708" w:footer="0" w:gutter="0"/>
          <w:cols w:space="708"/>
          <w:docGrid w:linePitch="360"/>
        </w:sectPr>
      </w:pPr>
    </w:p>
    <w:p w14:paraId="68997DCE" w14:textId="33537BA9" w:rsidR="00283F6A" w:rsidRPr="002E6DA0" w:rsidRDefault="008E0CD0" w:rsidP="00981457">
      <w:pPr>
        <w:pStyle w:val="Heading1"/>
      </w:pPr>
      <w:r w:rsidRPr="002E6DA0">
        <w:t>Publications</w:t>
      </w:r>
      <w:r w:rsidR="00981457">
        <w:t>—</w:t>
      </w:r>
      <w:r w:rsidRPr="002E6DA0">
        <w:t>Classification Factsheet</w:t>
      </w:r>
    </w:p>
    <w:bookmarkEnd w:id="0"/>
    <w:p w14:paraId="3FB2CF76" w14:textId="4E03C56F" w:rsidR="00382925" w:rsidRDefault="00382925" w:rsidP="00981457">
      <w:pPr>
        <w:pStyle w:val="Heading2"/>
      </w:pPr>
      <w:r>
        <w:t xml:space="preserve">Classification of </w:t>
      </w:r>
      <w:r w:rsidR="00F03209">
        <w:t>p</w:t>
      </w:r>
      <w:r w:rsidR="0017595B">
        <w:t>ublications</w:t>
      </w:r>
    </w:p>
    <w:p w14:paraId="0BBA3A79" w14:textId="39F6A7D7" w:rsidR="00DB42F8" w:rsidRPr="00160134" w:rsidRDefault="00DB42F8" w:rsidP="00CB2B58">
      <w:pPr>
        <w:pStyle w:val="Listparagraphbullets"/>
        <w:rPr>
          <w:lang w:val="en-US"/>
        </w:rPr>
      </w:pPr>
      <w:r w:rsidRPr="00160134">
        <w:rPr>
          <w:lang w:val="en-US"/>
        </w:rPr>
        <w:t>Publications can be broadly defined as any written or pictorial matter, which can include: books, magazines, graphic novels and manga.</w:t>
      </w:r>
    </w:p>
    <w:p w14:paraId="6199EF9C" w14:textId="77777777" w:rsidR="00DB09E0" w:rsidRPr="00160134" w:rsidRDefault="00DB09E0" w:rsidP="00CB2B58">
      <w:pPr>
        <w:pStyle w:val="Listparagraphbullets"/>
        <w:rPr>
          <w:lang w:val="en-US"/>
        </w:rPr>
      </w:pPr>
      <w:r w:rsidRPr="00160134">
        <w:rPr>
          <w:lang w:val="en-US"/>
        </w:rPr>
        <w:t>Unlike films and computer games, not all publications require classification before being made available for sale or distribution.</w:t>
      </w:r>
    </w:p>
    <w:p w14:paraId="6A37B7D2" w14:textId="5220E9ED" w:rsidR="003873F3" w:rsidRDefault="00DB09E0" w:rsidP="00CB2B58">
      <w:pPr>
        <w:pStyle w:val="Listparagraphbullets"/>
        <w:rPr>
          <w:lang w:val="en-US"/>
        </w:rPr>
      </w:pPr>
      <w:r w:rsidRPr="00160134">
        <w:rPr>
          <w:lang w:val="en-US"/>
        </w:rPr>
        <w:t>Only ‘submittable publications’ are required to be classified.</w:t>
      </w:r>
    </w:p>
    <w:p w14:paraId="14D110B8" w14:textId="77777777" w:rsidR="006055F3" w:rsidRPr="00160134" w:rsidRDefault="0017595B" w:rsidP="00CB2B58">
      <w:pPr>
        <w:pStyle w:val="Listparagraphbullets"/>
        <w:spacing w:after="0"/>
        <w:rPr>
          <w:lang w:val="en-US"/>
        </w:rPr>
      </w:pPr>
      <w:r w:rsidRPr="00160134">
        <w:rPr>
          <w:lang w:val="en-US"/>
        </w:rPr>
        <w:t>Classification decisions for publications are made using</w:t>
      </w:r>
      <w:r w:rsidR="006055F3" w:rsidRPr="00160134">
        <w:rPr>
          <w:lang w:val="en-US"/>
        </w:rPr>
        <w:t xml:space="preserve"> the</w:t>
      </w:r>
      <w:bookmarkStart w:id="2" w:name="_GoBack"/>
      <w:bookmarkEnd w:id="2"/>
    </w:p>
    <w:p w14:paraId="6F3705CD" w14:textId="0DB9B714" w:rsidR="0017595B" w:rsidRPr="00CB3CFD" w:rsidRDefault="006055F3" w:rsidP="00CB3CFD">
      <w:pPr>
        <w:pStyle w:val="Listparagraphbulletssecondlevel"/>
      </w:pPr>
      <w:r w:rsidRPr="00CB3CFD">
        <w:t>Classification (Publications</w:t>
      </w:r>
      <w:r w:rsidR="00F26949" w:rsidRPr="00CB3CFD">
        <w:t>,</w:t>
      </w:r>
      <w:r w:rsidRPr="00CB3CFD">
        <w:t xml:space="preserve"> Films and Computer Games) Act 1995</w:t>
      </w:r>
    </w:p>
    <w:p w14:paraId="32D522DF" w14:textId="24B6590C" w:rsidR="006055F3" w:rsidRPr="00F26949" w:rsidRDefault="006055F3" w:rsidP="00CB3CFD">
      <w:pPr>
        <w:pStyle w:val="Listparagraphbulletssecondlevel"/>
      </w:pPr>
      <w:r w:rsidRPr="00F26949">
        <w:t>National Classification Code 2005</w:t>
      </w:r>
    </w:p>
    <w:p w14:paraId="495B4188" w14:textId="757E6A1C" w:rsidR="006055F3" w:rsidRPr="00CB3CFD" w:rsidRDefault="006055F3" w:rsidP="00CB3CFD">
      <w:pPr>
        <w:pStyle w:val="Listparagraphbulletssecondlevel"/>
        <w:rPr>
          <w:i w:val="0"/>
        </w:rPr>
      </w:pPr>
      <w:r w:rsidRPr="00F26949">
        <w:t>Guidelines for the Classification of Publications 2005</w:t>
      </w:r>
      <w:r w:rsidR="00CB3CFD">
        <w:rPr>
          <w:i w:val="0"/>
        </w:rPr>
        <w:t>.</w:t>
      </w:r>
    </w:p>
    <w:p w14:paraId="073CFADF" w14:textId="337F93AD" w:rsidR="00DB42F8" w:rsidRPr="00160134" w:rsidRDefault="00DB42F8" w:rsidP="00CB2B58">
      <w:pPr>
        <w:pStyle w:val="Listparagraphbullets"/>
        <w:rPr>
          <w:lang w:val="en-US"/>
        </w:rPr>
      </w:pPr>
      <w:r w:rsidRPr="00160134">
        <w:rPr>
          <w:lang w:val="en-US"/>
        </w:rPr>
        <w:t xml:space="preserve">Publications can only be classified by the </w:t>
      </w:r>
      <w:r w:rsidR="00D65EBE">
        <w:rPr>
          <w:lang w:val="en-US"/>
        </w:rPr>
        <w:t xml:space="preserve">Australian </w:t>
      </w:r>
      <w:r w:rsidRPr="00160134">
        <w:rPr>
          <w:lang w:val="en-US"/>
        </w:rPr>
        <w:t>Classification Board (the Board).</w:t>
      </w:r>
    </w:p>
    <w:p w14:paraId="673E5D35" w14:textId="69A25D54" w:rsidR="00596186" w:rsidRPr="00B97E2C" w:rsidRDefault="001F67B5" w:rsidP="00F757B5">
      <w:pPr>
        <w:pStyle w:val="Heading2"/>
      </w:pPr>
      <w:r w:rsidRPr="00B97E2C">
        <w:t>What is a ‘submittable publication</w:t>
      </w:r>
      <w:r w:rsidR="00BA0064" w:rsidRPr="00B97E2C">
        <w:t>?’</w:t>
      </w:r>
    </w:p>
    <w:p w14:paraId="76C9771F" w14:textId="1ADC8619" w:rsidR="00596186" w:rsidRPr="001C0931" w:rsidRDefault="001C0931" w:rsidP="00F757B5">
      <w:pPr>
        <w:pStyle w:val="Listparagraphbullets"/>
        <w:rPr>
          <w:lang w:val="en-US"/>
        </w:rPr>
      </w:pPr>
      <w:r w:rsidRPr="001C0931">
        <w:rPr>
          <w:lang w:val="en-US"/>
        </w:rPr>
        <w:t xml:space="preserve">The </w:t>
      </w:r>
      <w:r w:rsidRPr="001C0931">
        <w:rPr>
          <w:i/>
          <w:lang w:val="en-US"/>
        </w:rPr>
        <w:t>Classification (Publications, Films and Computer Games) Act 1995</w:t>
      </w:r>
      <w:r w:rsidRPr="001C0931">
        <w:rPr>
          <w:lang w:val="en-US"/>
        </w:rPr>
        <w:t xml:space="preserve"> defines a ‘submittable publication’ as “</w:t>
      </w:r>
      <w:r w:rsidR="00596186" w:rsidRPr="001C0931">
        <w:rPr>
          <w:lang w:val="en-US"/>
        </w:rPr>
        <w:t>an unclassified publication that</w:t>
      </w:r>
      <w:r w:rsidR="000F24CF" w:rsidRPr="001C0931">
        <w:rPr>
          <w:lang w:val="en-US"/>
        </w:rPr>
        <w:t>…. contains</w:t>
      </w:r>
      <w:r w:rsidR="000A5974" w:rsidRPr="001C0931">
        <w:rPr>
          <w:lang w:val="en-US"/>
        </w:rPr>
        <w:t xml:space="preserve"> </w:t>
      </w:r>
      <w:r w:rsidR="00596186" w:rsidRPr="001C0931">
        <w:rPr>
          <w:lang w:val="en-US"/>
        </w:rPr>
        <w:t>depictions or descriptions that:</w:t>
      </w:r>
    </w:p>
    <w:p w14:paraId="57881890" w14:textId="7008FEE2" w:rsidR="00596186" w:rsidRPr="00F757B5" w:rsidRDefault="00596186" w:rsidP="00F757B5">
      <w:pPr>
        <w:pStyle w:val="ListParagraph"/>
        <w:numPr>
          <w:ilvl w:val="0"/>
          <w:numId w:val="34"/>
        </w:numPr>
        <w:spacing w:line="240" w:lineRule="auto"/>
        <w:ind w:left="1134" w:hanging="567"/>
        <w:rPr>
          <w:rFonts w:cstheme="minorHAnsi"/>
          <w:lang w:val="en-US"/>
        </w:rPr>
      </w:pPr>
      <w:r w:rsidRPr="00F757B5">
        <w:rPr>
          <w:rFonts w:cstheme="minorHAnsi"/>
          <w:lang w:val="en-US"/>
        </w:rPr>
        <w:t>are likely to cause the publication to be classified RC</w:t>
      </w:r>
      <w:r w:rsidR="00D65EBE" w:rsidRPr="00F757B5">
        <w:rPr>
          <w:rFonts w:cstheme="minorHAnsi"/>
          <w:lang w:val="en-US"/>
        </w:rPr>
        <w:t xml:space="preserve"> (Refused Classification)</w:t>
      </w:r>
      <w:r w:rsidRPr="00F757B5">
        <w:rPr>
          <w:rFonts w:cstheme="minorHAnsi"/>
          <w:lang w:val="en-US"/>
        </w:rPr>
        <w:t>; or</w:t>
      </w:r>
    </w:p>
    <w:p w14:paraId="663FFDFB" w14:textId="0238920A" w:rsidR="00596186" w:rsidRPr="00F757B5" w:rsidRDefault="00596186" w:rsidP="00F757B5">
      <w:pPr>
        <w:pStyle w:val="ListParagraph"/>
        <w:numPr>
          <w:ilvl w:val="0"/>
          <w:numId w:val="34"/>
        </w:numPr>
        <w:spacing w:line="240" w:lineRule="auto"/>
        <w:ind w:left="1134" w:hanging="567"/>
        <w:rPr>
          <w:rFonts w:cstheme="minorHAnsi"/>
          <w:lang w:val="en-US"/>
        </w:rPr>
      </w:pPr>
      <w:r w:rsidRPr="00F757B5">
        <w:rPr>
          <w:rFonts w:cstheme="minorHAnsi"/>
          <w:lang w:val="en-US"/>
        </w:rPr>
        <w:t>are likely to cause offence to a reasonable adult</w:t>
      </w:r>
      <w:r w:rsidR="00F41580" w:rsidRPr="00F757B5">
        <w:rPr>
          <w:rStyle w:val="FootnoteReference"/>
          <w:rFonts w:cstheme="minorHAnsi"/>
          <w:lang w:val="en-US"/>
        </w:rPr>
        <w:footnoteReference w:id="2"/>
      </w:r>
      <w:r w:rsidRPr="00F757B5">
        <w:rPr>
          <w:rFonts w:cstheme="minorHAnsi"/>
          <w:lang w:val="en-US"/>
        </w:rPr>
        <w:t xml:space="preserve"> to the extent that the publication should not be sold or displayed as an unrestricted publication; or</w:t>
      </w:r>
    </w:p>
    <w:p w14:paraId="4D5DB667" w14:textId="11905AE0" w:rsidR="00127F7A" w:rsidRPr="00F757B5" w:rsidRDefault="00596186" w:rsidP="00F757B5">
      <w:pPr>
        <w:pStyle w:val="ListParagraph"/>
        <w:numPr>
          <w:ilvl w:val="0"/>
          <w:numId w:val="34"/>
        </w:numPr>
        <w:spacing w:line="240" w:lineRule="auto"/>
        <w:ind w:left="1134" w:hanging="567"/>
        <w:rPr>
          <w:rFonts w:cstheme="minorHAnsi"/>
          <w:lang w:val="en-US"/>
        </w:rPr>
      </w:pPr>
      <w:r w:rsidRPr="00F757B5">
        <w:rPr>
          <w:rFonts w:cstheme="minorHAnsi"/>
          <w:lang w:val="en-US"/>
        </w:rPr>
        <w:t>are unsuitable for a minor</w:t>
      </w:r>
      <w:r w:rsidR="00F41580" w:rsidRPr="00F757B5">
        <w:rPr>
          <w:rStyle w:val="FootnoteReference"/>
          <w:rFonts w:cstheme="minorHAnsi"/>
          <w:lang w:val="en-US"/>
        </w:rPr>
        <w:footnoteReference w:id="3"/>
      </w:r>
      <w:r w:rsidR="00761B31" w:rsidRPr="00F757B5">
        <w:rPr>
          <w:rFonts w:cstheme="minorHAnsi"/>
          <w:lang w:val="en-US"/>
        </w:rPr>
        <w:t xml:space="preserve"> </w:t>
      </w:r>
      <w:r w:rsidRPr="00F757B5">
        <w:rPr>
          <w:rFonts w:cstheme="minorHAnsi"/>
          <w:lang w:val="en-US"/>
        </w:rPr>
        <w:t>to see or read</w:t>
      </w:r>
      <w:r w:rsidR="00BA0064" w:rsidRPr="00F757B5">
        <w:rPr>
          <w:rFonts w:cstheme="minorHAnsi"/>
          <w:lang w:val="en-US"/>
        </w:rPr>
        <w:t>.”</w:t>
      </w:r>
    </w:p>
    <w:p w14:paraId="3DABD0C9" w14:textId="281BCF21" w:rsidR="000A5974" w:rsidRPr="000A5974" w:rsidRDefault="001C0931" w:rsidP="00F757B5">
      <w:pPr>
        <w:pStyle w:val="Listparagraphbullets"/>
        <w:rPr>
          <w:lang w:val="en-US"/>
        </w:rPr>
      </w:pPr>
      <w:r>
        <w:rPr>
          <w:lang w:val="en-US"/>
        </w:rPr>
        <w:t xml:space="preserve">In practice this means only publications </w:t>
      </w:r>
      <w:r w:rsidRPr="001C0931">
        <w:rPr>
          <w:lang w:val="en-US"/>
        </w:rPr>
        <w:t>which are likely to be Refused Classification or are likely to be classified Category 1</w:t>
      </w:r>
      <w:r w:rsidR="000A5974">
        <w:rPr>
          <w:lang w:val="en-US"/>
        </w:rPr>
        <w:t xml:space="preserve"> </w:t>
      </w:r>
      <w:r w:rsidR="00223AE2">
        <w:rPr>
          <w:lang w:val="en-US"/>
        </w:rPr>
        <w:t>R</w:t>
      </w:r>
      <w:r w:rsidR="000A5974">
        <w:rPr>
          <w:lang w:val="en-US"/>
        </w:rPr>
        <w:t>estricted</w:t>
      </w:r>
      <w:r w:rsidRPr="001C0931">
        <w:rPr>
          <w:lang w:val="en-US"/>
        </w:rPr>
        <w:t xml:space="preserve"> or </w:t>
      </w:r>
      <w:r w:rsidR="000A5974">
        <w:rPr>
          <w:lang w:val="en-US"/>
        </w:rPr>
        <w:t xml:space="preserve">Category </w:t>
      </w:r>
      <w:r w:rsidRPr="001C0931">
        <w:rPr>
          <w:lang w:val="en-US"/>
        </w:rPr>
        <w:t xml:space="preserve">2 </w:t>
      </w:r>
      <w:r w:rsidR="00223AE2">
        <w:rPr>
          <w:lang w:val="en-US"/>
        </w:rPr>
        <w:t>R</w:t>
      </w:r>
      <w:r w:rsidRPr="001C0931">
        <w:rPr>
          <w:lang w:val="en-US"/>
        </w:rPr>
        <w:t xml:space="preserve">estricted are required to be submitted for classification. </w:t>
      </w:r>
    </w:p>
    <w:p w14:paraId="0E72F371" w14:textId="75577793" w:rsidR="001C0931" w:rsidRPr="000A5974" w:rsidRDefault="00EC2072" w:rsidP="00F757B5">
      <w:pPr>
        <w:pStyle w:val="Listparagraphbullets"/>
        <w:rPr>
          <w:lang w:val="en-US"/>
        </w:rPr>
      </w:pPr>
      <w:r>
        <w:rPr>
          <w:lang w:val="en-US"/>
        </w:rPr>
        <w:t>As such,</w:t>
      </w:r>
      <w:r w:rsidR="000A5974">
        <w:rPr>
          <w:lang w:val="en-US"/>
        </w:rPr>
        <w:t xml:space="preserve"> the threshold for a publication to be submitted for classification is high.</w:t>
      </w:r>
    </w:p>
    <w:p w14:paraId="7FEBBBCB" w14:textId="73591364" w:rsidR="00DE1A54" w:rsidRDefault="001C0931" w:rsidP="00F757B5">
      <w:pPr>
        <w:pStyle w:val="Listparagraphbullets"/>
        <w:rPr>
          <w:lang w:val="en-US"/>
        </w:rPr>
      </w:pPr>
      <w:r>
        <w:rPr>
          <w:lang w:val="en-US"/>
        </w:rPr>
        <w:t>Publications with covers that are not suitable for display in public are considered ‘submittable publications</w:t>
      </w:r>
      <w:r w:rsidR="00BA0064">
        <w:rPr>
          <w:lang w:val="en-US"/>
        </w:rPr>
        <w:t>,’</w:t>
      </w:r>
      <w:r>
        <w:rPr>
          <w:lang w:val="en-US"/>
        </w:rPr>
        <w:t xml:space="preserve"> as the impact</w:t>
      </w:r>
      <w:r w:rsidRPr="001C0931">
        <w:rPr>
          <w:lang w:val="en-US"/>
        </w:rPr>
        <w:t xml:space="preserve"> of any descriptions, depictions and references on covers should be low</w:t>
      </w:r>
      <w:r>
        <w:rPr>
          <w:lang w:val="en-US"/>
        </w:rPr>
        <w:t>.</w:t>
      </w:r>
      <w:r w:rsidR="000A5974">
        <w:rPr>
          <w:lang w:val="en-US"/>
        </w:rPr>
        <w:t xml:space="preserve"> This includes publications with content that may not meet the threshold of a ‘submittable publication</w:t>
      </w:r>
      <w:r w:rsidR="00BA0064">
        <w:rPr>
          <w:lang w:val="en-US"/>
        </w:rPr>
        <w:t>.’</w:t>
      </w:r>
    </w:p>
    <w:p w14:paraId="60F28AE8" w14:textId="70EE1BD2" w:rsidR="00DB42F8" w:rsidRDefault="00A2496B" w:rsidP="00F757B5">
      <w:pPr>
        <w:pStyle w:val="Heading2"/>
      </w:pPr>
      <w:r>
        <w:lastRenderedPageBreak/>
        <w:t>T</w:t>
      </w:r>
      <w:r w:rsidR="001F67B5">
        <w:t xml:space="preserve">he </w:t>
      </w:r>
      <w:r w:rsidR="0094172F">
        <w:t>C</w:t>
      </w:r>
      <w:r w:rsidR="001F67B5">
        <w:t xml:space="preserve">lassification </w:t>
      </w:r>
      <w:r w:rsidR="006B4AFF">
        <w:t>c</w:t>
      </w:r>
      <w:r w:rsidR="001F67B5">
        <w:t>ategories</w:t>
      </w:r>
    </w:p>
    <w:tbl>
      <w:tblPr>
        <w:tblStyle w:val="DefaultTable11"/>
        <w:tblW w:w="5000" w:type="pct"/>
        <w:tblLook w:val="04A0" w:firstRow="1" w:lastRow="0" w:firstColumn="1" w:lastColumn="0" w:noHBand="0" w:noVBand="1"/>
      </w:tblPr>
      <w:tblGrid>
        <w:gridCol w:w="2127"/>
        <w:gridCol w:w="6899"/>
      </w:tblGrid>
      <w:tr w:rsidR="006B4AFF" w:rsidRPr="00654F9E" w14:paraId="44054BDC" w14:textId="77777777" w:rsidTr="006B4A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pct"/>
          </w:tcPr>
          <w:p w14:paraId="47F8D0B7" w14:textId="79EEDAD6" w:rsidR="006B4AFF" w:rsidRPr="006B4AFF" w:rsidRDefault="006B4AFF" w:rsidP="006B4AFF">
            <w:pPr>
              <w:pStyle w:val="Tablerowcolumnheading"/>
              <w:keepNext/>
              <w:rPr>
                <w:b/>
                <w:sz w:val="22"/>
                <w:szCs w:val="22"/>
              </w:rPr>
            </w:pPr>
            <w:r w:rsidRPr="000050F5">
              <w:rPr>
                <w:rFonts w:asciiTheme="majorHAnsi" w:hAnsiTheme="majorHAnsi" w:cstheme="majorHAnsi"/>
                <w:b/>
                <w:lang w:val="en-US"/>
              </w:rPr>
              <w:t>Classifications</w:t>
            </w:r>
          </w:p>
        </w:tc>
        <w:tc>
          <w:tcPr>
            <w:tcW w:w="3822" w:type="pct"/>
          </w:tcPr>
          <w:p w14:paraId="2F6BC576" w14:textId="5B4E46F1" w:rsidR="006B4AFF" w:rsidRPr="006B4AFF" w:rsidRDefault="006B4AFF" w:rsidP="006B4AFF">
            <w:pPr>
              <w:pStyle w:val="Tablerowcolumn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B21841">
              <w:rPr>
                <w:b/>
              </w:rPr>
              <w:t>National Classification Code 2005</w:t>
            </w:r>
          </w:p>
        </w:tc>
      </w:tr>
      <w:tr w:rsidR="006B4AFF" w:rsidRPr="00654F9E" w14:paraId="228D9B6A" w14:textId="77777777" w:rsidTr="006B4AF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pct"/>
          </w:tcPr>
          <w:p w14:paraId="12A09BBD" w14:textId="77777777" w:rsidR="006B4AFF" w:rsidRPr="006B4AFF" w:rsidRDefault="006B4AFF" w:rsidP="006B4AFF">
            <w:pPr>
              <w:rPr>
                <w:rFonts w:ascii="Calibri" w:hAnsi="Calibri" w:cs="Calibri"/>
                <w:lang w:val="en-US"/>
              </w:rPr>
            </w:pPr>
            <w:r w:rsidRPr="006B4AFF">
              <w:rPr>
                <w:rFonts w:ascii="Calibri" w:hAnsi="Calibri" w:cs="Calibri"/>
                <w:lang w:val="en-US"/>
              </w:rPr>
              <w:t>Refused Classification (RC)</w:t>
            </w:r>
          </w:p>
          <w:p w14:paraId="7574F777" w14:textId="36836D7D" w:rsidR="006B4AFF" w:rsidRPr="006B4AFF" w:rsidRDefault="006B4AFF" w:rsidP="006B4AFF">
            <w:pPr>
              <w:pStyle w:val="Tabletext"/>
              <w:rPr>
                <w:rFonts w:cs="Calibri"/>
              </w:rPr>
            </w:pPr>
            <w:r w:rsidRPr="006B4AFF">
              <w:rPr>
                <w:rFonts w:cs="Calibri"/>
              </w:rPr>
              <w:t>(Illegal to import or sell in Australia)</w:t>
            </w:r>
          </w:p>
        </w:tc>
        <w:tc>
          <w:tcPr>
            <w:tcW w:w="3822" w:type="pct"/>
          </w:tcPr>
          <w:p w14:paraId="6B0C275A" w14:textId="77777777" w:rsidR="006B4AFF" w:rsidRPr="006B4AFF" w:rsidRDefault="006B4AFF" w:rsidP="006B4A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B4AFF">
              <w:rPr>
                <w:rFonts w:ascii="Calibri" w:hAnsi="Calibri" w:cs="Calibri"/>
              </w:rPr>
              <w:t>Publications that:</w:t>
            </w:r>
          </w:p>
          <w:p w14:paraId="4C4EAAD2" w14:textId="77777777" w:rsidR="006B4AFF" w:rsidRPr="006B4AFF" w:rsidRDefault="006B4AFF" w:rsidP="006B4AFF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B4AFF">
              <w:rPr>
                <w:rFonts w:ascii="Calibri" w:hAnsi="Calibri" w:cs="Calibri"/>
              </w:rPr>
              <w:t>describe, depict, express or otherwise deal with matters of sex, drug misuse or addiction, crime, cruelty, violence or revolting or abhorrent phenomena in such a way that they offend against the standards of morality, decency and propriety generally accepted by reasonable adults to the extent that they should not be classified; or</w:t>
            </w:r>
          </w:p>
          <w:p w14:paraId="3E2E69F1" w14:textId="1ABD4CC6" w:rsidR="00F26949" w:rsidRPr="006B4AFF" w:rsidRDefault="006B4AFF" w:rsidP="006B4AFF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B4AFF">
              <w:rPr>
                <w:rFonts w:ascii="Calibri" w:hAnsi="Calibri" w:cs="Calibri"/>
              </w:rPr>
              <w:t>describe or depict in a way that is likely to cause offence to a reasonable adult, a person who is, or appears to be, a child under 18 (whether the person is engaged in sexual activity or not); or</w:t>
            </w:r>
          </w:p>
          <w:p w14:paraId="23468951" w14:textId="072B3E52" w:rsidR="006B4AFF" w:rsidRPr="00F26949" w:rsidRDefault="006B4AFF" w:rsidP="00CB3CFD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F26949">
              <w:rPr>
                <w:rFonts w:cs="Calibri"/>
              </w:rPr>
              <w:t>promote, incite or instruct in matters of crime or violence.</w:t>
            </w:r>
          </w:p>
        </w:tc>
      </w:tr>
      <w:tr w:rsidR="006B4AFF" w:rsidRPr="00654F9E" w14:paraId="44090469" w14:textId="77777777" w:rsidTr="006B4A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pct"/>
          </w:tcPr>
          <w:p w14:paraId="4EA13EC8" w14:textId="77777777" w:rsidR="006B4AFF" w:rsidRPr="006B4AFF" w:rsidRDefault="006B4AFF" w:rsidP="006B4AFF">
            <w:pPr>
              <w:rPr>
                <w:rFonts w:ascii="Calibri" w:hAnsi="Calibri" w:cs="Calibri"/>
                <w:lang w:val="en-US"/>
              </w:rPr>
            </w:pPr>
            <w:r w:rsidRPr="006B4AFF">
              <w:rPr>
                <w:rFonts w:ascii="Calibri" w:hAnsi="Calibri" w:cs="Calibri"/>
                <w:lang w:val="en-US"/>
              </w:rPr>
              <w:t>Category 2 – Restricted</w:t>
            </w:r>
          </w:p>
          <w:p w14:paraId="2D900282" w14:textId="1AF266BC" w:rsidR="006B4AFF" w:rsidRPr="006B4AFF" w:rsidRDefault="006B4AFF" w:rsidP="006B4AFF">
            <w:pPr>
              <w:pStyle w:val="Tabletext"/>
              <w:rPr>
                <w:rFonts w:cs="Calibri"/>
              </w:rPr>
            </w:pPr>
            <w:r w:rsidRPr="006B4AFF">
              <w:rPr>
                <w:rFonts w:cs="Calibri"/>
                <w:lang w:val="en-US"/>
              </w:rPr>
              <w:t xml:space="preserve">(Restricted to 18+, not to be sold in Queensland) </w:t>
            </w:r>
          </w:p>
        </w:tc>
        <w:tc>
          <w:tcPr>
            <w:tcW w:w="3822" w:type="pct"/>
          </w:tcPr>
          <w:p w14:paraId="605BF93C" w14:textId="77777777" w:rsidR="006B4AFF" w:rsidRPr="006B4AFF" w:rsidRDefault="006B4AFF" w:rsidP="006B4AF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B4AFF">
              <w:rPr>
                <w:rFonts w:ascii="Calibri" w:hAnsi="Calibri" w:cs="Calibri"/>
              </w:rPr>
              <w:t>Publications (except RC publications) that:</w:t>
            </w:r>
          </w:p>
          <w:p w14:paraId="58B0D95C" w14:textId="6B371840" w:rsidR="00F26949" w:rsidRPr="006B4AFF" w:rsidRDefault="006B4AFF" w:rsidP="006B4AFF">
            <w:pPr>
              <w:pStyle w:val="ListParagraph"/>
              <w:numPr>
                <w:ilvl w:val="0"/>
                <w:numId w:val="2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B4AFF">
              <w:rPr>
                <w:rFonts w:ascii="Calibri" w:hAnsi="Calibri" w:cs="Calibri"/>
              </w:rPr>
              <w:t>explicitly depict sexual or sexually related activity between consenting adults in a way that is likely to cause offence to a reasonable adult; or</w:t>
            </w:r>
          </w:p>
          <w:p w14:paraId="08BCF645" w14:textId="095CB49C" w:rsidR="006B4AFF" w:rsidRPr="00CB3CFD" w:rsidRDefault="006B4AFF" w:rsidP="00CB3CFD">
            <w:pPr>
              <w:pStyle w:val="ListParagraph"/>
              <w:numPr>
                <w:ilvl w:val="0"/>
                <w:numId w:val="2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  <w:r w:rsidRPr="00CB3CFD">
              <w:rPr>
                <w:rFonts w:cs="Calibri"/>
                <w:szCs w:val="22"/>
              </w:rPr>
              <w:t>depict, describe or express revolting or abhorrent phenomena in a way that is likely to cause offence to a reasonable adult and are unsuitable for a minor to see or read.</w:t>
            </w:r>
          </w:p>
        </w:tc>
      </w:tr>
      <w:tr w:rsidR="006B4AFF" w:rsidRPr="00654F9E" w14:paraId="5E87DDC7" w14:textId="77777777" w:rsidTr="006B4AF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pct"/>
          </w:tcPr>
          <w:p w14:paraId="44897F7E" w14:textId="77777777" w:rsidR="006B4AFF" w:rsidRPr="006B4AFF" w:rsidRDefault="006B4AFF" w:rsidP="006B4AFF">
            <w:pPr>
              <w:rPr>
                <w:rFonts w:ascii="Calibri" w:hAnsi="Calibri" w:cs="Calibri"/>
                <w:lang w:val="en-US"/>
              </w:rPr>
            </w:pPr>
            <w:r w:rsidRPr="006B4AFF">
              <w:rPr>
                <w:rFonts w:ascii="Calibri" w:hAnsi="Calibri" w:cs="Calibri"/>
                <w:lang w:val="en-US"/>
              </w:rPr>
              <w:t xml:space="preserve">Category 1 – Restricted </w:t>
            </w:r>
          </w:p>
          <w:p w14:paraId="28FB1BD1" w14:textId="69ECCECD" w:rsidR="006B4AFF" w:rsidRPr="006B4AFF" w:rsidRDefault="006B4AFF" w:rsidP="006B4AFF">
            <w:pPr>
              <w:pStyle w:val="Tabletext"/>
              <w:rPr>
                <w:rFonts w:cs="Calibri"/>
              </w:rPr>
            </w:pPr>
            <w:r w:rsidRPr="006B4AFF">
              <w:rPr>
                <w:rFonts w:cs="Calibri"/>
                <w:lang w:val="en-US"/>
              </w:rPr>
              <w:t xml:space="preserve">(Restricted to 18+, not to be sold in Queensland) </w:t>
            </w:r>
          </w:p>
        </w:tc>
        <w:tc>
          <w:tcPr>
            <w:tcW w:w="3822" w:type="pct"/>
          </w:tcPr>
          <w:p w14:paraId="3CC679FF" w14:textId="77777777" w:rsidR="006B4AFF" w:rsidRPr="006B4AFF" w:rsidRDefault="006B4AFF" w:rsidP="006B4A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B4AFF">
              <w:rPr>
                <w:rFonts w:ascii="Calibri" w:hAnsi="Calibri" w:cs="Calibri"/>
              </w:rPr>
              <w:t>Publications (except RC publications and Category 2 restricted publications) that:</w:t>
            </w:r>
          </w:p>
          <w:p w14:paraId="3CA5A144" w14:textId="3BAA44AA" w:rsidR="00F26949" w:rsidRPr="006B4AFF" w:rsidRDefault="006B4AFF" w:rsidP="006B4AFF">
            <w:pPr>
              <w:pStyle w:val="ListParagraph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B4AFF">
              <w:rPr>
                <w:rFonts w:ascii="Calibri" w:hAnsi="Calibri" w:cs="Calibri"/>
              </w:rPr>
              <w:t>explicitly depict nudity, or describe or impliedly depict sexual or sexually related activity between consenting adults, in a way that is likely to cause offence to a reasonable adult; or</w:t>
            </w:r>
          </w:p>
          <w:p w14:paraId="4466FB70" w14:textId="153921E3" w:rsidR="006B4AFF" w:rsidRPr="00CB3CFD" w:rsidRDefault="006B4AFF" w:rsidP="00CB3CFD">
            <w:pPr>
              <w:pStyle w:val="ListParagraph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CB3CFD">
              <w:rPr>
                <w:rFonts w:cs="Calibri"/>
                <w:szCs w:val="22"/>
              </w:rPr>
              <w:t xml:space="preserve">describe or express in detail violence or sexual activity between consenting adults in a way that is likely to cause offence to a reasonable adult; or are unsuitable for a minor to see or read. </w:t>
            </w:r>
          </w:p>
        </w:tc>
      </w:tr>
      <w:tr w:rsidR="006B4AFF" w:rsidRPr="00654F9E" w14:paraId="3ADAD5D2" w14:textId="77777777" w:rsidTr="006B4A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pct"/>
          </w:tcPr>
          <w:p w14:paraId="4A4AF4FD" w14:textId="7849B705" w:rsidR="006B4AFF" w:rsidRPr="006B4AFF" w:rsidRDefault="006B4AFF" w:rsidP="006B4AFF">
            <w:pPr>
              <w:rPr>
                <w:rFonts w:ascii="Calibri" w:hAnsi="Calibri" w:cs="Calibri"/>
                <w:lang w:val="en-US"/>
              </w:rPr>
            </w:pPr>
            <w:r w:rsidRPr="006B4AFF">
              <w:rPr>
                <w:rFonts w:ascii="Calibri" w:hAnsi="Calibri" w:cs="Calibri"/>
                <w:lang w:val="en-US"/>
              </w:rPr>
              <w:t>Unrestricted</w:t>
            </w:r>
          </w:p>
        </w:tc>
        <w:tc>
          <w:tcPr>
            <w:tcW w:w="3822" w:type="pct"/>
          </w:tcPr>
          <w:p w14:paraId="3EFF43F0" w14:textId="77777777" w:rsidR="006B4AFF" w:rsidRPr="006B4AFF" w:rsidRDefault="006B4AFF" w:rsidP="006B4AF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B4AFF">
              <w:rPr>
                <w:rFonts w:ascii="Calibri" w:hAnsi="Calibri" w:cs="Calibri"/>
              </w:rPr>
              <w:t xml:space="preserve">All other publications. </w:t>
            </w:r>
          </w:p>
          <w:p w14:paraId="38A55C83" w14:textId="61DE113F" w:rsidR="006B4AFF" w:rsidRPr="006B4AFF" w:rsidRDefault="006B4AFF" w:rsidP="006B4AF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B4AFF">
              <w:rPr>
                <w:rFonts w:ascii="Calibri" w:hAnsi="Calibri" w:cs="Calibri"/>
              </w:rPr>
              <w:t>The ‘Unrestricted’ classification encompasses a wide range of material. It is not likely to include material that offends a reasonable adult to the extent that it should be restricted.</w:t>
            </w:r>
          </w:p>
        </w:tc>
      </w:tr>
    </w:tbl>
    <w:p w14:paraId="14AAB994" w14:textId="63E9DD80" w:rsidR="00472E87" w:rsidRDefault="00426A36" w:rsidP="00F757B5">
      <w:pPr>
        <w:pStyle w:val="Heading2"/>
      </w:pPr>
      <w:r>
        <w:t xml:space="preserve">Who is responsible for submitting a publication for </w:t>
      </w:r>
      <w:r w:rsidR="00472E87" w:rsidRPr="000146AB">
        <w:t>Classification?</w:t>
      </w:r>
    </w:p>
    <w:p w14:paraId="5B3204DC" w14:textId="0F89AB45" w:rsidR="00365F78" w:rsidRDefault="00365F78" w:rsidP="006B4AFF">
      <w:pPr>
        <w:pStyle w:val="Listparagraphbullets"/>
        <w:spacing w:after="0"/>
        <w:rPr>
          <w:lang w:val="en-US"/>
        </w:rPr>
      </w:pPr>
      <w:r w:rsidRPr="00365F78">
        <w:rPr>
          <w:lang w:val="en-US"/>
        </w:rPr>
        <w:t xml:space="preserve">While there are no restrictions on who can submit a publication </w:t>
      </w:r>
      <w:r>
        <w:rPr>
          <w:lang w:val="en-US"/>
        </w:rPr>
        <w:t xml:space="preserve">for classification, </w:t>
      </w:r>
      <w:r w:rsidRPr="00365F78">
        <w:rPr>
          <w:lang w:val="en-US"/>
        </w:rPr>
        <w:t>the onus falls on anyone who has the intention of selling, advertising or importing a submittable publication</w:t>
      </w:r>
      <w:r>
        <w:rPr>
          <w:lang w:val="en-US"/>
        </w:rPr>
        <w:t>.</w:t>
      </w:r>
    </w:p>
    <w:p w14:paraId="1D1706E8" w14:textId="7009E8EF" w:rsidR="00472E87" w:rsidRPr="00F26949" w:rsidRDefault="00365F78" w:rsidP="00CB3CFD">
      <w:pPr>
        <w:pStyle w:val="Listparagraphbulletssecondlevel"/>
      </w:pPr>
      <w:r w:rsidRPr="00F26949">
        <w:t>This may include:</w:t>
      </w:r>
      <w:r w:rsidR="005840E6" w:rsidRPr="00F26949">
        <w:t xml:space="preserve"> p</w:t>
      </w:r>
      <w:r w:rsidR="00472E87" w:rsidRPr="00F26949">
        <w:t>ublishers (national and international)</w:t>
      </w:r>
      <w:r w:rsidR="004A3B21" w:rsidRPr="00F26949">
        <w:t xml:space="preserve">, </w:t>
      </w:r>
      <w:r w:rsidR="005840E6" w:rsidRPr="00F26949">
        <w:t>d</w:t>
      </w:r>
      <w:r w:rsidR="00472E87" w:rsidRPr="00F26949">
        <w:t>istributors</w:t>
      </w:r>
      <w:r w:rsidR="004A3B21" w:rsidRPr="00F26949">
        <w:t xml:space="preserve"> or library vendors. </w:t>
      </w:r>
    </w:p>
    <w:p w14:paraId="708043A3" w14:textId="1AB76417" w:rsidR="00472E87" w:rsidRDefault="00472E87" w:rsidP="006B4AFF">
      <w:pPr>
        <w:pStyle w:val="Listparagraphbullets"/>
        <w:rPr>
          <w:lang w:val="en-US"/>
        </w:rPr>
      </w:pPr>
      <w:r w:rsidRPr="00980C26">
        <w:rPr>
          <w:lang w:val="en-US"/>
        </w:rPr>
        <w:t xml:space="preserve">The Director </w:t>
      </w:r>
      <w:r w:rsidR="009837F3" w:rsidRPr="00980C26">
        <w:rPr>
          <w:lang w:val="en-US"/>
        </w:rPr>
        <w:t xml:space="preserve">of </w:t>
      </w:r>
      <w:r w:rsidRPr="00980C26">
        <w:rPr>
          <w:lang w:val="en-US"/>
        </w:rPr>
        <w:t>the Board</w:t>
      </w:r>
      <w:r w:rsidR="00923F92" w:rsidRPr="00980C26">
        <w:rPr>
          <w:lang w:val="en-US"/>
        </w:rPr>
        <w:t xml:space="preserve"> also</w:t>
      </w:r>
      <w:r w:rsidRPr="00980C26">
        <w:rPr>
          <w:lang w:val="en-US"/>
        </w:rPr>
        <w:t xml:space="preserve"> has the power to call in </w:t>
      </w:r>
      <w:r w:rsidR="0030675F" w:rsidRPr="00980C26">
        <w:rPr>
          <w:lang w:val="en-US"/>
        </w:rPr>
        <w:t>publications</w:t>
      </w:r>
      <w:r w:rsidRPr="00980C26">
        <w:rPr>
          <w:lang w:val="en-US"/>
        </w:rPr>
        <w:t xml:space="preserve"> for classification where there are reasonable grounds to believe that a publication is a </w:t>
      </w:r>
      <w:r w:rsidR="00923F92" w:rsidRPr="00980C26">
        <w:rPr>
          <w:lang w:val="en-US"/>
        </w:rPr>
        <w:t>‘</w:t>
      </w:r>
      <w:r w:rsidRPr="00980C26">
        <w:rPr>
          <w:lang w:val="en-US"/>
        </w:rPr>
        <w:t>submittable publication</w:t>
      </w:r>
      <w:r w:rsidR="00BA0064">
        <w:rPr>
          <w:lang w:val="en-US"/>
        </w:rPr>
        <w:t>.’</w:t>
      </w:r>
    </w:p>
    <w:p w14:paraId="114A3CF8" w14:textId="5F5CA955" w:rsidR="00006CB6" w:rsidRDefault="00006CB6" w:rsidP="00F757B5">
      <w:pPr>
        <w:pStyle w:val="Heading2"/>
      </w:pPr>
      <w:r>
        <w:t xml:space="preserve">Classification </w:t>
      </w:r>
      <w:r w:rsidR="006B4AFF">
        <w:t>p</w:t>
      </w:r>
      <w:r>
        <w:t>rocess</w:t>
      </w:r>
    </w:p>
    <w:p w14:paraId="6811B495" w14:textId="7C52C7A8" w:rsidR="00006CB6" w:rsidRPr="00980C26" w:rsidRDefault="00BC7E52" w:rsidP="006B4AFF">
      <w:pPr>
        <w:pStyle w:val="Listparagraphbullets"/>
        <w:spacing w:after="0"/>
        <w:rPr>
          <w:lang w:val="en-US"/>
        </w:rPr>
      </w:pPr>
      <w:r>
        <w:rPr>
          <w:lang w:val="en-US"/>
        </w:rPr>
        <w:t>By a</w:t>
      </w:r>
      <w:r w:rsidR="00006CB6" w:rsidRPr="00980C26">
        <w:rPr>
          <w:lang w:val="en-US"/>
        </w:rPr>
        <w:t xml:space="preserve">pplications </w:t>
      </w:r>
      <w:r w:rsidR="005B6E02">
        <w:rPr>
          <w:lang w:val="en-US"/>
        </w:rPr>
        <w:t xml:space="preserve">as </w:t>
      </w:r>
      <w:r w:rsidR="00006CB6" w:rsidRPr="00980C26">
        <w:rPr>
          <w:lang w:val="en-US"/>
        </w:rPr>
        <w:t>either:</w:t>
      </w:r>
    </w:p>
    <w:p w14:paraId="0A49A4B4" w14:textId="773BEC4E" w:rsidR="00006CB6" w:rsidRPr="00F26949" w:rsidRDefault="00006CB6" w:rsidP="00CB3CFD">
      <w:pPr>
        <w:pStyle w:val="Listparagraphbulletssecondlevel"/>
      </w:pPr>
      <w:r w:rsidRPr="00F26949">
        <w:t xml:space="preserve">Standard – </w:t>
      </w:r>
      <w:r w:rsidR="005B6E02" w:rsidRPr="00F26949">
        <w:t xml:space="preserve">classification decisions </w:t>
      </w:r>
      <w:r w:rsidRPr="00F26949">
        <w:t>made within 20 days; or</w:t>
      </w:r>
    </w:p>
    <w:p w14:paraId="3D67B0A8" w14:textId="2AF462E9" w:rsidR="00D02D0B" w:rsidRPr="00F26949" w:rsidRDefault="00006CB6" w:rsidP="00CB3CFD">
      <w:pPr>
        <w:pStyle w:val="Listparagraphbulletssecondlevel"/>
      </w:pPr>
      <w:r w:rsidRPr="00F26949">
        <w:t xml:space="preserve">Priority – </w:t>
      </w:r>
      <w:r w:rsidR="005B6E02" w:rsidRPr="00F26949">
        <w:t xml:space="preserve">classification decisions </w:t>
      </w:r>
      <w:r w:rsidRPr="00F26949">
        <w:t>made within 5 days</w:t>
      </w:r>
      <w:r w:rsidR="00E41763" w:rsidRPr="00F26949">
        <w:t>.</w:t>
      </w:r>
    </w:p>
    <w:p w14:paraId="40CAECCE" w14:textId="375076D1" w:rsidR="00127F7A" w:rsidRPr="00203AF0" w:rsidRDefault="00006CB6" w:rsidP="009130E6">
      <w:pPr>
        <w:pStyle w:val="Listparagraphbullets"/>
        <w:rPr>
          <w:rFonts w:asciiTheme="minorHAnsi" w:hAnsiTheme="minorHAnsi" w:cstheme="minorHAnsi"/>
        </w:rPr>
      </w:pPr>
      <w:r w:rsidRPr="006B4AFF">
        <w:rPr>
          <w:lang w:val="en-US"/>
        </w:rPr>
        <w:t>Full details of the classification process including the documents required and associated fees can be found online</w:t>
      </w:r>
      <w:r w:rsidR="006B4AFF" w:rsidRPr="006B4AFF">
        <w:rPr>
          <w:lang w:val="en-US"/>
        </w:rPr>
        <w:br/>
      </w:r>
      <w:hyperlink r:id="rId10" w:history="1">
        <w:r w:rsidR="00CC5452" w:rsidRPr="00203AF0">
          <w:rPr>
            <w:rStyle w:val="Hyperlink"/>
            <w:rFonts w:asciiTheme="minorHAnsi" w:hAnsiTheme="minorHAnsi" w:cstheme="minorHAnsi"/>
          </w:rPr>
          <w:t>https://www.classification.gov.au/for-industry/apply-for-classification/classify-publication</w:t>
        </w:r>
      </w:hyperlink>
      <w:r w:rsidRPr="00203AF0">
        <w:rPr>
          <w:rFonts w:asciiTheme="minorHAnsi" w:hAnsiTheme="minorHAnsi" w:cstheme="minorHAnsi"/>
        </w:rPr>
        <w:t>.</w:t>
      </w:r>
    </w:p>
    <w:p w14:paraId="4BD900EF" w14:textId="37AFB340" w:rsidR="00127F7A" w:rsidRDefault="006225CA" w:rsidP="006B4AFF">
      <w:pPr>
        <w:pStyle w:val="Heading2"/>
      </w:pPr>
      <w:r>
        <w:lastRenderedPageBreak/>
        <w:t>How to find out if a publication has been classified?</w:t>
      </w:r>
    </w:p>
    <w:p w14:paraId="6F20A243" w14:textId="61B58557" w:rsidR="00AC0090" w:rsidRPr="00AC0090" w:rsidRDefault="00AC0090" w:rsidP="00AC0090">
      <w:r>
        <w:rPr>
          <w:noProof/>
        </w:rPr>
        <w:drawing>
          <wp:inline distT="0" distB="0" distL="0" distR="0" wp14:anchorId="0BC94E26" wp14:editId="11CCD424">
            <wp:extent cx="5731510" cy="2790825"/>
            <wp:effectExtent l="0" t="0" r="2540" b="9525"/>
            <wp:docPr id="1" name="Picture 1" descr="Screenshot of Classification webpage titled 'latest classification decisions'.&#10;One arrow points to the 'search for a film, game or publication' search bar. The other arrow points to a check box titled 'publications', which is tick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1F452" w14:textId="3A9F2F92" w:rsidR="00BB6D77" w:rsidRPr="00203AF0" w:rsidRDefault="006225CA" w:rsidP="00203AF0">
      <w:pPr>
        <w:pStyle w:val="Listparagraphbullets"/>
        <w:spacing w:after="0"/>
        <w:rPr>
          <w:rFonts w:asciiTheme="minorHAnsi" w:hAnsiTheme="minorHAnsi" w:cstheme="minorHAnsi"/>
        </w:rPr>
      </w:pPr>
      <w:r w:rsidRPr="00203AF0">
        <w:rPr>
          <w:rFonts w:asciiTheme="minorHAnsi" w:hAnsiTheme="minorHAnsi" w:cstheme="minorHAnsi"/>
        </w:rPr>
        <w:t xml:space="preserve">Classification decisions for publications can be on found on the </w:t>
      </w:r>
      <w:r w:rsidR="00ED7BB2" w:rsidRPr="00203AF0">
        <w:rPr>
          <w:rFonts w:asciiTheme="minorHAnsi" w:hAnsiTheme="minorHAnsi" w:cstheme="minorHAnsi"/>
        </w:rPr>
        <w:t xml:space="preserve">classification website </w:t>
      </w:r>
      <w:r w:rsidRPr="00203AF0">
        <w:rPr>
          <w:rFonts w:asciiTheme="minorHAnsi" w:hAnsiTheme="minorHAnsi" w:cstheme="minorHAnsi"/>
        </w:rPr>
        <w:t xml:space="preserve">at </w:t>
      </w:r>
      <w:hyperlink r:id="rId12" w:history="1">
        <w:r w:rsidRPr="00203AF0">
          <w:rPr>
            <w:rStyle w:val="Hyperlink"/>
            <w:rFonts w:asciiTheme="minorHAnsi" w:hAnsiTheme="minorHAnsi" w:cstheme="minorHAnsi"/>
          </w:rPr>
          <w:t>www.classification.gov.au</w:t>
        </w:r>
      </w:hyperlink>
      <w:r w:rsidR="00ED7BB2" w:rsidRPr="00203AF0">
        <w:rPr>
          <w:rFonts w:asciiTheme="minorHAnsi" w:hAnsiTheme="minorHAnsi" w:cstheme="minorHAnsi"/>
        </w:rPr>
        <w:t xml:space="preserve"> by searching for the title of the publication.</w:t>
      </w:r>
    </w:p>
    <w:p w14:paraId="4FDAF638" w14:textId="36AE3760" w:rsidR="0094337B" w:rsidRPr="00203AF0" w:rsidRDefault="009A3E39" w:rsidP="00CB3CFD">
      <w:pPr>
        <w:pStyle w:val="Listparagraphbulletssecondlevel"/>
        <w:rPr>
          <w:rFonts w:asciiTheme="minorHAnsi" w:hAnsiTheme="minorHAnsi" w:cstheme="minorHAnsi"/>
        </w:rPr>
      </w:pPr>
      <w:r w:rsidRPr="00203AF0">
        <w:rPr>
          <w:rFonts w:asciiTheme="minorHAnsi" w:hAnsiTheme="minorHAnsi" w:cstheme="minorHAnsi"/>
        </w:rPr>
        <w:t xml:space="preserve">Go to </w:t>
      </w:r>
      <w:hyperlink r:id="rId13" w:history="1">
        <w:r w:rsidRPr="00203AF0">
          <w:rPr>
            <w:rStyle w:val="Hyperlink"/>
            <w:rFonts w:asciiTheme="minorHAnsi" w:hAnsiTheme="minorHAnsi" w:cstheme="minorHAnsi"/>
          </w:rPr>
          <w:t>‘Latest Classification Decisions’</w:t>
        </w:r>
      </w:hyperlink>
      <w:r w:rsidRPr="00203AF0">
        <w:rPr>
          <w:rFonts w:asciiTheme="minorHAnsi" w:hAnsiTheme="minorHAnsi" w:cstheme="minorHAnsi"/>
        </w:rPr>
        <w:t xml:space="preserve"> and tick</w:t>
      </w:r>
      <w:r w:rsidR="00196A87" w:rsidRPr="00203AF0">
        <w:rPr>
          <w:rFonts w:asciiTheme="minorHAnsi" w:hAnsiTheme="minorHAnsi" w:cstheme="minorHAnsi"/>
        </w:rPr>
        <w:t xml:space="preserve"> the</w:t>
      </w:r>
      <w:r w:rsidRPr="00203AF0">
        <w:rPr>
          <w:rFonts w:asciiTheme="minorHAnsi" w:hAnsiTheme="minorHAnsi" w:cstheme="minorHAnsi"/>
        </w:rPr>
        <w:t xml:space="preserve"> publications box</w:t>
      </w:r>
      <w:r w:rsidR="00B21841" w:rsidRPr="00203AF0">
        <w:rPr>
          <w:rFonts w:asciiTheme="minorHAnsi" w:hAnsiTheme="minorHAnsi" w:cstheme="minorHAnsi"/>
        </w:rPr>
        <w:t xml:space="preserve">, before searching the title. </w:t>
      </w:r>
    </w:p>
    <w:p w14:paraId="770C3E0D" w14:textId="45CBA307" w:rsidR="00062D5D" w:rsidRPr="00203AF0" w:rsidRDefault="009A3E39" w:rsidP="00CB3CFD">
      <w:pPr>
        <w:pStyle w:val="Listparagraphbulletssecondlevel"/>
      </w:pPr>
      <w:r w:rsidRPr="00203AF0">
        <w:t xml:space="preserve">Be aware when searching for a publication that the title </w:t>
      </w:r>
      <w:r w:rsidR="004A3B21" w:rsidRPr="00203AF0">
        <w:t>on the website</w:t>
      </w:r>
      <w:r w:rsidRPr="00203AF0">
        <w:t xml:space="preserve"> may not match the title of the publication in the library, as the Board may have put it under a different title e.g. Smiths vs The Smiths</w:t>
      </w:r>
      <w:r w:rsidR="00B21841" w:rsidRPr="00203AF0">
        <w:t>.</w:t>
      </w:r>
      <w:r w:rsidR="003F4DA2" w:rsidRPr="00203AF0">
        <w:t xml:space="preserve"> This may happen where there are duplicate </w:t>
      </w:r>
      <w:r w:rsidR="004A3B21" w:rsidRPr="00203AF0">
        <w:t xml:space="preserve">publications. </w:t>
      </w:r>
    </w:p>
    <w:p w14:paraId="45F30981" w14:textId="4EC04DFE" w:rsidR="00127F7A" w:rsidRPr="00203AF0" w:rsidRDefault="009A3E39" w:rsidP="00203AF0">
      <w:pPr>
        <w:pStyle w:val="Listparagraphbullets"/>
        <w:rPr>
          <w:rFonts w:asciiTheme="minorHAnsi" w:hAnsiTheme="minorHAnsi" w:cstheme="minorHAnsi"/>
        </w:rPr>
      </w:pPr>
      <w:r w:rsidRPr="00203AF0">
        <w:rPr>
          <w:rFonts w:asciiTheme="minorHAnsi" w:hAnsiTheme="minorHAnsi" w:cstheme="minorHAnsi"/>
        </w:rPr>
        <w:t xml:space="preserve">If you cannot find the title </w:t>
      </w:r>
      <w:r w:rsidR="00AF3536" w:rsidRPr="00203AF0">
        <w:rPr>
          <w:rFonts w:asciiTheme="minorHAnsi" w:hAnsiTheme="minorHAnsi" w:cstheme="minorHAnsi"/>
        </w:rPr>
        <w:t xml:space="preserve">contact </w:t>
      </w:r>
      <w:r w:rsidR="00E47A50" w:rsidRPr="00203AF0">
        <w:rPr>
          <w:rFonts w:asciiTheme="minorHAnsi" w:hAnsiTheme="minorHAnsi" w:cstheme="minorHAnsi"/>
        </w:rPr>
        <w:t xml:space="preserve">us </w:t>
      </w:r>
      <w:r w:rsidR="006C40CF" w:rsidRPr="00203AF0">
        <w:rPr>
          <w:rFonts w:asciiTheme="minorHAnsi" w:hAnsiTheme="minorHAnsi" w:cstheme="minorHAnsi"/>
        </w:rPr>
        <w:t xml:space="preserve">using the </w:t>
      </w:r>
      <w:hyperlink r:id="rId14" w:history="1">
        <w:r w:rsidR="006C40CF" w:rsidRPr="00203AF0">
          <w:rPr>
            <w:rStyle w:val="Hyperlink"/>
            <w:rFonts w:asciiTheme="minorHAnsi" w:hAnsiTheme="minorHAnsi" w:cstheme="minorHAnsi"/>
          </w:rPr>
          <w:t>contact us form</w:t>
        </w:r>
      </w:hyperlink>
      <w:r w:rsidR="00B21841" w:rsidRPr="00203AF0">
        <w:rPr>
          <w:rFonts w:asciiTheme="minorHAnsi" w:hAnsiTheme="minorHAnsi" w:cstheme="minorHAnsi"/>
        </w:rPr>
        <w:t xml:space="preserve">. </w:t>
      </w:r>
    </w:p>
    <w:p w14:paraId="2FB2FF39" w14:textId="6C2A45E8" w:rsidR="00247AAE" w:rsidRDefault="00247AAE" w:rsidP="006B4AFF">
      <w:pPr>
        <w:pStyle w:val="Heading2"/>
      </w:pPr>
      <w:r>
        <w:t xml:space="preserve">Display and </w:t>
      </w:r>
      <w:r w:rsidR="006B4AFF">
        <w:t>m</w:t>
      </w:r>
      <w:r>
        <w:t>arkings</w:t>
      </w:r>
    </w:p>
    <w:p w14:paraId="3101369C" w14:textId="68BC2FE4" w:rsidR="00273071" w:rsidRPr="00427158" w:rsidRDefault="00273071" w:rsidP="00427158">
      <w:pPr>
        <w:pStyle w:val="Listparagraphbullets"/>
        <w:rPr>
          <w:rFonts w:asciiTheme="minorHAnsi" w:hAnsiTheme="minorHAnsi" w:cstheme="minorHAnsi"/>
          <w:lang w:val="en-US"/>
        </w:rPr>
      </w:pPr>
      <w:r w:rsidRPr="00427158">
        <w:rPr>
          <w:rFonts w:asciiTheme="minorHAnsi" w:hAnsiTheme="minorHAnsi" w:cstheme="minorHAnsi"/>
          <w:lang w:val="en-US"/>
        </w:rPr>
        <w:t>Once a publication has been classified there are rules about packaging that the publication must be contained in</w:t>
      </w:r>
      <w:r w:rsidR="00AF01CA" w:rsidRPr="00427158">
        <w:rPr>
          <w:rFonts w:asciiTheme="minorHAnsi" w:hAnsiTheme="minorHAnsi" w:cstheme="minorHAnsi"/>
          <w:lang w:val="en-US"/>
        </w:rPr>
        <w:t>,</w:t>
      </w:r>
      <w:r w:rsidRPr="00427158">
        <w:rPr>
          <w:rFonts w:asciiTheme="minorHAnsi" w:hAnsiTheme="minorHAnsi" w:cstheme="minorHAnsi"/>
          <w:lang w:val="en-US"/>
        </w:rPr>
        <w:t xml:space="preserve"> as well as the display of classification markings.</w:t>
      </w:r>
    </w:p>
    <w:p w14:paraId="63C7AC98" w14:textId="65256829" w:rsidR="00273071" w:rsidRPr="00427158" w:rsidRDefault="00273071" w:rsidP="00427158">
      <w:pPr>
        <w:pStyle w:val="Listparagraphbullets"/>
        <w:rPr>
          <w:rFonts w:asciiTheme="minorHAnsi" w:hAnsiTheme="minorHAnsi" w:cstheme="minorHAnsi"/>
          <w:lang w:val="en-US"/>
        </w:rPr>
      </w:pPr>
      <w:r w:rsidRPr="00427158">
        <w:rPr>
          <w:rFonts w:asciiTheme="minorHAnsi" w:hAnsiTheme="minorHAnsi" w:cstheme="minorHAnsi"/>
          <w:lang w:val="en-US"/>
        </w:rPr>
        <w:t xml:space="preserve">As with submitting publications for classification, it is the responsibility of anyone who has the intention of selling or advertising a classified publication for ensuring the publication is in the correct packaging and displays the appropriate classification markings. This </w:t>
      </w:r>
      <w:r w:rsidR="00365F78" w:rsidRPr="00427158">
        <w:rPr>
          <w:rFonts w:asciiTheme="minorHAnsi" w:hAnsiTheme="minorHAnsi" w:cstheme="minorHAnsi"/>
          <w:lang w:val="en-US"/>
        </w:rPr>
        <w:t>includes</w:t>
      </w:r>
      <w:r w:rsidRPr="00427158">
        <w:rPr>
          <w:rFonts w:asciiTheme="minorHAnsi" w:hAnsiTheme="minorHAnsi" w:cstheme="minorHAnsi"/>
          <w:lang w:val="en-US"/>
        </w:rPr>
        <w:t xml:space="preserve"> the publisher, distributor, retailer or library.</w:t>
      </w:r>
    </w:p>
    <w:p w14:paraId="543B4117" w14:textId="6002773C" w:rsidR="00596186" w:rsidRPr="00427158" w:rsidRDefault="00596186" w:rsidP="00427158">
      <w:pPr>
        <w:pStyle w:val="Listparagraphbullets"/>
        <w:rPr>
          <w:rFonts w:asciiTheme="minorHAnsi" w:hAnsiTheme="minorHAnsi" w:cstheme="minorHAnsi"/>
          <w:lang w:val="en-US"/>
        </w:rPr>
      </w:pPr>
      <w:r w:rsidRPr="00427158">
        <w:rPr>
          <w:rFonts w:asciiTheme="minorHAnsi" w:hAnsiTheme="minorHAnsi" w:cstheme="minorHAnsi"/>
          <w:lang w:val="en-US"/>
        </w:rPr>
        <w:t xml:space="preserve">In accordance with State and Territory enforcement legislation, all publications that are classified must be appropriately labelled with an official label showing the classification category and relevant consumer advice. </w:t>
      </w:r>
      <w:r w:rsidR="00ED7BB2" w:rsidRPr="00427158">
        <w:rPr>
          <w:rFonts w:asciiTheme="minorHAnsi" w:hAnsiTheme="minorHAnsi" w:cstheme="minorHAnsi"/>
          <w:lang w:val="en-US"/>
        </w:rPr>
        <w:t xml:space="preserve">Full details of the relevant state and territory legislation can be found here </w:t>
      </w:r>
      <w:hyperlink r:id="rId15" w:history="1">
        <w:r w:rsidR="006C40CF" w:rsidRPr="00427158">
          <w:rPr>
            <w:rStyle w:val="Hyperlink"/>
            <w:rFonts w:asciiTheme="minorHAnsi" w:hAnsiTheme="minorHAnsi" w:cstheme="minorHAnsi"/>
            <w:lang w:val="en-US"/>
          </w:rPr>
          <w:t>https://www.classification.gov.au/about-us/legislation</w:t>
        </w:r>
      </w:hyperlink>
      <w:r w:rsidR="00127F7A" w:rsidRPr="00427158">
        <w:rPr>
          <w:rFonts w:asciiTheme="minorHAnsi" w:hAnsiTheme="minorHAnsi" w:cstheme="minorHAnsi"/>
          <w:lang w:val="en-US"/>
        </w:rPr>
        <w:t xml:space="preserve">. </w:t>
      </w:r>
    </w:p>
    <w:p w14:paraId="30D3F3D5" w14:textId="50AF4991" w:rsidR="00D02D0B" w:rsidRPr="005126B4" w:rsidRDefault="00273071" w:rsidP="00427158">
      <w:pPr>
        <w:pStyle w:val="Listparagraphbullets"/>
        <w:rPr>
          <w:lang w:val="en-US"/>
        </w:rPr>
      </w:pPr>
      <w:r w:rsidRPr="00427158">
        <w:rPr>
          <w:rFonts w:asciiTheme="minorHAnsi" w:hAnsiTheme="minorHAnsi" w:cstheme="minorHAnsi"/>
          <w:lang w:val="en-US"/>
        </w:rPr>
        <w:t xml:space="preserve">The Board may also impose additional requirements on the packaging of the publication. </w:t>
      </w:r>
      <w:r w:rsidR="00810958" w:rsidRPr="00427158">
        <w:rPr>
          <w:rFonts w:asciiTheme="minorHAnsi" w:hAnsiTheme="minorHAnsi" w:cstheme="minorHAnsi"/>
          <w:lang w:val="en-US"/>
        </w:rPr>
        <w:t>T</w:t>
      </w:r>
      <w:r w:rsidR="00247AAE" w:rsidRPr="00427158">
        <w:rPr>
          <w:rFonts w:asciiTheme="minorHAnsi" w:hAnsiTheme="minorHAnsi" w:cstheme="minorHAnsi"/>
          <w:lang w:val="en-US"/>
        </w:rPr>
        <w:t>he Board</w:t>
      </w:r>
      <w:r w:rsidRPr="00427158">
        <w:rPr>
          <w:rFonts w:asciiTheme="minorHAnsi" w:hAnsiTheme="minorHAnsi" w:cstheme="minorHAnsi"/>
          <w:lang w:val="en-US"/>
        </w:rPr>
        <w:t xml:space="preserve"> makes th</w:t>
      </w:r>
      <w:r w:rsidRPr="00980C26">
        <w:rPr>
          <w:lang w:val="en-US"/>
        </w:rPr>
        <w:t>ese decisions based on the classification of the publication, the content within the publication and the</w:t>
      </w:r>
      <w:r w:rsidR="00247AAE" w:rsidRPr="00980C26">
        <w:rPr>
          <w:lang w:val="en-US"/>
        </w:rPr>
        <w:t xml:space="preserve"> cover of </w:t>
      </w:r>
      <w:r w:rsidRPr="00980C26">
        <w:rPr>
          <w:lang w:val="en-US"/>
        </w:rPr>
        <w:t xml:space="preserve">the </w:t>
      </w:r>
      <w:r w:rsidR="00247AAE" w:rsidRPr="00980C26">
        <w:rPr>
          <w:lang w:val="en-US"/>
        </w:rPr>
        <w:t>publication</w:t>
      </w:r>
      <w:r w:rsidRPr="00980C26">
        <w:rPr>
          <w:lang w:val="en-US"/>
        </w:rPr>
        <w:t>.</w:t>
      </w:r>
      <w:r w:rsidR="00247AAE" w:rsidRPr="00980C26">
        <w:rPr>
          <w:lang w:val="en-US"/>
        </w:rPr>
        <w:t xml:space="preserve"> </w:t>
      </w:r>
    </w:p>
    <w:p w14:paraId="3959E0B4" w14:textId="496610CE" w:rsidR="00D02D0B" w:rsidRPr="00D02D0B" w:rsidRDefault="00D02D0B" w:rsidP="00427158">
      <w:pPr>
        <w:pStyle w:val="Heading3"/>
        <w:rPr>
          <w:lang w:val="en-US"/>
        </w:rPr>
      </w:pPr>
      <w:r>
        <w:rPr>
          <w:lang w:val="en-US"/>
        </w:rPr>
        <w:t>Displays</w:t>
      </w:r>
    </w:p>
    <w:p w14:paraId="67C28A61" w14:textId="03648D64" w:rsidR="00184BA6" w:rsidRPr="00980C26" w:rsidRDefault="00184BA6" w:rsidP="00427158">
      <w:pPr>
        <w:pStyle w:val="Listparagraphbullets"/>
        <w:spacing w:after="0"/>
        <w:rPr>
          <w:lang w:val="en-US"/>
        </w:rPr>
      </w:pPr>
      <w:r w:rsidRPr="00980C26">
        <w:rPr>
          <w:lang w:val="en-US"/>
        </w:rPr>
        <w:t xml:space="preserve">Category 2 </w:t>
      </w:r>
      <w:r w:rsidR="00223AE2">
        <w:rPr>
          <w:lang w:val="en-US"/>
        </w:rPr>
        <w:t xml:space="preserve">– Restricted </w:t>
      </w:r>
    </w:p>
    <w:p w14:paraId="3481AD62" w14:textId="5CE26CD7" w:rsidR="009837F3" w:rsidRPr="00596186" w:rsidRDefault="009837F3" w:rsidP="00CB3CFD">
      <w:pPr>
        <w:pStyle w:val="Listparagraphbulletssecondlevel"/>
      </w:pPr>
      <w:r w:rsidRPr="00596186">
        <w:t>May not be publicly displayed and may only be displayed in premises that are restricted to adults</w:t>
      </w:r>
      <w:r w:rsidR="00911BC6" w:rsidRPr="00596186">
        <w:t>.</w:t>
      </w:r>
    </w:p>
    <w:p w14:paraId="2D438BAC" w14:textId="17791BDE" w:rsidR="00184BA6" w:rsidRPr="00980C26" w:rsidRDefault="00184BA6" w:rsidP="00CB3CFD">
      <w:pPr>
        <w:pStyle w:val="Listparagraphbulletssecondlevel"/>
      </w:pPr>
      <w:r w:rsidRPr="00980C26">
        <w:t>Must be sold or delivered in packaging with</w:t>
      </w:r>
      <w:r w:rsidR="009837F3" w:rsidRPr="00980C26">
        <w:t xml:space="preserve"> an official label showing the classification category</w:t>
      </w:r>
      <w:r w:rsidR="00CB353D" w:rsidRPr="00980C26">
        <w:t xml:space="preserve"> positioned on the front cover of the publication itself as well as on any packaging</w:t>
      </w:r>
      <w:r w:rsidR="00911BC6" w:rsidRPr="00980C26">
        <w:t>.</w:t>
      </w:r>
      <w:r w:rsidRPr="00980C26">
        <w:t xml:space="preserve"> </w:t>
      </w:r>
    </w:p>
    <w:p w14:paraId="7A1C1110" w14:textId="25E03DD7" w:rsidR="00247AAE" w:rsidRPr="00980C26" w:rsidRDefault="00247AAE" w:rsidP="00427158">
      <w:pPr>
        <w:pStyle w:val="Listparagraphbullets"/>
        <w:spacing w:after="0"/>
        <w:rPr>
          <w:lang w:val="en-US"/>
        </w:rPr>
      </w:pPr>
      <w:r w:rsidRPr="00980C26">
        <w:rPr>
          <w:lang w:val="en-US"/>
        </w:rPr>
        <w:lastRenderedPageBreak/>
        <w:t xml:space="preserve">Category 1 </w:t>
      </w:r>
      <w:r w:rsidR="00223AE2">
        <w:rPr>
          <w:lang w:val="en-US"/>
        </w:rPr>
        <w:t xml:space="preserve">– Restricted </w:t>
      </w:r>
    </w:p>
    <w:p w14:paraId="2430B7D5" w14:textId="77777777" w:rsidR="009837F3" w:rsidRPr="00980C26" w:rsidRDefault="009837F3" w:rsidP="00CB3CFD">
      <w:pPr>
        <w:pStyle w:val="Listparagraphbulletssecondlevel"/>
      </w:pPr>
      <w:r w:rsidRPr="00980C26">
        <w:t>Must be distributed in a sealed wrapper</w:t>
      </w:r>
    </w:p>
    <w:p w14:paraId="7E3528AE" w14:textId="4046BDE8" w:rsidR="009837F3" w:rsidRPr="00980C26" w:rsidRDefault="009837F3" w:rsidP="00CB3CFD">
      <w:pPr>
        <w:pStyle w:val="Listparagraphbulletssecondlevel"/>
      </w:pPr>
      <w:r w:rsidRPr="00980C26">
        <w:t xml:space="preserve">Covers must be suitable for public display. </w:t>
      </w:r>
      <w:r w:rsidR="00916F90" w:rsidRPr="00980C26">
        <w:t>If the Board determines that</w:t>
      </w:r>
      <w:r w:rsidRPr="00980C26">
        <w:t xml:space="preserve"> covers are not suitable for public display</w:t>
      </w:r>
      <w:r w:rsidR="00916F90" w:rsidRPr="00980C26">
        <w:t xml:space="preserve">, it </w:t>
      </w:r>
      <w:r w:rsidR="00E4320A" w:rsidRPr="00980C26">
        <w:t>may</w:t>
      </w:r>
      <w:r w:rsidR="00916F90" w:rsidRPr="00980C26">
        <w:t xml:space="preserve"> stipulate that the publication must be sealed in plain opaque wrapping</w:t>
      </w:r>
      <w:r w:rsidR="00911BC6" w:rsidRPr="00980C26">
        <w:t>.</w:t>
      </w:r>
    </w:p>
    <w:p w14:paraId="7E2C7715" w14:textId="26C77C3A" w:rsidR="00247AAE" w:rsidRPr="00980C26" w:rsidRDefault="00CB353D" w:rsidP="00CB3CFD">
      <w:pPr>
        <w:pStyle w:val="Listparagraphbulletssecondlevel"/>
      </w:pPr>
      <w:r w:rsidRPr="00980C26">
        <w:t>Must</w:t>
      </w:r>
      <w:r w:rsidR="00247AAE" w:rsidRPr="00980C26">
        <w:t xml:space="preserve"> display the classification </w:t>
      </w:r>
      <w:r w:rsidRPr="00980C26">
        <w:t xml:space="preserve">category </w:t>
      </w:r>
      <w:r w:rsidR="00247AAE" w:rsidRPr="00980C26">
        <w:t xml:space="preserve">on the front cover </w:t>
      </w:r>
      <w:r w:rsidR="00BC5625" w:rsidRPr="00980C26">
        <w:t>of the publication itself as well as on any packaging</w:t>
      </w:r>
      <w:r w:rsidR="00911BC6" w:rsidRPr="00980C26">
        <w:t>.</w:t>
      </w:r>
    </w:p>
    <w:p w14:paraId="7902EBC7" w14:textId="77777777" w:rsidR="00184BA6" w:rsidRPr="00D24C98" w:rsidRDefault="00184BA6" w:rsidP="00427158">
      <w:pPr>
        <w:pStyle w:val="Listparagraphbullets"/>
        <w:spacing w:after="0"/>
      </w:pPr>
      <w:r w:rsidRPr="00D24C98">
        <w:t>Unrestricted</w:t>
      </w:r>
    </w:p>
    <w:p w14:paraId="5C8EBE9E" w14:textId="55C3192D" w:rsidR="005B6E02" w:rsidRPr="00761B31" w:rsidRDefault="00184BA6" w:rsidP="00CB3CFD">
      <w:pPr>
        <w:pStyle w:val="Listparagraphbulletssecondlevel"/>
      </w:pPr>
      <w:r w:rsidRPr="00761B31">
        <w:t>The Board may also impose a condition on publications that it classifies ‘unrestricted’ that it must be in a sealed package when it is sold, displayed for sale or delivered</w:t>
      </w:r>
      <w:r w:rsidR="00447052" w:rsidRPr="00761B31">
        <w:t>.</w:t>
      </w:r>
    </w:p>
    <w:p w14:paraId="04FE5264" w14:textId="77777777" w:rsidR="005B6E02" w:rsidRPr="00D24C98" w:rsidRDefault="005B6E02" w:rsidP="00CB3CFD">
      <w:pPr>
        <w:pStyle w:val="Listparagraphbulletssecondlevel"/>
      </w:pPr>
      <w:r w:rsidRPr="00D24C98">
        <w:t xml:space="preserve">Covers must be suitable for display in public. The impact of any descriptions, depictions and references on covers should be low. </w:t>
      </w:r>
    </w:p>
    <w:p w14:paraId="38E52C3E" w14:textId="70B97E8D" w:rsidR="00247AAE" w:rsidRPr="00D24C98" w:rsidRDefault="005B6E02" w:rsidP="00CB3CFD">
      <w:pPr>
        <w:pStyle w:val="Listparagraphbulletssecondlevel"/>
      </w:pPr>
      <w:r w:rsidRPr="00D24C98">
        <w:t>Publications with covers which are not suitable for public display will not be permitted in the ‘Unrestricted’ category.</w:t>
      </w:r>
    </w:p>
    <w:p w14:paraId="62C33FB8" w14:textId="0A5565A4" w:rsidR="00F77EEA" w:rsidRPr="0007060B" w:rsidRDefault="00F77EEA" w:rsidP="00CB3CFD">
      <w:pPr>
        <w:pStyle w:val="Listparagraphbulletssecondlevel"/>
      </w:pPr>
      <w:r w:rsidRPr="00980C26">
        <w:t xml:space="preserve">The Board may require an unrestricted publication to carry the label </w:t>
      </w:r>
      <w:r w:rsidR="005B6E02">
        <w:t xml:space="preserve">with the consumer advice of </w:t>
      </w:r>
      <w:r w:rsidR="009F2EA1">
        <w:t>‘</w:t>
      </w:r>
      <w:r w:rsidRPr="00980C26">
        <w:t>M – not recommended for readers under 15 years</w:t>
      </w:r>
      <w:r w:rsidR="00BA0064">
        <w:t xml:space="preserve">.’ </w:t>
      </w:r>
      <w:r w:rsidRPr="00980C26">
        <w:t xml:space="preserve">This must be displayed on the front cover of the publication itself as well as on any </w:t>
      </w:r>
      <w:r w:rsidR="008524D3" w:rsidRPr="00980C26">
        <w:t xml:space="preserve">packaging. </w:t>
      </w:r>
    </w:p>
    <w:p w14:paraId="34253558" w14:textId="4B6CF7F5" w:rsidR="0007060B" w:rsidRPr="00D02D0B" w:rsidRDefault="00D02D0B" w:rsidP="00427158">
      <w:pPr>
        <w:pStyle w:val="Heading3"/>
        <w:rPr>
          <w:lang w:val="en-US"/>
        </w:rPr>
      </w:pPr>
      <w:r>
        <w:rPr>
          <w:lang w:val="en-US"/>
        </w:rPr>
        <w:t xml:space="preserve">Markings </w:t>
      </w:r>
    </w:p>
    <w:p w14:paraId="4ADF07DC" w14:textId="77777777" w:rsidR="00247AAE" w:rsidRPr="00980C26" w:rsidRDefault="00247AAE" w:rsidP="00427158">
      <w:pPr>
        <w:pStyle w:val="Listparagraphbullets"/>
        <w:spacing w:after="0"/>
        <w:rPr>
          <w:lang w:val="en-US"/>
        </w:rPr>
      </w:pPr>
      <w:r w:rsidRPr="00980C26">
        <w:rPr>
          <w:lang w:val="en-US"/>
        </w:rPr>
        <w:t>The marking may be increased or reduced in size and scale with the rest of the material included in the advertisement; however, it must remain in proportion with the publication’s front cover.</w:t>
      </w:r>
    </w:p>
    <w:p w14:paraId="3886110F" w14:textId="4727C7D6" w:rsidR="00492147" w:rsidRPr="008D5F2C" w:rsidRDefault="00247AAE" w:rsidP="00CB3CFD">
      <w:pPr>
        <w:pStyle w:val="Listparagraphbulletssecondlevel"/>
      </w:pPr>
      <w:r w:rsidRPr="00980C26">
        <w:t>Publications must be in the format in Schedule 2 of the</w:t>
      </w:r>
      <w:r w:rsidR="00923F92" w:rsidRPr="00980C26">
        <w:t xml:space="preserve"> Classification (Publications, Films and Computer Games) (Markings and Consumer Advice) Determination 2014</w:t>
      </w:r>
      <w:r w:rsidRPr="00980C26">
        <w:t xml:space="preserve"> </w:t>
      </w:r>
      <w:hyperlink r:id="rId16" w:history="1">
        <w:r w:rsidR="00923F92" w:rsidRPr="00980C26">
          <w:rPr>
            <w:rStyle w:val="Hyperlink"/>
            <w:rFonts w:asciiTheme="majorHAnsi" w:hAnsiTheme="majorHAnsi" w:cstheme="majorHAnsi"/>
          </w:rPr>
          <w:t>https://www.legislation.gov.au/F2014L01758/latest/text</w:t>
        </w:r>
      </w:hyperlink>
      <w:r w:rsidR="00923F92" w:rsidRPr="00980C26">
        <w:t>.</w:t>
      </w:r>
      <w:bookmarkEnd w:id="1"/>
    </w:p>
    <w:p w14:paraId="514E867D" w14:textId="365AB3ED" w:rsidR="00601094" w:rsidRDefault="00601094" w:rsidP="006B4AFF">
      <w:pPr>
        <w:pStyle w:val="Heading2"/>
      </w:pPr>
      <w:r>
        <w:t xml:space="preserve">Other </w:t>
      </w:r>
      <w:r w:rsidR="006B4AFF">
        <w:t>r</w:t>
      </w:r>
      <w:r>
        <w:t>esources</w:t>
      </w:r>
    </w:p>
    <w:tbl>
      <w:tblPr>
        <w:tblStyle w:val="DefaultTable11"/>
        <w:tblW w:w="5000" w:type="pct"/>
        <w:tblLook w:val="04A0" w:firstRow="1" w:lastRow="0" w:firstColumn="1" w:lastColumn="0" w:noHBand="0" w:noVBand="1"/>
        <w:tblDescription w:val="Other resources"/>
      </w:tblPr>
      <w:tblGrid>
        <w:gridCol w:w="4583"/>
        <w:gridCol w:w="4443"/>
      </w:tblGrid>
      <w:tr w:rsidR="006B4AFF" w:rsidRPr="00654F9E" w14:paraId="285FE988" w14:textId="77777777" w:rsidTr="006B4A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pct"/>
          </w:tcPr>
          <w:p w14:paraId="5ADEC8D3" w14:textId="46711932" w:rsidR="006B4AFF" w:rsidRPr="006B4AFF" w:rsidRDefault="006B4AFF" w:rsidP="00083751">
            <w:pPr>
              <w:pStyle w:val="Tablerowcolumnheading"/>
              <w:keepNext/>
              <w:rPr>
                <w:b/>
                <w:sz w:val="22"/>
                <w:szCs w:val="22"/>
              </w:rPr>
            </w:pPr>
            <w:r w:rsidRPr="006B4AFF">
              <w:rPr>
                <w:rFonts w:asciiTheme="majorHAnsi" w:hAnsiTheme="majorHAnsi" w:cstheme="majorHAnsi"/>
                <w:b/>
                <w:lang w:val="en-US"/>
              </w:rPr>
              <w:t>Additional information</w:t>
            </w:r>
          </w:p>
        </w:tc>
        <w:tc>
          <w:tcPr>
            <w:tcW w:w="2461" w:type="pct"/>
          </w:tcPr>
          <w:p w14:paraId="212876BD" w14:textId="21C66B62" w:rsidR="006B4AFF" w:rsidRPr="006B4AFF" w:rsidRDefault="006B4AFF" w:rsidP="00083751">
            <w:pPr>
              <w:pStyle w:val="Tablerowcolumnheadingcentr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6B4AFF">
              <w:rPr>
                <w:rFonts w:asciiTheme="majorHAnsi" w:hAnsiTheme="majorHAnsi" w:cstheme="majorHAnsi"/>
                <w:b/>
                <w:lang w:val="en-US"/>
              </w:rPr>
              <w:t>Legislation</w:t>
            </w:r>
          </w:p>
        </w:tc>
      </w:tr>
      <w:tr w:rsidR="006B4AFF" w:rsidRPr="00654F9E" w14:paraId="66844DD7" w14:textId="77777777" w:rsidTr="006B4AF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pct"/>
          </w:tcPr>
          <w:p w14:paraId="3B876404" w14:textId="77777777" w:rsidR="006B4AFF" w:rsidRPr="006B4AFF" w:rsidRDefault="006B4AFF" w:rsidP="006B4AFF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b w:val="0"/>
              </w:rPr>
            </w:pPr>
            <w:r w:rsidRPr="006B4AFF">
              <w:rPr>
                <w:rFonts w:cstheme="minorHAnsi"/>
                <w:b w:val="0"/>
              </w:rPr>
              <w:t xml:space="preserve">Publications Overview Attachment </w:t>
            </w:r>
          </w:p>
          <w:p w14:paraId="5414D3CE" w14:textId="77777777" w:rsidR="006B4AFF" w:rsidRPr="006B4AFF" w:rsidRDefault="00CB3CFD" w:rsidP="006B4AFF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b w:val="0"/>
                <w:lang w:val="en-US"/>
              </w:rPr>
            </w:pPr>
            <w:hyperlink r:id="rId17" w:history="1">
              <w:r w:rsidR="006B4AFF" w:rsidRPr="006B4AFF">
                <w:rPr>
                  <w:rStyle w:val="Hyperlink"/>
                  <w:rFonts w:cstheme="minorHAnsi"/>
                  <w:b w:val="0"/>
                </w:rPr>
                <w:t>Application process | Australian Classification</w:t>
              </w:r>
            </w:hyperlink>
          </w:p>
          <w:p w14:paraId="31A32ED1" w14:textId="77777777" w:rsidR="006B4AFF" w:rsidRPr="006B4AFF" w:rsidRDefault="00CB3CFD" w:rsidP="006B4AFF">
            <w:pPr>
              <w:pStyle w:val="ListParagraph"/>
              <w:numPr>
                <w:ilvl w:val="0"/>
                <w:numId w:val="41"/>
              </w:numPr>
              <w:rPr>
                <w:rStyle w:val="Hyperlink"/>
                <w:rFonts w:cstheme="minorHAnsi"/>
                <w:b w:val="0"/>
                <w:color w:val="000000"/>
                <w:u w:val="none"/>
              </w:rPr>
            </w:pPr>
            <w:hyperlink r:id="rId18" w:history="1">
              <w:r w:rsidR="006B4AFF" w:rsidRPr="006B4AFF">
                <w:rPr>
                  <w:rStyle w:val="Hyperlink"/>
                  <w:rFonts w:cstheme="minorHAnsi"/>
                  <w:b w:val="0"/>
                </w:rPr>
                <w:t>Sell a publication | Australian Classification</w:t>
              </w:r>
            </w:hyperlink>
            <w:r w:rsidR="006B4AFF" w:rsidRPr="006B4AFF">
              <w:rPr>
                <w:rFonts w:cstheme="minorHAnsi"/>
                <w:b w:val="0"/>
              </w:rPr>
              <w:t xml:space="preserve"> </w:t>
            </w:r>
            <w:r w:rsidR="006B4AFF" w:rsidRPr="006B4AFF">
              <w:rPr>
                <w:rFonts w:cstheme="minorHAnsi"/>
                <w:b w:val="0"/>
              </w:rPr>
              <w:br/>
            </w:r>
            <w:hyperlink r:id="rId19" w:history="1">
              <w:r w:rsidR="006B4AFF" w:rsidRPr="006B4AFF">
                <w:rPr>
                  <w:rStyle w:val="Hyperlink"/>
                  <w:rFonts w:cstheme="minorHAnsi"/>
                  <w:b w:val="0"/>
                </w:rPr>
                <w:t>Advertise a publication | Australian Classification</w:t>
              </w:r>
            </w:hyperlink>
          </w:p>
          <w:p w14:paraId="028EDB14" w14:textId="0B46AE8E" w:rsidR="006B4AFF" w:rsidRPr="006B4AFF" w:rsidRDefault="00CB3CFD" w:rsidP="006B4AFF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b w:val="0"/>
              </w:rPr>
            </w:pPr>
            <w:hyperlink r:id="rId20" w:history="1">
              <w:r w:rsidR="006B4AFF" w:rsidRPr="006B4AFF">
                <w:rPr>
                  <w:rStyle w:val="Hyperlink"/>
                  <w:rFonts w:cstheme="minorHAnsi"/>
                  <w:b w:val="0"/>
                </w:rPr>
                <w:t>Display classification markings | Australian Classification</w:t>
              </w:r>
            </w:hyperlink>
          </w:p>
        </w:tc>
        <w:tc>
          <w:tcPr>
            <w:tcW w:w="2461" w:type="pct"/>
          </w:tcPr>
          <w:p w14:paraId="336A50B5" w14:textId="77777777" w:rsidR="006B4AFF" w:rsidRPr="006B4AFF" w:rsidRDefault="00CB3CFD" w:rsidP="006B4AFF">
            <w:pPr>
              <w:pStyle w:val="ListParagraph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cstheme="minorHAnsi"/>
                <w:i/>
                <w:lang w:val="en-US"/>
              </w:rPr>
            </w:pPr>
            <w:hyperlink r:id="rId21" w:history="1">
              <w:r w:rsidR="006B4AFF" w:rsidRPr="006B4AFF">
                <w:rPr>
                  <w:rStyle w:val="Hyperlink"/>
                  <w:rFonts w:cstheme="minorHAnsi"/>
                  <w:i/>
                  <w:lang w:val="en-US"/>
                </w:rPr>
                <w:t>Classification (Publications, Films and Computer Games) Act 1995</w:t>
              </w:r>
            </w:hyperlink>
          </w:p>
          <w:p w14:paraId="10A6EBC6" w14:textId="77777777" w:rsidR="006B4AFF" w:rsidRPr="006B4AFF" w:rsidRDefault="00CB3CFD" w:rsidP="006B4AFF">
            <w:pPr>
              <w:pStyle w:val="ListParagraph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cstheme="minorHAnsi"/>
                <w:i/>
                <w:lang w:val="en-US"/>
              </w:rPr>
            </w:pPr>
            <w:hyperlink r:id="rId22" w:history="1">
              <w:r w:rsidR="006B4AFF" w:rsidRPr="006B4AFF">
                <w:rPr>
                  <w:rStyle w:val="Hyperlink"/>
                  <w:rFonts w:cstheme="minorHAnsi"/>
                  <w:i/>
                  <w:lang w:val="en-US"/>
                </w:rPr>
                <w:t>National Classification Code 2005</w:t>
              </w:r>
            </w:hyperlink>
          </w:p>
          <w:p w14:paraId="6EAFD15C" w14:textId="77777777" w:rsidR="006B4AFF" w:rsidRPr="006B4AFF" w:rsidRDefault="00CB3CFD" w:rsidP="006B4AFF">
            <w:pPr>
              <w:pStyle w:val="ListParagraph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lang w:val="en-US"/>
              </w:rPr>
            </w:pPr>
            <w:hyperlink r:id="rId23" w:history="1">
              <w:r w:rsidR="006B4AFF" w:rsidRPr="006B4AFF">
                <w:rPr>
                  <w:rStyle w:val="Hyperlink"/>
                  <w:rFonts w:cstheme="minorHAnsi"/>
                  <w:i/>
                  <w:lang w:val="en-US"/>
                </w:rPr>
                <w:t xml:space="preserve">Guidelines for the Classification of Publications 2005 </w:t>
              </w:r>
            </w:hyperlink>
          </w:p>
          <w:p w14:paraId="249796E3" w14:textId="748A1655" w:rsidR="006B4AFF" w:rsidRPr="006B4AFF" w:rsidRDefault="00CB3CFD" w:rsidP="006B4AFF">
            <w:pPr>
              <w:pStyle w:val="ListParagraph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hyperlink r:id="rId24" w:history="1">
              <w:r w:rsidR="006B4AFF" w:rsidRPr="006B4AFF">
                <w:rPr>
                  <w:rStyle w:val="Hyperlink"/>
                  <w:rFonts w:cstheme="minorHAnsi"/>
                  <w:i/>
                </w:rPr>
                <w:t>Classification Serial Publications Principles 2005</w:t>
              </w:r>
            </w:hyperlink>
          </w:p>
        </w:tc>
      </w:tr>
    </w:tbl>
    <w:p w14:paraId="4753F032" w14:textId="77777777" w:rsidR="006B4AFF" w:rsidRPr="00E47A50" w:rsidRDefault="006B4AFF" w:rsidP="006B4AFF"/>
    <w:sectPr w:rsidR="006B4AFF" w:rsidRPr="00E47A50" w:rsidSect="00906905">
      <w:type w:val="continuous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6AE4D" w14:textId="77777777" w:rsidR="00FF0633" w:rsidRDefault="00FF0633" w:rsidP="008E0CD0">
      <w:pPr>
        <w:spacing w:after="0" w:line="240" w:lineRule="auto"/>
      </w:pPr>
      <w:r>
        <w:separator/>
      </w:r>
    </w:p>
  </w:endnote>
  <w:endnote w:type="continuationSeparator" w:id="0">
    <w:p w14:paraId="7AEB256E" w14:textId="77777777" w:rsidR="00FF0633" w:rsidRDefault="00FF0633" w:rsidP="008E0CD0">
      <w:pPr>
        <w:spacing w:after="0" w:line="240" w:lineRule="auto"/>
      </w:pPr>
      <w:r>
        <w:continuationSeparator/>
      </w:r>
    </w:p>
  </w:endnote>
  <w:endnote w:type="continuationNotice" w:id="1">
    <w:p w14:paraId="096AC0BD" w14:textId="77777777" w:rsidR="00FF0633" w:rsidRDefault="00FF06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FF996" w14:textId="77777777" w:rsidR="004254BF" w:rsidRDefault="004254BF" w:rsidP="00906905">
    <w:pPr>
      <w:pStyle w:val="Footer"/>
      <w:ind w:left="-1418"/>
    </w:pPr>
    <w:r>
      <w:rPr>
        <w:noProof/>
      </w:rPr>
      <w:drawing>
        <wp:inline distT="0" distB="0" distL="0" distR="0" wp14:anchorId="10F43523" wp14:editId="67E29440">
          <wp:extent cx="7611745" cy="376555"/>
          <wp:effectExtent l="0" t="0" r="8255" b="4445"/>
          <wp:docPr id="2" name="Picture 2" descr="Banner in footer with web address classification.gov.a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us class footern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7" t="4494"/>
                  <a:stretch/>
                </pic:blipFill>
                <pic:spPr bwMode="auto">
                  <a:xfrm>
                    <a:off x="0" y="0"/>
                    <a:ext cx="7611745" cy="376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F5CB0" w14:textId="77777777" w:rsidR="00FF0633" w:rsidRDefault="00FF0633" w:rsidP="008E0CD0">
      <w:pPr>
        <w:spacing w:after="0" w:line="240" w:lineRule="auto"/>
      </w:pPr>
      <w:r>
        <w:separator/>
      </w:r>
    </w:p>
  </w:footnote>
  <w:footnote w:type="continuationSeparator" w:id="0">
    <w:p w14:paraId="2198E4EF" w14:textId="77777777" w:rsidR="00FF0633" w:rsidRDefault="00FF0633" w:rsidP="008E0CD0">
      <w:pPr>
        <w:spacing w:after="0" w:line="240" w:lineRule="auto"/>
      </w:pPr>
      <w:r>
        <w:continuationSeparator/>
      </w:r>
    </w:p>
  </w:footnote>
  <w:footnote w:type="continuationNotice" w:id="1">
    <w:p w14:paraId="0DE2E5CF" w14:textId="77777777" w:rsidR="00FF0633" w:rsidRDefault="00FF0633">
      <w:pPr>
        <w:spacing w:after="0" w:line="240" w:lineRule="auto"/>
      </w:pPr>
    </w:p>
  </w:footnote>
  <w:footnote w:id="2">
    <w:p w14:paraId="3EAC7FCD" w14:textId="4AAE0374" w:rsidR="00127F7A" w:rsidRPr="00923AD6" w:rsidRDefault="00F41580">
      <w:pPr>
        <w:pStyle w:val="FootnoteText"/>
        <w:rPr>
          <w:rFonts w:asciiTheme="majorHAnsi" w:hAnsiTheme="majorHAnsi" w:cstheme="majorHAnsi"/>
        </w:rPr>
      </w:pPr>
      <w:r w:rsidRPr="004776D2">
        <w:rPr>
          <w:rStyle w:val="FootnoteReference"/>
          <w:rFonts w:asciiTheme="majorHAnsi" w:hAnsiTheme="majorHAnsi" w:cstheme="majorHAnsi"/>
        </w:rPr>
        <w:footnoteRef/>
      </w:r>
      <w:r w:rsidRPr="004776D2">
        <w:rPr>
          <w:rFonts w:asciiTheme="majorHAnsi" w:hAnsiTheme="majorHAnsi" w:cstheme="majorHAnsi"/>
        </w:rPr>
        <w:t xml:space="preserve"> </w:t>
      </w:r>
      <w:r w:rsidRPr="004776D2">
        <w:rPr>
          <w:rFonts w:asciiTheme="majorHAnsi" w:hAnsiTheme="majorHAnsi" w:cstheme="majorHAnsi"/>
          <w:lang w:val="en-US"/>
        </w:rPr>
        <w:t>Publications Guidelines define reasonable adult as an individual “</w:t>
      </w:r>
      <w:r w:rsidRPr="004776D2">
        <w:rPr>
          <w:rFonts w:asciiTheme="majorHAnsi" w:hAnsiTheme="majorHAnsi" w:cstheme="majorHAnsi"/>
        </w:rPr>
        <w:t>…possessing common sense and open mind, and able to balance personal opinion with generally accepted community standards.”</w:t>
      </w:r>
    </w:p>
  </w:footnote>
  <w:footnote w:id="3">
    <w:p w14:paraId="2AB35BBC" w14:textId="3D3D7B87" w:rsidR="00F41580" w:rsidRPr="00F41580" w:rsidRDefault="00F41580">
      <w:pPr>
        <w:pStyle w:val="FootnoteText"/>
        <w:rPr>
          <w:lang w:val="en-US"/>
        </w:rPr>
      </w:pPr>
      <w:r w:rsidRPr="004776D2">
        <w:rPr>
          <w:rStyle w:val="FootnoteReference"/>
          <w:rFonts w:asciiTheme="majorHAnsi" w:hAnsiTheme="majorHAnsi" w:cstheme="majorHAnsi"/>
        </w:rPr>
        <w:footnoteRef/>
      </w:r>
      <w:r w:rsidRPr="004776D2">
        <w:rPr>
          <w:rFonts w:asciiTheme="majorHAnsi" w:hAnsiTheme="majorHAnsi" w:cstheme="majorHAnsi"/>
        </w:rPr>
        <w:t xml:space="preserve"> </w:t>
      </w:r>
      <w:r w:rsidRPr="004776D2">
        <w:rPr>
          <w:rFonts w:asciiTheme="majorHAnsi" w:hAnsiTheme="majorHAnsi" w:cstheme="majorHAnsi"/>
          <w:lang w:val="en-US"/>
        </w:rPr>
        <w:t>The Act defines minor to mean “a person under 18.”</w:t>
      </w:r>
      <w:r>
        <w:rPr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81045"/>
    <w:multiLevelType w:val="hybridMultilevel"/>
    <w:tmpl w:val="91F84EA2"/>
    <w:lvl w:ilvl="0" w:tplc="90BAAB0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0F4DAB"/>
    <w:multiLevelType w:val="hybridMultilevel"/>
    <w:tmpl w:val="BF7440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F7515"/>
    <w:multiLevelType w:val="hybridMultilevel"/>
    <w:tmpl w:val="10747E5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01A32"/>
    <w:multiLevelType w:val="hybridMultilevel"/>
    <w:tmpl w:val="4F3AFE3C"/>
    <w:lvl w:ilvl="0" w:tplc="90BAAB0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99237C"/>
    <w:multiLevelType w:val="hybridMultilevel"/>
    <w:tmpl w:val="4FA04340"/>
    <w:lvl w:ilvl="0" w:tplc="482403CE">
      <w:start w:val="1"/>
      <w:numFmt w:val="lowerLetter"/>
      <w:lvlText w:val="(%1)"/>
      <w:lvlJc w:val="left"/>
      <w:pPr>
        <w:ind w:left="4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30" w:hanging="360"/>
      </w:pPr>
    </w:lvl>
    <w:lvl w:ilvl="2" w:tplc="0C09001B" w:tentative="1">
      <w:start w:val="1"/>
      <w:numFmt w:val="lowerRoman"/>
      <w:lvlText w:val="%3."/>
      <w:lvlJc w:val="right"/>
      <w:pPr>
        <w:ind w:left="1850" w:hanging="180"/>
      </w:pPr>
    </w:lvl>
    <w:lvl w:ilvl="3" w:tplc="0C09000F" w:tentative="1">
      <w:start w:val="1"/>
      <w:numFmt w:val="decimal"/>
      <w:lvlText w:val="%4."/>
      <w:lvlJc w:val="left"/>
      <w:pPr>
        <w:ind w:left="2570" w:hanging="360"/>
      </w:pPr>
    </w:lvl>
    <w:lvl w:ilvl="4" w:tplc="0C090019" w:tentative="1">
      <w:start w:val="1"/>
      <w:numFmt w:val="lowerLetter"/>
      <w:lvlText w:val="%5."/>
      <w:lvlJc w:val="left"/>
      <w:pPr>
        <w:ind w:left="3290" w:hanging="360"/>
      </w:pPr>
    </w:lvl>
    <w:lvl w:ilvl="5" w:tplc="0C09001B" w:tentative="1">
      <w:start w:val="1"/>
      <w:numFmt w:val="lowerRoman"/>
      <w:lvlText w:val="%6."/>
      <w:lvlJc w:val="right"/>
      <w:pPr>
        <w:ind w:left="4010" w:hanging="180"/>
      </w:pPr>
    </w:lvl>
    <w:lvl w:ilvl="6" w:tplc="0C09000F" w:tentative="1">
      <w:start w:val="1"/>
      <w:numFmt w:val="decimal"/>
      <w:lvlText w:val="%7."/>
      <w:lvlJc w:val="left"/>
      <w:pPr>
        <w:ind w:left="4730" w:hanging="360"/>
      </w:pPr>
    </w:lvl>
    <w:lvl w:ilvl="7" w:tplc="0C090019" w:tentative="1">
      <w:start w:val="1"/>
      <w:numFmt w:val="lowerLetter"/>
      <w:lvlText w:val="%8."/>
      <w:lvlJc w:val="left"/>
      <w:pPr>
        <w:ind w:left="5450" w:hanging="360"/>
      </w:pPr>
    </w:lvl>
    <w:lvl w:ilvl="8" w:tplc="0C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5" w15:restartNumberingAfterBreak="0">
    <w:nsid w:val="100830DF"/>
    <w:multiLevelType w:val="hybridMultilevel"/>
    <w:tmpl w:val="150024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29688E"/>
    <w:multiLevelType w:val="hybridMultilevel"/>
    <w:tmpl w:val="35F68978"/>
    <w:lvl w:ilvl="0" w:tplc="0C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19354607"/>
    <w:multiLevelType w:val="hybridMultilevel"/>
    <w:tmpl w:val="B6C06F38"/>
    <w:lvl w:ilvl="0" w:tplc="66F2EB6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072F0E"/>
    <w:multiLevelType w:val="hybridMultilevel"/>
    <w:tmpl w:val="BB84542C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237643"/>
    <w:multiLevelType w:val="hybridMultilevel"/>
    <w:tmpl w:val="57E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A790F"/>
    <w:multiLevelType w:val="hybridMultilevel"/>
    <w:tmpl w:val="1A0A6F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92756"/>
    <w:multiLevelType w:val="hybridMultilevel"/>
    <w:tmpl w:val="513A850A"/>
    <w:lvl w:ilvl="0" w:tplc="5112A3F8">
      <w:start w:val="1"/>
      <w:numFmt w:val="bullet"/>
      <w:pStyle w:val="Listparagraphbullets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66CCA"/>
    <w:multiLevelType w:val="hybridMultilevel"/>
    <w:tmpl w:val="5F2EECE4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F1D1D87"/>
    <w:multiLevelType w:val="hybridMultilevel"/>
    <w:tmpl w:val="987A20C4"/>
    <w:lvl w:ilvl="0" w:tplc="0C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 w15:restartNumberingAfterBreak="0">
    <w:nsid w:val="301A06D5"/>
    <w:multiLevelType w:val="hybridMultilevel"/>
    <w:tmpl w:val="A6626C4A"/>
    <w:lvl w:ilvl="0" w:tplc="F62828EC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312A53DE"/>
    <w:multiLevelType w:val="hybridMultilevel"/>
    <w:tmpl w:val="44D0416A"/>
    <w:lvl w:ilvl="0" w:tplc="0C09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36C43325"/>
    <w:multiLevelType w:val="hybridMultilevel"/>
    <w:tmpl w:val="57A01870"/>
    <w:lvl w:ilvl="0" w:tplc="D59431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419A5"/>
    <w:multiLevelType w:val="hybridMultilevel"/>
    <w:tmpl w:val="C5CCC66A"/>
    <w:lvl w:ilvl="0" w:tplc="08F884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02D0F"/>
    <w:multiLevelType w:val="hybridMultilevel"/>
    <w:tmpl w:val="D5605DEA"/>
    <w:lvl w:ilvl="0" w:tplc="90BAAB0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BA2C18"/>
    <w:multiLevelType w:val="hybridMultilevel"/>
    <w:tmpl w:val="DBFE2BF6"/>
    <w:lvl w:ilvl="0" w:tplc="21901158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C4974AD"/>
    <w:multiLevelType w:val="hybridMultilevel"/>
    <w:tmpl w:val="A8D80B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E751B8"/>
    <w:multiLevelType w:val="hybridMultilevel"/>
    <w:tmpl w:val="1024B1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315FE8"/>
    <w:multiLevelType w:val="hybridMultilevel"/>
    <w:tmpl w:val="3CB8AD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F579F"/>
    <w:multiLevelType w:val="hybridMultilevel"/>
    <w:tmpl w:val="E90E69BE"/>
    <w:lvl w:ilvl="0" w:tplc="90BAAB0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53261C"/>
    <w:multiLevelType w:val="hybridMultilevel"/>
    <w:tmpl w:val="939C34CC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FA3DA4"/>
    <w:multiLevelType w:val="multilevel"/>
    <w:tmpl w:val="E4AA0EC4"/>
    <w:lvl w:ilvl="0">
      <w:start w:val="1"/>
      <w:numFmt w:val="bullet"/>
      <w:pStyle w:val="Tabletext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C6152E"/>
    <w:multiLevelType w:val="hybridMultilevel"/>
    <w:tmpl w:val="2D0A2E20"/>
    <w:lvl w:ilvl="0" w:tplc="90BAAB0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F052FB"/>
    <w:multiLevelType w:val="hybridMultilevel"/>
    <w:tmpl w:val="57A6F5A2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55696001"/>
    <w:multiLevelType w:val="hybridMultilevel"/>
    <w:tmpl w:val="9400621E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9A712D"/>
    <w:multiLevelType w:val="hybridMultilevel"/>
    <w:tmpl w:val="17E4FA7C"/>
    <w:lvl w:ilvl="0" w:tplc="F62828E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5669D7"/>
    <w:multiLevelType w:val="hybridMultilevel"/>
    <w:tmpl w:val="EE524738"/>
    <w:lvl w:ilvl="0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1" w15:restartNumberingAfterBreak="0">
    <w:nsid w:val="5C6F62BA"/>
    <w:multiLevelType w:val="hybridMultilevel"/>
    <w:tmpl w:val="6D388B50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7382663"/>
    <w:multiLevelType w:val="hybridMultilevel"/>
    <w:tmpl w:val="7FDA36DA"/>
    <w:lvl w:ilvl="0" w:tplc="F62828E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827E7D"/>
    <w:multiLevelType w:val="hybridMultilevel"/>
    <w:tmpl w:val="1C30DE50"/>
    <w:lvl w:ilvl="0" w:tplc="1D105B52">
      <w:start w:val="1"/>
      <w:numFmt w:val="bullet"/>
      <w:pStyle w:val="Listparagraphbulletssecondlevel"/>
      <w:lvlText w:val=""/>
      <w:lvlJc w:val="left"/>
      <w:pPr>
        <w:ind w:left="927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F91AD7"/>
    <w:multiLevelType w:val="hybridMultilevel"/>
    <w:tmpl w:val="CDCCC1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F0243C"/>
    <w:multiLevelType w:val="hybridMultilevel"/>
    <w:tmpl w:val="7FDA36DA"/>
    <w:lvl w:ilvl="0" w:tplc="F62828E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612075"/>
    <w:multiLevelType w:val="hybridMultilevel"/>
    <w:tmpl w:val="AD2E3FEA"/>
    <w:lvl w:ilvl="0" w:tplc="2190115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B47360"/>
    <w:multiLevelType w:val="hybridMultilevel"/>
    <w:tmpl w:val="2E0E3E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EC34EC"/>
    <w:multiLevelType w:val="hybridMultilevel"/>
    <w:tmpl w:val="F9DC12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0037B3"/>
    <w:multiLevelType w:val="hybridMultilevel"/>
    <w:tmpl w:val="8B329A08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7A19568D"/>
    <w:multiLevelType w:val="hybridMultilevel"/>
    <w:tmpl w:val="2F9E0F8C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6842E9"/>
    <w:multiLevelType w:val="hybridMultilevel"/>
    <w:tmpl w:val="19C2AADC"/>
    <w:lvl w:ilvl="0" w:tplc="E1F0771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C255E07"/>
    <w:multiLevelType w:val="multilevel"/>
    <w:tmpl w:val="CFDCA25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5"/>
  </w:num>
  <w:num w:numId="3">
    <w:abstractNumId w:val="39"/>
  </w:num>
  <w:num w:numId="4">
    <w:abstractNumId w:val="30"/>
  </w:num>
  <w:num w:numId="5">
    <w:abstractNumId w:val="22"/>
  </w:num>
  <w:num w:numId="6">
    <w:abstractNumId w:val="40"/>
  </w:num>
  <w:num w:numId="7">
    <w:abstractNumId w:val="24"/>
  </w:num>
  <w:num w:numId="8">
    <w:abstractNumId w:val="8"/>
  </w:num>
  <w:num w:numId="9">
    <w:abstractNumId w:val="28"/>
  </w:num>
  <w:num w:numId="10">
    <w:abstractNumId w:val="5"/>
  </w:num>
  <w:num w:numId="11">
    <w:abstractNumId w:val="21"/>
  </w:num>
  <w:num w:numId="12">
    <w:abstractNumId w:val="42"/>
  </w:num>
  <w:num w:numId="13">
    <w:abstractNumId w:val="19"/>
  </w:num>
  <w:num w:numId="14">
    <w:abstractNumId w:val="36"/>
  </w:num>
  <w:num w:numId="15">
    <w:abstractNumId w:val="32"/>
  </w:num>
  <w:num w:numId="16">
    <w:abstractNumId w:val="29"/>
  </w:num>
  <w:num w:numId="17">
    <w:abstractNumId w:val="26"/>
  </w:num>
  <w:num w:numId="18">
    <w:abstractNumId w:val="23"/>
  </w:num>
  <w:num w:numId="19">
    <w:abstractNumId w:val="3"/>
  </w:num>
  <w:num w:numId="20">
    <w:abstractNumId w:val="31"/>
  </w:num>
  <w:num w:numId="21">
    <w:abstractNumId w:val="7"/>
  </w:num>
  <w:num w:numId="22">
    <w:abstractNumId w:val="34"/>
  </w:num>
  <w:num w:numId="23">
    <w:abstractNumId w:val="37"/>
  </w:num>
  <w:num w:numId="24">
    <w:abstractNumId w:val="13"/>
  </w:num>
  <w:num w:numId="25">
    <w:abstractNumId w:val="38"/>
  </w:num>
  <w:num w:numId="26">
    <w:abstractNumId w:val="16"/>
  </w:num>
  <w:num w:numId="27">
    <w:abstractNumId w:val="2"/>
  </w:num>
  <w:num w:numId="28">
    <w:abstractNumId w:val="0"/>
  </w:num>
  <w:num w:numId="29">
    <w:abstractNumId w:val="18"/>
  </w:num>
  <w:num w:numId="30">
    <w:abstractNumId w:val="35"/>
  </w:num>
  <w:num w:numId="31">
    <w:abstractNumId w:val="17"/>
  </w:num>
  <w:num w:numId="32">
    <w:abstractNumId w:val="10"/>
  </w:num>
  <w:num w:numId="33">
    <w:abstractNumId w:val="12"/>
  </w:num>
  <w:num w:numId="34">
    <w:abstractNumId w:val="14"/>
  </w:num>
  <w:num w:numId="35">
    <w:abstractNumId w:val="4"/>
  </w:num>
  <w:num w:numId="36">
    <w:abstractNumId w:val="1"/>
  </w:num>
  <w:num w:numId="37">
    <w:abstractNumId w:val="20"/>
  </w:num>
  <w:num w:numId="38">
    <w:abstractNumId w:val="27"/>
  </w:num>
  <w:num w:numId="39">
    <w:abstractNumId w:val="15"/>
  </w:num>
  <w:num w:numId="40">
    <w:abstractNumId w:val="6"/>
  </w:num>
  <w:num w:numId="41">
    <w:abstractNumId w:val="41"/>
  </w:num>
  <w:num w:numId="42">
    <w:abstractNumId w:val="11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CD0"/>
    <w:rsid w:val="00000FC6"/>
    <w:rsid w:val="00002958"/>
    <w:rsid w:val="000050F5"/>
    <w:rsid w:val="0000655A"/>
    <w:rsid w:val="00006CB6"/>
    <w:rsid w:val="00010514"/>
    <w:rsid w:val="000119D8"/>
    <w:rsid w:val="000146AB"/>
    <w:rsid w:val="00015E28"/>
    <w:rsid w:val="00021C2E"/>
    <w:rsid w:val="00024128"/>
    <w:rsid w:val="000260E6"/>
    <w:rsid w:val="00031A3D"/>
    <w:rsid w:val="00040A65"/>
    <w:rsid w:val="00050137"/>
    <w:rsid w:val="00062D5D"/>
    <w:rsid w:val="0007060B"/>
    <w:rsid w:val="00072B31"/>
    <w:rsid w:val="000743D7"/>
    <w:rsid w:val="000764DC"/>
    <w:rsid w:val="000809FB"/>
    <w:rsid w:val="00085024"/>
    <w:rsid w:val="00085358"/>
    <w:rsid w:val="00087D65"/>
    <w:rsid w:val="00096C5D"/>
    <w:rsid w:val="000A5974"/>
    <w:rsid w:val="000B08B3"/>
    <w:rsid w:val="000B1C13"/>
    <w:rsid w:val="000B22F5"/>
    <w:rsid w:val="000B45FE"/>
    <w:rsid w:val="000C3E73"/>
    <w:rsid w:val="000D4B5D"/>
    <w:rsid w:val="000E27B4"/>
    <w:rsid w:val="000E4432"/>
    <w:rsid w:val="000F0A3C"/>
    <w:rsid w:val="000F1706"/>
    <w:rsid w:val="000F24CF"/>
    <w:rsid w:val="000F39BF"/>
    <w:rsid w:val="000F765D"/>
    <w:rsid w:val="00103F7E"/>
    <w:rsid w:val="0010597A"/>
    <w:rsid w:val="00106C1A"/>
    <w:rsid w:val="001074C7"/>
    <w:rsid w:val="00110903"/>
    <w:rsid w:val="00127F7A"/>
    <w:rsid w:val="001365FE"/>
    <w:rsid w:val="00140502"/>
    <w:rsid w:val="00140A2A"/>
    <w:rsid w:val="00144336"/>
    <w:rsid w:val="001470A1"/>
    <w:rsid w:val="00157BFA"/>
    <w:rsid w:val="00160134"/>
    <w:rsid w:val="0017595B"/>
    <w:rsid w:val="00182D21"/>
    <w:rsid w:val="00184BA6"/>
    <w:rsid w:val="00191FAF"/>
    <w:rsid w:val="001949C2"/>
    <w:rsid w:val="00196A87"/>
    <w:rsid w:val="001A3C5E"/>
    <w:rsid w:val="001A61DF"/>
    <w:rsid w:val="001A6E23"/>
    <w:rsid w:val="001A7C99"/>
    <w:rsid w:val="001B6E4B"/>
    <w:rsid w:val="001B7DA7"/>
    <w:rsid w:val="001C0931"/>
    <w:rsid w:val="001C30FB"/>
    <w:rsid w:val="001E7ACA"/>
    <w:rsid w:val="001F03CC"/>
    <w:rsid w:val="001F3A41"/>
    <w:rsid w:val="001F67B5"/>
    <w:rsid w:val="00200CA9"/>
    <w:rsid w:val="00203AF0"/>
    <w:rsid w:val="00203CC7"/>
    <w:rsid w:val="002109A7"/>
    <w:rsid w:val="00212C4C"/>
    <w:rsid w:val="00216227"/>
    <w:rsid w:val="00216B24"/>
    <w:rsid w:val="00222CA0"/>
    <w:rsid w:val="00223AE2"/>
    <w:rsid w:val="0022437D"/>
    <w:rsid w:val="00225170"/>
    <w:rsid w:val="00226542"/>
    <w:rsid w:val="002317C3"/>
    <w:rsid w:val="0023464C"/>
    <w:rsid w:val="00241B19"/>
    <w:rsid w:val="00242276"/>
    <w:rsid w:val="00245690"/>
    <w:rsid w:val="00247AAE"/>
    <w:rsid w:val="00251BFE"/>
    <w:rsid w:val="00254026"/>
    <w:rsid w:val="00266F59"/>
    <w:rsid w:val="00273071"/>
    <w:rsid w:val="00274EFF"/>
    <w:rsid w:val="00280284"/>
    <w:rsid w:val="00283F6A"/>
    <w:rsid w:val="00287980"/>
    <w:rsid w:val="0029405D"/>
    <w:rsid w:val="00296E6E"/>
    <w:rsid w:val="00297353"/>
    <w:rsid w:val="002A6CEE"/>
    <w:rsid w:val="002B5865"/>
    <w:rsid w:val="002B7EB9"/>
    <w:rsid w:val="002C29DE"/>
    <w:rsid w:val="002D35F7"/>
    <w:rsid w:val="002D68E5"/>
    <w:rsid w:val="002E3AAE"/>
    <w:rsid w:val="002E6DA0"/>
    <w:rsid w:val="002F15A8"/>
    <w:rsid w:val="002F33A8"/>
    <w:rsid w:val="002F3AD8"/>
    <w:rsid w:val="002F5A9A"/>
    <w:rsid w:val="002F662F"/>
    <w:rsid w:val="0030675F"/>
    <w:rsid w:val="003152F4"/>
    <w:rsid w:val="00321659"/>
    <w:rsid w:val="0033037E"/>
    <w:rsid w:val="00336892"/>
    <w:rsid w:val="00337513"/>
    <w:rsid w:val="00341BAD"/>
    <w:rsid w:val="003606FC"/>
    <w:rsid w:val="00365F78"/>
    <w:rsid w:val="00371027"/>
    <w:rsid w:val="003809FD"/>
    <w:rsid w:val="00382925"/>
    <w:rsid w:val="003873F3"/>
    <w:rsid w:val="00395DD4"/>
    <w:rsid w:val="00397371"/>
    <w:rsid w:val="003A086E"/>
    <w:rsid w:val="003B0EFE"/>
    <w:rsid w:val="003B4398"/>
    <w:rsid w:val="003B4911"/>
    <w:rsid w:val="003C5377"/>
    <w:rsid w:val="003D360F"/>
    <w:rsid w:val="003E42C7"/>
    <w:rsid w:val="003F2F72"/>
    <w:rsid w:val="003F4AB5"/>
    <w:rsid w:val="003F4DA2"/>
    <w:rsid w:val="004003AE"/>
    <w:rsid w:val="00400D0B"/>
    <w:rsid w:val="004012B5"/>
    <w:rsid w:val="00401DE8"/>
    <w:rsid w:val="00412710"/>
    <w:rsid w:val="004129DA"/>
    <w:rsid w:val="00414BD6"/>
    <w:rsid w:val="00415D33"/>
    <w:rsid w:val="004168B8"/>
    <w:rsid w:val="00420026"/>
    <w:rsid w:val="00423766"/>
    <w:rsid w:val="004254BF"/>
    <w:rsid w:val="00426A36"/>
    <w:rsid w:val="00427158"/>
    <w:rsid w:val="00447052"/>
    <w:rsid w:val="0045612C"/>
    <w:rsid w:val="00472E87"/>
    <w:rsid w:val="00475534"/>
    <w:rsid w:val="004776D2"/>
    <w:rsid w:val="004813F3"/>
    <w:rsid w:val="00485B6E"/>
    <w:rsid w:val="00486443"/>
    <w:rsid w:val="004871D2"/>
    <w:rsid w:val="00492147"/>
    <w:rsid w:val="00495FEA"/>
    <w:rsid w:val="004A3B21"/>
    <w:rsid w:val="004B1B11"/>
    <w:rsid w:val="004B5457"/>
    <w:rsid w:val="004D025D"/>
    <w:rsid w:val="004D181B"/>
    <w:rsid w:val="004D3B9A"/>
    <w:rsid w:val="004E2E96"/>
    <w:rsid w:val="004F4377"/>
    <w:rsid w:val="004F7B84"/>
    <w:rsid w:val="00500665"/>
    <w:rsid w:val="00501C98"/>
    <w:rsid w:val="005059AB"/>
    <w:rsid w:val="005126B4"/>
    <w:rsid w:val="0051666D"/>
    <w:rsid w:val="00521CC4"/>
    <w:rsid w:val="00531CDA"/>
    <w:rsid w:val="00534525"/>
    <w:rsid w:val="005360B4"/>
    <w:rsid w:val="005409E2"/>
    <w:rsid w:val="0054295B"/>
    <w:rsid w:val="00551133"/>
    <w:rsid w:val="00552E93"/>
    <w:rsid w:val="00553B90"/>
    <w:rsid w:val="00581F9B"/>
    <w:rsid w:val="005840E6"/>
    <w:rsid w:val="005872C4"/>
    <w:rsid w:val="00596186"/>
    <w:rsid w:val="005972A2"/>
    <w:rsid w:val="005A150C"/>
    <w:rsid w:val="005B2B9F"/>
    <w:rsid w:val="005B6E02"/>
    <w:rsid w:val="005B7B96"/>
    <w:rsid w:val="005C1D5D"/>
    <w:rsid w:val="005C36FE"/>
    <w:rsid w:val="005C4347"/>
    <w:rsid w:val="005D14EF"/>
    <w:rsid w:val="005E084C"/>
    <w:rsid w:val="005F7866"/>
    <w:rsid w:val="00601094"/>
    <w:rsid w:val="0060454F"/>
    <w:rsid w:val="006055F3"/>
    <w:rsid w:val="00607C4C"/>
    <w:rsid w:val="006120F8"/>
    <w:rsid w:val="00620EA7"/>
    <w:rsid w:val="00621860"/>
    <w:rsid w:val="006225CA"/>
    <w:rsid w:val="0062406B"/>
    <w:rsid w:val="00626F90"/>
    <w:rsid w:val="006374DD"/>
    <w:rsid w:val="0064538C"/>
    <w:rsid w:val="00651508"/>
    <w:rsid w:val="006530C8"/>
    <w:rsid w:val="006662F5"/>
    <w:rsid w:val="00675079"/>
    <w:rsid w:val="006941A5"/>
    <w:rsid w:val="006A6F34"/>
    <w:rsid w:val="006B2475"/>
    <w:rsid w:val="006B2F9F"/>
    <w:rsid w:val="006B3DEE"/>
    <w:rsid w:val="006B4AFF"/>
    <w:rsid w:val="006B510D"/>
    <w:rsid w:val="006B7158"/>
    <w:rsid w:val="006C0E77"/>
    <w:rsid w:val="006C40CF"/>
    <w:rsid w:val="006C4657"/>
    <w:rsid w:val="006D2103"/>
    <w:rsid w:val="006D73C8"/>
    <w:rsid w:val="006E249D"/>
    <w:rsid w:val="006F3C76"/>
    <w:rsid w:val="006F55CC"/>
    <w:rsid w:val="006F5B5A"/>
    <w:rsid w:val="006F70CA"/>
    <w:rsid w:val="00706C58"/>
    <w:rsid w:val="007100A9"/>
    <w:rsid w:val="00713CE8"/>
    <w:rsid w:val="007158F1"/>
    <w:rsid w:val="00717514"/>
    <w:rsid w:val="00717DC4"/>
    <w:rsid w:val="00727185"/>
    <w:rsid w:val="007308AC"/>
    <w:rsid w:val="00733598"/>
    <w:rsid w:val="0073505B"/>
    <w:rsid w:val="007369AE"/>
    <w:rsid w:val="0074095D"/>
    <w:rsid w:val="00743E27"/>
    <w:rsid w:val="00761B31"/>
    <w:rsid w:val="00770BB8"/>
    <w:rsid w:val="00771EE0"/>
    <w:rsid w:val="007A2088"/>
    <w:rsid w:val="007A3C41"/>
    <w:rsid w:val="007A4FC1"/>
    <w:rsid w:val="007A6390"/>
    <w:rsid w:val="007C7D6F"/>
    <w:rsid w:val="007D0760"/>
    <w:rsid w:val="007D0D27"/>
    <w:rsid w:val="007D0E2E"/>
    <w:rsid w:val="007E1001"/>
    <w:rsid w:val="007E5F3D"/>
    <w:rsid w:val="007F0E06"/>
    <w:rsid w:val="00801FE7"/>
    <w:rsid w:val="00805722"/>
    <w:rsid w:val="00806D6B"/>
    <w:rsid w:val="00810958"/>
    <w:rsid w:val="0081416D"/>
    <w:rsid w:val="008153C4"/>
    <w:rsid w:val="008352EA"/>
    <w:rsid w:val="0083776A"/>
    <w:rsid w:val="008524D3"/>
    <w:rsid w:val="00856F47"/>
    <w:rsid w:val="008628EA"/>
    <w:rsid w:val="008649D0"/>
    <w:rsid w:val="00867869"/>
    <w:rsid w:val="00872955"/>
    <w:rsid w:val="0087517E"/>
    <w:rsid w:val="00880B34"/>
    <w:rsid w:val="00885795"/>
    <w:rsid w:val="00893ABB"/>
    <w:rsid w:val="008B442F"/>
    <w:rsid w:val="008C0EE9"/>
    <w:rsid w:val="008C7FF1"/>
    <w:rsid w:val="008D5F2C"/>
    <w:rsid w:val="008E0CD0"/>
    <w:rsid w:val="008E6BD5"/>
    <w:rsid w:val="00906905"/>
    <w:rsid w:val="00911BC6"/>
    <w:rsid w:val="00915845"/>
    <w:rsid w:val="00916F90"/>
    <w:rsid w:val="00917442"/>
    <w:rsid w:val="00923AD6"/>
    <w:rsid w:val="00923F92"/>
    <w:rsid w:val="0092427E"/>
    <w:rsid w:val="0094172F"/>
    <w:rsid w:val="00941AFE"/>
    <w:rsid w:val="0094337B"/>
    <w:rsid w:val="00943572"/>
    <w:rsid w:val="0095049F"/>
    <w:rsid w:val="009532D2"/>
    <w:rsid w:val="00953D1C"/>
    <w:rsid w:val="0095637A"/>
    <w:rsid w:val="00962401"/>
    <w:rsid w:val="00967CE6"/>
    <w:rsid w:val="0097036F"/>
    <w:rsid w:val="00972027"/>
    <w:rsid w:val="00972372"/>
    <w:rsid w:val="00980C26"/>
    <w:rsid w:val="00981457"/>
    <w:rsid w:val="009816F8"/>
    <w:rsid w:val="009837F3"/>
    <w:rsid w:val="00992F86"/>
    <w:rsid w:val="00993339"/>
    <w:rsid w:val="00995C80"/>
    <w:rsid w:val="009A3E39"/>
    <w:rsid w:val="009A6DA1"/>
    <w:rsid w:val="009B2B03"/>
    <w:rsid w:val="009B5340"/>
    <w:rsid w:val="009B5567"/>
    <w:rsid w:val="009B6BF8"/>
    <w:rsid w:val="009B7E94"/>
    <w:rsid w:val="009C0BF6"/>
    <w:rsid w:val="009C0E44"/>
    <w:rsid w:val="009C4A35"/>
    <w:rsid w:val="009E11A3"/>
    <w:rsid w:val="009E41DA"/>
    <w:rsid w:val="009E7EBC"/>
    <w:rsid w:val="009F2EA1"/>
    <w:rsid w:val="009F51BC"/>
    <w:rsid w:val="00A204A1"/>
    <w:rsid w:val="00A20556"/>
    <w:rsid w:val="00A2496B"/>
    <w:rsid w:val="00A55EB5"/>
    <w:rsid w:val="00A71D33"/>
    <w:rsid w:val="00A71F2B"/>
    <w:rsid w:val="00A80F7C"/>
    <w:rsid w:val="00A9163C"/>
    <w:rsid w:val="00A94539"/>
    <w:rsid w:val="00AB0EBF"/>
    <w:rsid w:val="00AB2A37"/>
    <w:rsid w:val="00AB5721"/>
    <w:rsid w:val="00AB6E0A"/>
    <w:rsid w:val="00AB7282"/>
    <w:rsid w:val="00AC0090"/>
    <w:rsid w:val="00AC3E94"/>
    <w:rsid w:val="00AD379C"/>
    <w:rsid w:val="00AD67D2"/>
    <w:rsid w:val="00AE3EA0"/>
    <w:rsid w:val="00AE4ECF"/>
    <w:rsid w:val="00AF01CA"/>
    <w:rsid w:val="00AF0C33"/>
    <w:rsid w:val="00AF1C2A"/>
    <w:rsid w:val="00AF2798"/>
    <w:rsid w:val="00AF3536"/>
    <w:rsid w:val="00AF3F06"/>
    <w:rsid w:val="00AF63B2"/>
    <w:rsid w:val="00AF67B7"/>
    <w:rsid w:val="00AF7C02"/>
    <w:rsid w:val="00B01D39"/>
    <w:rsid w:val="00B20328"/>
    <w:rsid w:val="00B21841"/>
    <w:rsid w:val="00B35DB4"/>
    <w:rsid w:val="00B43F80"/>
    <w:rsid w:val="00B45EB8"/>
    <w:rsid w:val="00B50602"/>
    <w:rsid w:val="00B513FD"/>
    <w:rsid w:val="00B5162C"/>
    <w:rsid w:val="00B5274C"/>
    <w:rsid w:val="00B52B83"/>
    <w:rsid w:val="00B52F35"/>
    <w:rsid w:val="00B6700D"/>
    <w:rsid w:val="00B71CFA"/>
    <w:rsid w:val="00B8182D"/>
    <w:rsid w:val="00B94639"/>
    <w:rsid w:val="00B97E2C"/>
    <w:rsid w:val="00BA0064"/>
    <w:rsid w:val="00BB6D77"/>
    <w:rsid w:val="00BC0BEB"/>
    <w:rsid w:val="00BC0CBA"/>
    <w:rsid w:val="00BC5625"/>
    <w:rsid w:val="00BC7E52"/>
    <w:rsid w:val="00BD1244"/>
    <w:rsid w:val="00BD5B46"/>
    <w:rsid w:val="00C03297"/>
    <w:rsid w:val="00C13EE0"/>
    <w:rsid w:val="00C14707"/>
    <w:rsid w:val="00C61FF7"/>
    <w:rsid w:val="00C621EB"/>
    <w:rsid w:val="00C62695"/>
    <w:rsid w:val="00C64C04"/>
    <w:rsid w:val="00C827A4"/>
    <w:rsid w:val="00C92B5F"/>
    <w:rsid w:val="00CA2C90"/>
    <w:rsid w:val="00CB2B58"/>
    <w:rsid w:val="00CB3259"/>
    <w:rsid w:val="00CB353D"/>
    <w:rsid w:val="00CB3CFD"/>
    <w:rsid w:val="00CC5452"/>
    <w:rsid w:val="00CD0635"/>
    <w:rsid w:val="00CD3EF2"/>
    <w:rsid w:val="00CE0044"/>
    <w:rsid w:val="00CE3D61"/>
    <w:rsid w:val="00CF0F5B"/>
    <w:rsid w:val="00CF138F"/>
    <w:rsid w:val="00CF2E5F"/>
    <w:rsid w:val="00D02D0B"/>
    <w:rsid w:val="00D1240F"/>
    <w:rsid w:val="00D24C98"/>
    <w:rsid w:val="00D31C6B"/>
    <w:rsid w:val="00D44457"/>
    <w:rsid w:val="00D536E5"/>
    <w:rsid w:val="00D61364"/>
    <w:rsid w:val="00D62D61"/>
    <w:rsid w:val="00D64A42"/>
    <w:rsid w:val="00D65EBE"/>
    <w:rsid w:val="00D66C8C"/>
    <w:rsid w:val="00D76773"/>
    <w:rsid w:val="00D7690D"/>
    <w:rsid w:val="00D8538F"/>
    <w:rsid w:val="00D961AE"/>
    <w:rsid w:val="00D9774E"/>
    <w:rsid w:val="00DA18A2"/>
    <w:rsid w:val="00DA2AF9"/>
    <w:rsid w:val="00DA331A"/>
    <w:rsid w:val="00DB0835"/>
    <w:rsid w:val="00DB09E0"/>
    <w:rsid w:val="00DB42F8"/>
    <w:rsid w:val="00DB468A"/>
    <w:rsid w:val="00DC2FF4"/>
    <w:rsid w:val="00DC5DC7"/>
    <w:rsid w:val="00DD04D7"/>
    <w:rsid w:val="00DD391D"/>
    <w:rsid w:val="00DD5241"/>
    <w:rsid w:val="00DD53F3"/>
    <w:rsid w:val="00DE1A54"/>
    <w:rsid w:val="00DE6E79"/>
    <w:rsid w:val="00DF4FBA"/>
    <w:rsid w:val="00DF6F1D"/>
    <w:rsid w:val="00E01BB9"/>
    <w:rsid w:val="00E11335"/>
    <w:rsid w:val="00E118FD"/>
    <w:rsid w:val="00E129DA"/>
    <w:rsid w:val="00E233A8"/>
    <w:rsid w:val="00E25766"/>
    <w:rsid w:val="00E2696C"/>
    <w:rsid w:val="00E41763"/>
    <w:rsid w:val="00E4320A"/>
    <w:rsid w:val="00E45605"/>
    <w:rsid w:val="00E47A50"/>
    <w:rsid w:val="00E5087C"/>
    <w:rsid w:val="00E61A84"/>
    <w:rsid w:val="00E66635"/>
    <w:rsid w:val="00E66D70"/>
    <w:rsid w:val="00E77180"/>
    <w:rsid w:val="00E86082"/>
    <w:rsid w:val="00E93CAB"/>
    <w:rsid w:val="00EA15BF"/>
    <w:rsid w:val="00EC2072"/>
    <w:rsid w:val="00EC3F7F"/>
    <w:rsid w:val="00EC5D93"/>
    <w:rsid w:val="00ED03A2"/>
    <w:rsid w:val="00ED58FD"/>
    <w:rsid w:val="00ED769F"/>
    <w:rsid w:val="00ED7BB2"/>
    <w:rsid w:val="00EE00C9"/>
    <w:rsid w:val="00EE78B7"/>
    <w:rsid w:val="00EE7D43"/>
    <w:rsid w:val="00EF5EE4"/>
    <w:rsid w:val="00F03209"/>
    <w:rsid w:val="00F12A61"/>
    <w:rsid w:val="00F26949"/>
    <w:rsid w:val="00F30B15"/>
    <w:rsid w:val="00F31373"/>
    <w:rsid w:val="00F41580"/>
    <w:rsid w:val="00F428A9"/>
    <w:rsid w:val="00F45B40"/>
    <w:rsid w:val="00F51B85"/>
    <w:rsid w:val="00F54B4D"/>
    <w:rsid w:val="00F63471"/>
    <w:rsid w:val="00F64397"/>
    <w:rsid w:val="00F6715E"/>
    <w:rsid w:val="00F71011"/>
    <w:rsid w:val="00F757B5"/>
    <w:rsid w:val="00F77EEA"/>
    <w:rsid w:val="00F80C37"/>
    <w:rsid w:val="00F9104B"/>
    <w:rsid w:val="00F95B46"/>
    <w:rsid w:val="00FD5279"/>
    <w:rsid w:val="00FE5664"/>
    <w:rsid w:val="00FF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A03944"/>
  <w15:chartTrackingRefBased/>
  <w15:docId w15:val="{3F83730A-9369-4B2E-BFC7-10666161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2B58"/>
  </w:style>
  <w:style w:type="paragraph" w:styleId="Heading1">
    <w:name w:val="heading 1"/>
    <w:basedOn w:val="Title"/>
    <w:next w:val="Normal"/>
    <w:link w:val="Heading1Char"/>
    <w:uiPriority w:val="9"/>
    <w:qFormat/>
    <w:rsid w:val="00981457"/>
    <w:pPr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AFF"/>
    <w:pPr>
      <w:keepNext/>
      <w:keepLines/>
      <w:suppressAutoHyphens/>
      <w:spacing w:before="240" w:line="240" w:lineRule="auto"/>
      <w:outlineLvl w:val="1"/>
    </w:pPr>
    <w:rPr>
      <w:rFonts w:ascii="Calibri" w:eastAsia="SimSun" w:hAnsi="Calibri" w:cs="Times New Roman"/>
      <w:b/>
      <w:color w:val="2F5496"/>
      <w:kern w:val="1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71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1D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0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CD0"/>
  </w:style>
  <w:style w:type="paragraph" w:styleId="Footer">
    <w:name w:val="footer"/>
    <w:basedOn w:val="Normal"/>
    <w:link w:val="FooterChar"/>
    <w:uiPriority w:val="99"/>
    <w:unhideWhenUsed/>
    <w:rsid w:val="008E0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CD0"/>
  </w:style>
  <w:style w:type="paragraph" w:styleId="Title">
    <w:name w:val="Title"/>
    <w:basedOn w:val="Normal"/>
    <w:next w:val="Normal"/>
    <w:link w:val="TitleChar"/>
    <w:uiPriority w:val="10"/>
    <w:qFormat/>
    <w:rsid w:val="008E0C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8E0C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0C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0C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C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C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CD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E0CD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81457"/>
    <w:rPr>
      <w:rFonts w:asciiTheme="majorHAnsi" w:eastAsiaTheme="majorEastAsia" w:hAnsiTheme="majorHAnsi" w:cstheme="majorBidi"/>
      <w:b/>
      <w:spacing w:val="-10"/>
      <w:kern w:val="28"/>
      <w:sz w:val="56"/>
      <w:szCs w:val="56"/>
      <w:lang w:val="en-US"/>
    </w:rPr>
  </w:style>
  <w:style w:type="character" w:styleId="Hyperlink">
    <w:name w:val="Hyperlink"/>
    <w:basedOn w:val="DefaultParagraphFont"/>
    <w:uiPriority w:val="99"/>
    <w:unhideWhenUsed/>
    <w:rsid w:val="006010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09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01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B4AFF"/>
    <w:rPr>
      <w:rFonts w:ascii="Calibri" w:eastAsia="SimSun" w:hAnsi="Calibri" w:cs="Times New Roman"/>
      <w:b/>
      <w:color w:val="2F5496"/>
      <w:kern w:val="1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27158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3B4398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A3C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3C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3C4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369AE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71D3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Light">
    <w:name w:val="Grid Table Light"/>
    <w:basedOn w:val="TableNormal"/>
    <w:uiPriority w:val="40"/>
    <w:rsid w:val="00127F7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Listparagraphbullets">
    <w:name w:val="List paragraph—bullets"/>
    <w:basedOn w:val="ListParagraph"/>
    <w:qFormat/>
    <w:rsid w:val="00CB2B58"/>
    <w:pPr>
      <w:numPr>
        <w:numId w:val="42"/>
      </w:numPr>
      <w:spacing w:line="240" w:lineRule="auto"/>
      <w:ind w:left="567" w:hanging="567"/>
    </w:pPr>
    <w:rPr>
      <w:rFonts w:ascii="Calibri" w:hAnsi="Calibri"/>
      <w:lang w:eastAsia="zh-TW"/>
    </w:rPr>
  </w:style>
  <w:style w:type="paragraph" w:customStyle="1" w:styleId="Listparagraphbulletssecondlevel">
    <w:name w:val="List paragraph—bullets—second level"/>
    <w:basedOn w:val="Listparagraphbullets"/>
    <w:autoRedefine/>
    <w:qFormat/>
    <w:rsid w:val="00CB3CFD"/>
    <w:pPr>
      <w:numPr>
        <w:numId w:val="43"/>
      </w:numPr>
      <w:spacing w:after="0"/>
      <w:ind w:left="1134" w:hanging="567"/>
    </w:pPr>
    <w:rPr>
      <w:i/>
      <w:color w:val="000000"/>
      <w:szCs w:val="20"/>
      <w:lang w:val="en-US"/>
    </w:rPr>
  </w:style>
  <w:style w:type="paragraph" w:customStyle="1" w:styleId="Tabletext">
    <w:name w:val="Table text"/>
    <w:basedOn w:val="Normal"/>
    <w:qFormat/>
    <w:rsid w:val="006B4AFF"/>
    <w:pPr>
      <w:spacing w:before="40" w:after="40" w:line="240" w:lineRule="auto"/>
    </w:pPr>
    <w:rPr>
      <w:rFonts w:ascii="Calibri" w:eastAsia="Times New Roman" w:hAnsi="Calibri" w:cs="Times New Roman"/>
      <w:szCs w:val="20"/>
    </w:rPr>
  </w:style>
  <w:style w:type="paragraph" w:customStyle="1" w:styleId="Tablerowcolumnheading">
    <w:name w:val="Table row/column heading"/>
    <w:basedOn w:val="Normal"/>
    <w:next w:val="Normal"/>
    <w:rsid w:val="006B4AFF"/>
    <w:pPr>
      <w:shd w:val="clear" w:color="auto" w:fill="081E3E"/>
      <w:spacing w:before="60" w:after="60" w:line="240" w:lineRule="auto"/>
    </w:pPr>
    <w:rPr>
      <w:rFonts w:ascii="Calibri" w:hAnsi="Calibri"/>
      <w:b/>
      <w:color w:val="FFFFFF" w:themeColor="background1"/>
      <w:szCs w:val="20"/>
    </w:rPr>
  </w:style>
  <w:style w:type="paragraph" w:customStyle="1" w:styleId="Tabletextcentred">
    <w:name w:val="Table text—centred"/>
    <w:basedOn w:val="Tabletext"/>
    <w:next w:val="NoSpacing"/>
    <w:rsid w:val="006B4AFF"/>
    <w:pPr>
      <w:jc w:val="center"/>
    </w:pPr>
  </w:style>
  <w:style w:type="paragraph" w:customStyle="1" w:styleId="Tablerowcolumnheadingcentred">
    <w:name w:val="Table row/column heading—centred"/>
    <w:basedOn w:val="Tablerowcolumnheading"/>
    <w:next w:val="Normal"/>
    <w:rsid w:val="006B4AFF"/>
    <w:pPr>
      <w:jc w:val="center"/>
    </w:pPr>
  </w:style>
  <w:style w:type="paragraph" w:customStyle="1" w:styleId="Tabletextbullets">
    <w:name w:val="Table text—bullets"/>
    <w:basedOn w:val="Listparagraphbullets"/>
    <w:qFormat/>
    <w:rsid w:val="006B4AFF"/>
    <w:pPr>
      <w:numPr>
        <w:numId w:val="2"/>
      </w:numPr>
      <w:spacing w:before="60" w:after="60"/>
      <w:ind w:left="284" w:hanging="284"/>
    </w:pPr>
    <w:rPr>
      <w:color w:val="000000" w:themeColor="text1"/>
      <w:szCs w:val="20"/>
    </w:rPr>
  </w:style>
  <w:style w:type="table" w:customStyle="1" w:styleId="DefaultTable11">
    <w:name w:val="Default Table 11"/>
    <w:basedOn w:val="TableNormal"/>
    <w:uiPriority w:val="99"/>
    <w:rsid w:val="006B4AFF"/>
    <w:pPr>
      <w:spacing w:before="80" w:after="80" w:line="240" w:lineRule="auto"/>
    </w:pPr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4BB3B5"/>
        <w:bottom w:val="single" w:sz="4" w:space="0" w:color="4BB3B5"/>
        <w:insideH w:val="single" w:sz="4" w:space="0" w:color="4BB3B5"/>
      </w:tblBorders>
    </w:tblPr>
    <w:tblStylePr w:type="firstRow">
      <w:rPr>
        <w:b/>
        <w:color w:val="FFFFFF"/>
      </w:rPr>
      <w:tblPr/>
      <w:trPr>
        <w:tblHeader/>
      </w:trPr>
      <w:tcPr>
        <w:tcBorders>
          <w:top w:val="nil"/>
          <w:bottom w:val="nil"/>
        </w:tcBorders>
        <w:shd w:val="clear" w:color="auto" w:fill="081E3E"/>
      </w:tcPr>
    </w:tblStylePr>
    <w:tblStylePr w:type="lastRow">
      <w:rPr>
        <w:b/>
      </w:rPr>
      <w:tblPr/>
      <w:tcPr>
        <w:shd w:val="clear" w:color="auto" w:fill="F2F6E8"/>
      </w:tcPr>
    </w:tblStylePr>
    <w:tblStylePr w:type="firstCol">
      <w:rPr>
        <w:b/>
      </w:rPr>
    </w:tblStylePr>
    <w:tblStylePr w:type="band2Vert">
      <w:tblPr/>
      <w:tcPr>
        <w:shd w:val="clear" w:color="auto" w:fill="F2F2F2"/>
      </w:tcPr>
    </w:tblStylePr>
    <w:tblStylePr w:type="band2Horz">
      <w:tblPr/>
      <w:tcPr>
        <w:shd w:val="clear" w:color="auto" w:fill="F2F2F2"/>
      </w:tcPr>
    </w:tblStylePr>
  </w:style>
  <w:style w:type="paragraph" w:styleId="NoSpacing">
    <w:name w:val="No Spacing"/>
    <w:uiPriority w:val="1"/>
    <w:qFormat/>
    <w:rsid w:val="006B4A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lassification.gov.au/classification-ratings/latest-classification-decisions" TargetMode="External"/><Relationship Id="rId18" Type="http://schemas.openxmlformats.org/officeDocument/2006/relationships/hyperlink" Target="https://www.classification.gov.au/for-industry/advertise-show-and-sell/sell-publication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legislation.gov.au/C2004A04863/latest/text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lassification.gov.au" TargetMode="External"/><Relationship Id="rId17" Type="http://schemas.openxmlformats.org/officeDocument/2006/relationships/hyperlink" Target="https://www.classification.gov.au/for-industry/apply-for-classification/application-process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legislation.gov.au/F2014L01758/latest/text" TargetMode="External"/><Relationship Id="rId20" Type="http://schemas.openxmlformats.org/officeDocument/2006/relationships/hyperlink" Target="https://www.classification.gov.au/for-industry/classification-markings/display-classification-marking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s://www.classification.gov.au/sites/default/files/2019-10/classification_serial_publications_principles_200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lassification.gov.au/about-us/legislation" TargetMode="External"/><Relationship Id="rId23" Type="http://schemas.openxmlformats.org/officeDocument/2006/relationships/hyperlink" Target="https://www.legislation.gov.au/F2005L01285/latest/text" TargetMode="External"/><Relationship Id="rId10" Type="http://schemas.openxmlformats.org/officeDocument/2006/relationships/hyperlink" Target="https://www.classification.gov.au/for-industry/apply-for-classification/classify-publication" TargetMode="External"/><Relationship Id="rId19" Type="http://schemas.openxmlformats.org/officeDocument/2006/relationships/hyperlink" Target="https://www.classification.gov.au/for-industry/advertise-show-and-sell/advertise-publication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classification.gov.au/contact-us/contact-us-form" TargetMode="External"/><Relationship Id="rId22" Type="http://schemas.openxmlformats.org/officeDocument/2006/relationships/hyperlink" Target="https://www.legislation.gov.au/F2005L01284/latest/tex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09FFC-0CE5-4BC0-A530-6EB3CD2C3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1536</Words>
  <Characters>8498</Characters>
  <Application>Microsoft Office Word</Application>
  <DocSecurity>4</DocSecurity>
  <Lines>314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Publications—Classification Factsheet</vt:lpstr>
    </vt:vector>
  </TitlesOfParts>
  <Company>Australian Government, Department of Infrastructure, Transport, Regional Development, Communications and the Arts</Company>
  <LinksUpToDate>false</LinksUpToDate>
  <CharactersWithSpaces>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Classification—Publications—Classification Factsheet</dc:title>
  <dc:subject/>
  <dc:creator>Australian Government, Department of Infrastructure, Transport, Regional Development, Communications and the Arts</dc:creator>
  <cp:keywords/>
  <dc:description/>
  <cp:lastModifiedBy>Hall, Theresa</cp:lastModifiedBy>
  <cp:revision>2</cp:revision>
  <cp:lastPrinted>2024-09-24T04:22:00Z</cp:lastPrinted>
  <dcterms:created xsi:type="dcterms:W3CDTF">2025-02-20T04:42:00Z</dcterms:created>
  <dcterms:modified xsi:type="dcterms:W3CDTF">2025-02-20T04:42:00Z</dcterms:modified>
</cp:coreProperties>
</file>